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简体" w:hAnsi="方正小标宋简体" w:eastAsia="方正小标宋简体" w:cs="方正小标宋简体"/>
          <w:strike w:val="0"/>
          <w:dstrike w:val="0"/>
          <w:kern w:val="0"/>
          <w:sz w:val="32"/>
          <w:szCs w:val="32"/>
          <w:lang w:eastAsia="zh-CN"/>
        </w:rPr>
      </w:pPr>
      <w:bookmarkStart w:id="0" w:name="_GoBack"/>
      <w:bookmarkEnd w:id="0"/>
      <w:r>
        <w:rPr>
          <w:rFonts w:hint="eastAsia" w:ascii="方正小标宋简体" w:hAnsi="方正小标宋简体" w:eastAsia="方正小标宋简体" w:cs="方正小标宋简体"/>
          <w:strike w:val="0"/>
          <w:dstrike w:val="0"/>
          <w:kern w:val="0"/>
          <w:sz w:val="32"/>
          <w:szCs w:val="32"/>
          <w:lang w:eastAsia="zh-CN"/>
        </w:rPr>
        <w:t>临武县经科商局</w:t>
      </w:r>
      <w:r>
        <w:rPr>
          <w:rFonts w:hint="eastAsia" w:ascii="方正小标宋简体" w:hAnsi="方正小标宋简体" w:eastAsia="方正小标宋简体" w:cs="方正小标宋简体"/>
          <w:strike w:val="0"/>
          <w:dstrike w:val="0"/>
          <w:kern w:val="0"/>
          <w:sz w:val="32"/>
          <w:szCs w:val="32"/>
          <w:lang w:val="en-US" w:eastAsia="zh-CN"/>
        </w:rPr>
        <w:t>2017年</w:t>
      </w:r>
      <w:r>
        <w:rPr>
          <w:rFonts w:hint="eastAsia" w:ascii="方正小标宋简体" w:hAnsi="方正小标宋简体" w:eastAsia="方正小标宋简体" w:cs="方正小标宋简体"/>
          <w:strike w:val="0"/>
          <w:dstrike w:val="0"/>
          <w:kern w:val="0"/>
          <w:sz w:val="32"/>
          <w:szCs w:val="32"/>
          <w:lang w:eastAsia="zh-CN"/>
        </w:rPr>
        <w:t>公共服务事项表</w:t>
      </w:r>
    </w:p>
    <w:tbl>
      <w:tblPr>
        <w:tblStyle w:val="5"/>
        <w:tblW w:w="14101" w:type="dxa"/>
        <w:jc w:val="center"/>
        <w:tblInd w:w="-193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72"/>
        <w:gridCol w:w="669"/>
        <w:gridCol w:w="2678"/>
        <w:gridCol w:w="780"/>
        <w:gridCol w:w="8100"/>
        <w:gridCol w:w="14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390" w:hRule="atLeast"/>
          <w:tblHeader/>
          <w:jc w:val="center"/>
        </w:trPr>
        <w:tc>
          <w:tcPr>
            <w:tcW w:w="472" w:type="dxa"/>
            <w:tcBorders>
              <w:tl2br w:val="nil"/>
              <w:tr2bl w:val="nil"/>
            </w:tcBorders>
            <w:shd w:val="clear" w:color="auto" w:fill="auto"/>
            <w:vAlign w:val="center"/>
          </w:tcPr>
          <w:p>
            <w:pPr>
              <w:widowControl/>
              <w:jc w:val="center"/>
              <w:rPr>
                <w:rFonts w:hint="eastAsia" w:eastAsia="宋体"/>
                <w:b/>
                <w:bCs/>
                <w:strike w:val="0"/>
                <w:dstrike w:val="0"/>
                <w:sz w:val="18"/>
                <w:szCs w:val="18"/>
                <w:lang w:eastAsia="zh-CN"/>
              </w:rPr>
            </w:pPr>
            <w:r>
              <w:rPr>
                <w:rFonts w:hint="eastAsia"/>
                <w:b/>
                <w:bCs/>
                <w:strike w:val="0"/>
                <w:dstrike w:val="0"/>
                <w:sz w:val="18"/>
                <w:szCs w:val="18"/>
                <w:lang w:eastAsia="zh-CN"/>
              </w:rPr>
              <w:t>序号</w:t>
            </w:r>
          </w:p>
        </w:tc>
        <w:tc>
          <w:tcPr>
            <w:tcW w:w="669" w:type="dxa"/>
            <w:tcBorders>
              <w:tl2br w:val="nil"/>
              <w:tr2bl w:val="nil"/>
            </w:tcBorders>
            <w:shd w:val="clear" w:color="auto" w:fill="auto"/>
            <w:vAlign w:val="center"/>
          </w:tcPr>
          <w:p>
            <w:pPr>
              <w:widowControl/>
              <w:jc w:val="center"/>
              <w:rPr>
                <w:rFonts w:hint="eastAsia" w:ascii="Times New Roman" w:hAnsi="Times New Roman" w:eastAsia="宋体"/>
                <w:b/>
                <w:bCs/>
                <w:strike w:val="0"/>
                <w:dstrike w:val="0"/>
                <w:kern w:val="0"/>
                <w:sz w:val="18"/>
                <w:szCs w:val="18"/>
                <w:lang w:eastAsia="zh-CN"/>
              </w:rPr>
            </w:pPr>
            <w:r>
              <w:rPr>
                <w:rFonts w:hint="eastAsia" w:ascii="Times New Roman" w:hAnsi="Times New Roman"/>
                <w:b/>
                <w:bCs/>
                <w:strike w:val="0"/>
                <w:dstrike w:val="0"/>
                <w:kern w:val="0"/>
                <w:sz w:val="18"/>
                <w:szCs w:val="18"/>
                <w:lang w:eastAsia="zh-CN"/>
              </w:rPr>
              <w:t>单位</w:t>
            </w:r>
          </w:p>
        </w:tc>
        <w:tc>
          <w:tcPr>
            <w:tcW w:w="2678" w:type="dxa"/>
            <w:tcBorders>
              <w:tl2br w:val="nil"/>
              <w:tr2bl w:val="nil"/>
            </w:tcBorders>
            <w:shd w:val="clear" w:color="auto" w:fill="auto"/>
            <w:vAlign w:val="center"/>
          </w:tcPr>
          <w:p>
            <w:pPr>
              <w:widowControl/>
              <w:jc w:val="center"/>
              <w:rPr>
                <w:rFonts w:hint="eastAsia" w:ascii="Times New Roman" w:hAnsi="Times New Roman" w:eastAsia="宋体"/>
                <w:b/>
                <w:bCs/>
                <w:strike w:val="0"/>
                <w:dstrike w:val="0"/>
                <w:spacing w:val="-6"/>
                <w:kern w:val="0"/>
                <w:sz w:val="18"/>
                <w:szCs w:val="18"/>
                <w:lang w:eastAsia="zh-CN"/>
              </w:rPr>
            </w:pPr>
            <w:r>
              <w:rPr>
                <w:rFonts w:hint="eastAsia" w:ascii="Times New Roman" w:hAnsi="Times New Roman"/>
                <w:b/>
                <w:bCs/>
                <w:strike w:val="0"/>
                <w:dstrike w:val="0"/>
                <w:spacing w:val="-6"/>
                <w:kern w:val="0"/>
                <w:sz w:val="18"/>
                <w:szCs w:val="18"/>
                <w:lang w:eastAsia="zh-CN"/>
              </w:rPr>
              <w:t>项目名称</w:t>
            </w:r>
          </w:p>
        </w:tc>
        <w:tc>
          <w:tcPr>
            <w:tcW w:w="780" w:type="dxa"/>
            <w:tcBorders>
              <w:tl2br w:val="nil"/>
              <w:tr2bl w:val="nil"/>
            </w:tcBorders>
            <w:shd w:val="clear" w:color="auto" w:fill="auto"/>
            <w:vAlign w:val="center"/>
          </w:tcPr>
          <w:p>
            <w:pPr>
              <w:widowControl/>
              <w:jc w:val="center"/>
              <w:rPr>
                <w:rFonts w:hint="eastAsia" w:ascii="Times New Roman" w:hAnsi="Times New Roman" w:eastAsia="宋体"/>
                <w:b/>
                <w:bCs/>
                <w:strike w:val="0"/>
                <w:dstrike w:val="0"/>
                <w:kern w:val="0"/>
                <w:sz w:val="18"/>
                <w:szCs w:val="18"/>
                <w:lang w:eastAsia="zh-CN"/>
              </w:rPr>
            </w:pPr>
            <w:r>
              <w:rPr>
                <w:rFonts w:hint="eastAsia" w:ascii="Times New Roman" w:hAnsi="Times New Roman"/>
                <w:b/>
                <w:bCs/>
                <w:strike w:val="0"/>
                <w:dstrike w:val="0"/>
                <w:kern w:val="0"/>
                <w:sz w:val="18"/>
                <w:szCs w:val="18"/>
                <w:lang w:eastAsia="zh-CN"/>
              </w:rPr>
              <w:t>类别</w:t>
            </w:r>
          </w:p>
        </w:tc>
        <w:tc>
          <w:tcPr>
            <w:tcW w:w="8100" w:type="dxa"/>
            <w:tcBorders>
              <w:tl2br w:val="nil"/>
              <w:tr2bl w:val="nil"/>
            </w:tcBorders>
            <w:shd w:val="clear" w:color="auto" w:fill="auto"/>
            <w:vAlign w:val="center"/>
          </w:tcPr>
          <w:p>
            <w:pPr>
              <w:widowControl/>
              <w:spacing w:line="280" w:lineRule="exact"/>
              <w:jc w:val="center"/>
              <w:rPr>
                <w:rFonts w:hint="eastAsia" w:ascii="Times New Roman" w:hAnsi="Times New Roman" w:eastAsia="宋体"/>
                <w:b/>
                <w:bCs/>
                <w:strike w:val="0"/>
                <w:dstrike w:val="0"/>
                <w:kern w:val="0"/>
                <w:sz w:val="18"/>
                <w:szCs w:val="18"/>
                <w:lang w:eastAsia="zh-CN"/>
              </w:rPr>
            </w:pPr>
            <w:r>
              <w:rPr>
                <w:rFonts w:hint="eastAsia" w:ascii="Times New Roman" w:hAnsi="Times New Roman"/>
                <w:b/>
                <w:bCs/>
                <w:strike w:val="0"/>
                <w:dstrike w:val="0"/>
                <w:kern w:val="0"/>
                <w:sz w:val="18"/>
                <w:szCs w:val="18"/>
                <w:lang w:eastAsia="zh-CN"/>
              </w:rPr>
              <w:t>内容</w:t>
            </w:r>
          </w:p>
        </w:tc>
        <w:tc>
          <w:tcPr>
            <w:tcW w:w="1402" w:type="dxa"/>
            <w:tcBorders>
              <w:tl2br w:val="nil"/>
              <w:tr2bl w:val="nil"/>
            </w:tcBorders>
            <w:shd w:val="clear" w:color="auto" w:fill="auto"/>
            <w:vAlign w:val="center"/>
          </w:tcPr>
          <w:p>
            <w:pPr>
              <w:widowControl/>
              <w:jc w:val="center"/>
              <w:rPr>
                <w:rFonts w:hint="eastAsia" w:ascii="Times New Roman" w:hAnsi="Times New Roman" w:eastAsia="宋体"/>
                <w:b/>
                <w:bCs/>
                <w:strike w:val="0"/>
                <w:dstrike w:val="0"/>
                <w:kern w:val="0"/>
                <w:sz w:val="18"/>
                <w:szCs w:val="18"/>
                <w:lang w:eastAsia="zh-CN"/>
              </w:rPr>
            </w:pPr>
            <w:r>
              <w:rPr>
                <w:rFonts w:hint="eastAsia" w:ascii="Times New Roman" w:hAnsi="Times New Roman"/>
                <w:b/>
                <w:bCs/>
                <w:strike w:val="0"/>
                <w:dstrike w:val="0"/>
                <w:kern w:val="0"/>
                <w:sz w:val="18"/>
                <w:szCs w:val="18"/>
                <w:lang w:eastAsia="zh-CN"/>
              </w:rPr>
              <w:t>责任单位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信息化知识与技能的培训</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教育培训</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对两化深度融合、信息消费、智慧城县、三网融合、两化融合管理体系贯标等方面进行培训。</w:t>
            </w:r>
          </w:p>
        </w:tc>
        <w:tc>
          <w:tcPr>
            <w:tcW w:w="1402" w:type="dxa"/>
            <w:tcBorders>
              <w:tl2br w:val="nil"/>
              <w:tr2bl w:val="nil"/>
            </w:tcBorders>
            <w:shd w:val="clear" w:color="auto" w:fill="auto"/>
            <w:vAlign w:val="center"/>
          </w:tcPr>
          <w:p>
            <w:pPr>
              <w:widowControl/>
              <w:jc w:val="left"/>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县经科商局商贸管理股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食品诚信管理体系建设培训服务</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教育培训</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 xml:space="preserve">组织开展食品工业企业诚信标准宣贯工作、行业交流。 </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lang w:eastAsia="zh-CN"/>
              </w:rPr>
              <w:t>县经科商局工业经济运行股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电力法律法规宣传</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宣传推广</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开展以学习、宣传、贯彻《中华人民共和国电力法》、《湖南省电力设施保护和供用电秩序维护条例 》等为主要内容的宣传活动，普及电力行政管理法规知识。</w:t>
            </w:r>
          </w:p>
        </w:tc>
        <w:tc>
          <w:tcPr>
            <w:tcW w:w="1402" w:type="dxa"/>
            <w:tcBorders>
              <w:tl2br w:val="nil"/>
              <w:tr2bl w:val="nil"/>
            </w:tcBorders>
            <w:shd w:val="clear" w:color="auto" w:fill="auto"/>
            <w:vAlign w:val="center"/>
          </w:tcPr>
          <w:p>
            <w:pPr>
              <w:widowControl/>
              <w:jc w:val="left"/>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经科商局综合行政执法大队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对全县工业重点用能企业能源管理负责人进行培训</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教育培训</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 xml:space="preserve">开展国家和省有关节能的法律法规、能源计量、用能管理、标准技术规范宣贯等方面的培训。 </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lang w:eastAsia="zh-CN"/>
              </w:rPr>
              <w:t>县经科商局工业经济运行股和综合</w:t>
            </w:r>
            <w:r>
              <w:rPr>
                <w:rFonts w:ascii="Times New Roman" w:hAnsi="Times New Roman"/>
                <w:kern w:val="0"/>
                <w:sz w:val="18"/>
                <w:szCs w:val="18"/>
              </w:rPr>
              <w:t>执法</w:t>
            </w:r>
            <w:r>
              <w:rPr>
                <w:rFonts w:hint="eastAsia" w:ascii="Times New Roman" w:hAnsi="Times New Roman"/>
                <w:kern w:val="0"/>
                <w:sz w:val="18"/>
                <w:szCs w:val="18"/>
                <w:lang w:eastAsia="zh-CN"/>
              </w:rPr>
              <w:t>大</w:t>
            </w:r>
            <w:r>
              <w:rPr>
                <w:rFonts w:ascii="Times New Roman" w:hAnsi="Times New Roman"/>
                <w:kern w:val="0"/>
                <w:sz w:val="18"/>
                <w:szCs w:val="18"/>
              </w:rPr>
              <w:t>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工业节能、清洁生产和综合利用政策宣传和业务咨询</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宣传推广</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工业节能技术改造、节能评估和审查、合同能源管理、节能监察、节能监测、节能产品惠民工程、工业节水、清洁生产审核、资源综合利用产品（工艺）认定等政策宣传和业务咨询。</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lang w:eastAsia="zh-CN"/>
              </w:rPr>
              <w:t>县经科商局工业经济运行股和综合</w:t>
            </w:r>
            <w:r>
              <w:rPr>
                <w:rFonts w:ascii="Times New Roman" w:hAnsi="Times New Roman"/>
                <w:kern w:val="0"/>
                <w:sz w:val="18"/>
                <w:szCs w:val="18"/>
              </w:rPr>
              <w:t>执法</w:t>
            </w:r>
            <w:r>
              <w:rPr>
                <w:rFonts w:hint="eastAsia" w:ascii="Times New Roman" w:hAnsi="Times New Roman"/>
                <w:kern w:val="0"/>
                <w:sz w:val="18"/>
                <w:szCs w:val="18"/>
                <w:lang w:eastAsia="zh-CN"/>
              </w:rPr>
              <w:t>大</w:t>
            </w:r>
            <w:r>
              <w:rPr>
                <w:rFonts w:ascii="Times New Roman" w:hAnsi="Times New Roman"/>
                <w:kern w:val="0"/>
                <w:sz w:val="18"/>
                <w:szCs w:val="18"/>
              </w:rPr>
              <w:t>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工业企业品牌培育试点工作人才培训</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教育培训</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开展工业企业品牌培育试点工作，组织举办工业企业品牌经理培训。</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lang w:eastAsia="zh-CN"/>
              </w:rPr>
              <w:t>县经科商局工业经济运行股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为中小企业提供公共服务</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其他</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 xml:space="preserve">通过中小企业公共服务平台网络和相关服务机构为中小企业提供创业辅导、管理咨询、信息、法律、技术等服务，搭建平台，组织中小企业投融资对接活动；为中小企业开展融资信用服务。 </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lang w:eastAsia="zh-CN"/>
              </w:rPr>
              <w:t>县经科商局工业经济运行股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开展全县工业和信息化领域教育培训工作</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教育培训</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 xml:space="preserve">组织本系统领导干部业务能力培训，组织全县中小企业领军人才培训，实施“国家中小企业银河培训工程”，指导相关单位开展中小企业技能人才培训。 </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lang w:eastAsia="zh-CN"/>
              </w:rPr>
              <w:t>县经科商局工业经济运行股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组织指导企业参加展会</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其他</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指导和组织工业和信息化企业参加境内外展会，拓展国内外</w:t>
            </w:r>
            <w:r>
              <w:rPr>
                <w:rFonts w:hint="eastAsia" w:ascii="Times New Roman" w:hAnsi="Times New Roman"/>
                <w:kern w:val="0"/>
                <w:sz w:val="18"/>
                <w:szCs w:val="18"/>
                <w:lang w:eastAsia="zh-CN"/>
              </w:rPr>
              <w:t>市场</w:t>
            </w:r>
            <w:r>
              <w:rPr>
                <w:rFonts w:ascii="Times New Roman" w:hAnsi="Times New Roman"/>
                <w:kern w:val="0"/>
                <w:sz w:val="18"/>
                <w:szCs w:val="18"/>
              </w:rPr>
              <w:t xml:space="preserve">。 </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lang w:eastAsia="zh-CN"/>
              </w:rPr>
              <w:t>县经科商局工业经济运行股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服务企业有关主题活动</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其他</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做好服务企业有关主题活动，制定活动方案，调度活动开展情况，督促活动顺利开展，汇编政策文件并进行培训解读。</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lang w:eastAsia="zh-CN"/>
              </w:rPr>
              <w:t>县经科商局工业经济运行股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组织工业（含国防工业）和信息化领域产业对接合作，协调工业（含国防工业）、信息化领域对外交流和合作</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其他</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 xml:space="preserve">牵头组织搭建产业合作平台，开展产业合作对接活动，协调开展产业对外交流与合作。 </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shd w:val="clear"/>
                <w:lang w:eastAsia="zh-CN"/>
              </w:rPr>
              <w:t>县经科商局工业经济运行股和商贸管理股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组织开展散装水泥宣传周活动</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宣传推广</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宣传贯彻《湖南省散装水泥条例》等法规及有关配套文件，布置、指导县县区开展推广散装水泥、预拌混凝土、预拌砂浆宣传等，解答百姓关心的使用散装水泥方面的技术咨询。</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县散装水泥办公室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组织开展无线电管理法规宣传活动</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宣传推广</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 xml:space="preserve">开展以学习、宣传、贯彻《中华人民共和国无线电管理条例》为主要内容的宣传活动 普及无线电管理法规知识，解答百姓关心的无线电管理方面的技术咨询。 </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lang w:eastAsia="zh-CN"/>
              </w:rPr>
              <w:t>县经科商局商贸管理</w:t>
            </w:r>
            <w:r>
              <w:rPr>
                <w:rFonts w:hint="eastAsia" w:ascii="Times New Roman" w:hAnsi="Times New Roman"/>
                <w:kern w:val="0"/>
                <w:sz w:val="18"/>
                <w:szCs w:val="18"/>
              </w:rPr>
              <w:t>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组织开展无线电管理宣传月活动和“2·13”世界无线电日主题宣传</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宣传推广</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 xml:space="preserve">每年9月，开展全国无线电管理宣传月活动 宣传无线电频谱作为通信载体，在促进教育发展、信息传播以及自然灾害中重大信息发布等方面所发挥的重要作用。 </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lang w:eastAsia="zh-CN"/>
              </w:rPr>
              <w:t>县经科商局商贸管理</w:t>
            </w:r>
            <w:r>
              <w:rPr>
                <w:rFonts w:hint="eastAsia" w:ascii="Times New Roman" w:hAnsi="Times New Roman"/>
                <w:kern w:val="0"/>
                <w:sz w:val="18"/>
                <w:szCs w:val="18"/>
              </w:rPr>
              <w:t>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组织开展墙体材料革新法规宣传活动</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宣传推广</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 xml:space="preserve">开展以学习、宣传、贯彻《湖南省新型墙体材料推广应用条例》为主要内容的宣传活动 普及墙体材料革新法律法规知识，解答百姓关心的墙体材料革新方面的技术咨询。 </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县墙体材料改革办公室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工业企业知识产权运用能力培育工程人才培训</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教育培训</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 xml:space="preserve">实施工业企业知识产权运用能力培育工程，组织举办工业企业知识产权人才培训。 </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lang w:eastAsia="zh-CN"/>
              </w:rPr>
              <w:t>县经科商局科技与知识产权管理</w:t>
            </w:r>
            <w:r>
              <w:rPr>
                <w:rFonts w:hint="eastAsia" w:ascii="Times New Roman" w:hAnsi="Times New Roman"/>
                <w:kern w:val="0"/>
                <w:sz w:val="18"/>
                <w:szCs w:val="18"/>
              </w:rPr>
              <w:t>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hint="eastAsia" w:ascii="Times New Roman" w:hAnsi="Times New Roman" w:eastAsia="宋体"/>
                <w:kern w:val="0"/>
                <w:sz w:val="18"/>
                <w:szCs w:val="18"/>
                <w:lang w:eastAsia="zh-CN"/>
              </w:rPr>
            </w:pPr>
            <w:r>
              <w:rPr>
                <w:rFonts w:hint="eastAsia" w:ascii="Times New Roman" w:hAnsi="Times New Roman"/>
                <w:kern w:val="0"/>
                <w:sz w:val="18"/>
                <w:szCs w:val="18"/>
                <w:lang w:eastAsia="zh-CN"/>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湖南省工业转型升级专项项目组织申报</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其他</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组织各县县区申报制造强省专项资金。</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lang w:eastAsia="zh-CN"/>
              </w:rPr>
              <w:t>县经科商局工业经济运行股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 xml:space="preserve">组织指导协调我县与其他国家（地区）的经贸往来与投资贸易合作 </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其他</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组织协调反倾销、反补贴、保障措施及其他进出口公平贸易相关的工作，协助开展对外贸易调查和产业损害调查，指导协调产业安全应对工；协助对经营者集中行为进行反垄断审查，指导企业在国外的反垄断应诉工作。</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rPr>
              <w:t>县</w:t>
            </w:r>
            <w:r>
              <w:rPr>
                <w:rFonts w:hint="eastAsia" w:ascii="Times New Roman" w:hAnsi="Times New Roman"/>
                <w:kern w:val="0"/>
                <w:sz w:val="18"/>
                <w:szCs w:val="18"/>
                <w:lang w:eastAsia="zh-CN"/>
              </w:rPr>
              <w:t>投资促进事务局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支持中小企业电子商务应用</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培训教育</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加强对中小企业电子商务的培训和服务。</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shd w:val="clear"/>
              </w:rPr>
              <w:t>县电子商务发展工作领导小组办公室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保护外派劳务和境外就业人员的合法权益</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其他</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对外派劳务和境外就业人员的合法权益进行保护。</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县投资促进事务局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提供与世界贸易组织有关政策、其他商务活动的咨询服务</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咨询查询</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为我县企业提供与世界贸易组织有关政策、其他商务活动的咨询服务。</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县投资促进事务局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省属国有企业境外客商来郴邀请函办理</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其他</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对省属国有企业邀请境外客商来郴办理邀请函。</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县投资促进事务局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全县成品油</w:t>
            </w:r>
            <w:r>
              <w:rPr>
                <w:rFonts w:hint="eastAsia" w:ascii="Times New Roman" w:hAnsi="Times New Roman"/>
                <w:spacing w:val="-6"/>
                <w:kern w:val="0"/>
                <w:sz w:val="18"/>
                <w:szCs w:val="18"/>
                <w:lang w:eastAsia="zh-CN"/>
              </w:rPr>
              <w:t>市场</w:t>
            </w:r>
            <w:r>
              <w:rPr>
                <w:rFonts w:ascii="Times New Roman" w:hAnsi="Times New Roman"/>
                <w:spacing w:val="-6"/>
                <w:kern w:val="0"/>
                <w:sz w:val="18"/>
                <w:szCs w:val="18"/>
              </w:rPr>
              <w:t>运行监测</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其他</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对全县成品油经营企业运行情况进行数据监测、统计分析。</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rPr>
              <w:t>县经科商局</w:t>
            </w:r>
            <w:r>
              <w:rPr>
                <w:rFonts w:hint="eastAsia" w:ascii="Times New Roman" w:hAnsi="Times New Roman"/>
                <w:kern w:val="0"/>
                <w:sz w:val="18"/>
                <w:szCs w:val="18"/>
                <w:lang w:eastAsia="zh-CN"/>
              </w:rPr>
              <w:t>市场体系建设与</w:t>
            </w:r>
            <w:r>
              <w:rPr>
                <w:rFonts w:ascii="Times New Roman" w:hAnsi="Times New Roman"/>
                <w:kern w:val="0"/>
                <w:sz w:val="18"/>
                <w:szCs w:val="18"/>
              </w:rPr>
              <w:t>运行调节</w:t>
            </w:r>
            <w:r>
              <w:rPr>
                <w:rFonts w:hint="eastAsia" w:ascii="Times New Roman" w:hAnsi="Times New Roman"/>
                <w:kern w:val="0"/>
                <w:sz w:val="18"/>
                <w:szCs w:val="18"/>
              </w:rPr>
              <w:t>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受理外商投资企业的投诉</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投诉受理</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对外商投资企业的投诉进行受理和协调。</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县投资促进事务局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县级</w:t>
            </w:r>
            <w:r>
              <w:rPr>
                <w:rFonts w:hint="eastAsia" w:ascii="Times New Roman" w:hAnsi="Times New Roman"/>
                <w:spacing w:val="-6"/>
                <w:kern w:val="0"/>
                <w:sz w:val="18"/>
                <w:szCs w:val="18"/>
                <w:lang w:eastAsia="zh-CN"/>
              </w:rPr>
              <w:t>市场</w:t>
            </w:r>
            <w:r>
              <w:rPr>
                <w:rFonts w:ascii="Times New Roman" w:hAnsi="Times New Roman"/>
                <w:spacing w:val="-6"/>
                <w:kern w:val="0"/>
                <w:sz w:val="18"/>
                <w:szCs w:val="18"/>
              </w:rPr>
              <w:t>运行监测</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其他</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负责县级</w:t>
            </w:r>
            <w:r>
              <w:rPr>
                <w:rFonts w:hint="eastAsia" w:ascii="Times New Roman" w:hAnsi="Times New Roman"/>
                <w:kern w:val="0"/>
                <w:sz w:val="18"/>
                <w:szCs w:val="18"/>
                <w:lang w:eastAsia="zh-CN"/>
              </w:rPr>
              <w:t>市场</w:t>
            </w:r>
            <w:r>
              <w:rPr>
                <w:rFonts w:ascii="Times New Roman" w:hAnsi="Times New Roman"/>
                <w:kern w:val="0"/>
                <w:sz w:val="18"/>
                <w:szCs w:val="18"/>
              </w:rPr>
              <w:t>运行监测网运维（的运行维护）；承担样本企业数据催报、日常分析及预警等工作。</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rPr>
              <w:t>县经科商局</w:t>
            </w:r>
            <w:r>
              <w:rPr>
                <w:rFonts w:hint="eastAsia" w:ascii="Times New Roman" w:hAnsi="Times New Roman"/>
                <w:kern w:val="0"/>
                <w:sz w:val="18"/>
                <w:szCs w:val="18"/>
                <w:lang w:eastAsia="zh-CN"/>
              </w:rPr>
              <w:t>市场</w:t>
            </w:r>
          </w:p>
          <w:p>
            <w:pPr>
              <w:widowControl/>
              <w:jc w:val="left"/>
              <w:rPr>
                <w:rFonts w:ascii="Times New Roman" w:hAnsi="Times New Roman"/>
                <w:kern w:val="0"/>
                <w:sz w:val="18"/>
                <w:szCs w:val="18"/>
              </w:rPr>
            </w:pPr>
            <w:r>
              <w:rPr>
                <w:rFonts w:hint="eastAsia" w:ascii="Times New Roman" w:hAnsi="Times New Roman"/>
                <w:kern w:val="0"/>
                <w:sz w:val="18"/>
                <w:szCs w:val="18"/>
                <w:lang w:eastAsia="zh-CN"/>
              </w:rPr>
              <w:t>体系建设和</w:t>
            </w:r>
            <w:r>
              <w:rPr>
                <w:rFonts w:ascii="Times New Roman" w:hAnsi="Times New Roman"/>
                <w:kern w:val="0"/>
                <w:sz w:val="18"/>
                <w:szCs w:val="18"/>
              </w:rPr>
              <w:t>运行调节</w:t>
            </w:r>
            <w:r>
              <w:rPr>
                <w:rFonts w:hint="eastAsia" w:ascii="Times New Roman" w:hAnsi="Times New Roman"/>
                <w:kern w:val="0"/>
                <w:sz w:val="18"/>
                <w:szCs w:val="18"/>
              </w:rPr>
              <w:t>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公布全县商贸流通业统计数据</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信息公开</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对全县商贸流通企业经营情况进行数据报送、统计分析。</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rPr>
              <w:t>县经科商局</w:t>
            </w:r>
            <w:r>
              <w:rPr>
                <w:rFonts w:ascii="Times New Roman" w:hAnsi="Times New Roman"/>
                <w:kern w:val="0"/>
                <w:sz w:val="18"/>
                <w:szCs w:val="18"/>
              </w:rPr>
              <w:t>商贸</w:t>
            </w:r>
            <w:r>
              <w:rPr>
                <w:rFonts w:hint="eastAsia" w:ascii="Times New Roman" w:hAnsi="Times New Roman"/>
                <w:kern w:val="0"/>
                <w:sz w:val="18"/>
                <w:szCs w:val="18"/>
                <w:lang w:eastAsia="zh-CN"/>
              </w:rPr>
              <w:t>管理</w:t>
            </w:r>
            <w:r>
              <w:rPr>
                <w:rFonts w:hint="eastAsia" w:ascii="Times New Roman" w:hAnsi="Times New Roman"/>
                <w:kern w:val="0"/>
                <w:sz w:val="18"/>
                <w:szCs w:val="18"/>
              </w:rPr>
              <w:t>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组织对外投资合作活动</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宣传推广</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组织企业参加招商活动和项目对接，交流信息，搭建平台推动合作。</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rPr>
              <w:t>县投资促进事务局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加油站和</w:t>
            </w:r>
            <w:r>
              <w:rPr>
                <w:rFonts w:hint="eastAsia" w:ascii="Times New Roman" w:hAnsi="Times New Roman"/>
                <w:spacing w:val="-6"/>
                <w:kern w:val="0"/>
                <w:sz w:val="18"/>
                <w:szCs w:val="18"/>
                <w:lang w:eastAsia="zh-CN"/>
              </w:rPr>
              <w:t>物流</w:t>
            </w:r>
            <w:r>
              <w:rPr>
                <w:rFonts w:ascii="Times New Roman" w:hAnsi="Times New Roman"/>
                <w:spacing w:val="-6"/>
                <w:kern w:val="0"/>
                <w:sz w:val="18"/>
                <w:szCs w:val="18"/>
              </w:rPr>
              <w:t>行业发展规划</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行业建设</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拟订加油站发展规划。</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rPr>
              <w:t>县经科商局</w:t>
            </w:r>
            <w:r>
              <w:rPr>
                <w:rFonts w:hint="eastAsia" w:ascii="Times New Roman" w:hAnsi="Times New Roman"/>
                <w:kern w:val="0"/>
                <w:sz w:val="18"/>
                <w:szCs w:val="18"/>
                <w:lang w:eastAsia="zh-CN"/>
              </w:rPr>
              <w:t>市场</w:t>
            </w:r>
          </w:p>
          <w:p>
            <w:pPr>
              <w:widowControl/>
              <w:jc w:val="left"/>
              <w:rPr>
                <w:rFonts w:ascii="Times New Roman" w:hAnsi="Times New Roman"/>
                <w:kern w:val="0"/>
                <w:sz w:val="18"/>
                <w:szCs w:val="18"/>
              </w:rPr>
            </w:pPr>
            <w:r>
              <w:rPr>
                <w:rFonts w:hint="eastAsia" w:ascii="Times New Roman" w:hAnsi="Times New Roman"/>
                <w:kern w:val="0"/>
                <w:sz w:val="18"/>
                <w:szCs w:val="18"/>
                <w:lang w:eastAsia="zh-CN"/>
              </w:rPr>
              <w:t>体系建设和</w:t>
            </w:r>
            <w:r>
              <w:rPr>
                <w:rFonts w:ascii="Times New Roman" w:hAnsi="Times New Roman"/>
                <w:kern w:val="0"/>
                <w:sz w:val="18"/>
                <w:szCs w:val="18"/>
              </w:rPr>
              <w:t>运行调节</w:t>
            </w:r>
            <w:r>
              <w:rPr>
                <w:rFonts w:hint="eastAsia" w:ascii="Times New Roman" w:hAnsi="Times New Roman"/>
                <w:kern w:val="0"/>
                <w:sz w:val="18"/>
                <w:szCs w:val="18"/>
              </w:rPr>
              <w:t>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受理商务领域的举报、投诉、申诉</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投诉受理</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接受企业、消费者提出商务领域的举报、投诉、申诉、咨询，按法律规定对申诉予以登记并及时处理。</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ascii="Times New Roman" w:hAnsi="Times New Roman"/>
                <w:kern w:val="0"/>
                <w:sz w:val="18"/>
                <w:szCs w:val="18"/>
                <w:shd w:val="clear"/>
              </w:rPr>
              <w:t>县</w:t>
            </w:r>
            <w:r>
              <w:rPr>
                <w:rFonts w:hint="eastAsia" w:ascii="Times New Roman" w:hAnsi="Times New Roman"/>
                <w:kern w:val="0"/>
                <w:sz w:val="18"/>
                <w:szCs w:val="18"/>
                <w:shd w:val="clear"/>
                <w:lang w:eastAsia="zh-CN"/>
              </w:rPr>
              <w:t>经科商局</w:t>
            </w:r>
            <w:r>
              <w:rPr>
                <w:rFonts w:ascii="Times New Roman" w:hAnsi="Times New Roman"/>
                <w:kern w:val="0"/>
                <w:sz w:val="18"/>
                <w:szCs w:val="18"/>
                <w:shd w:val="clear"/>
              </w:rPr>
              <w:t>综合行政执法</w:t>
            </w:r>
            <w:r>
              <w:rPr>
                <w:rFonts w:hint="eastAsia" w:ascii="Times New Roman" w:hAnsi="Times New Roman"/>
                <w:kern w:val="0"/>
                <w:sz w:val="18"/>
                <w:szCs w:val="18"/>
                <w:shd w:val="clear"/>
                <w:lang w:eastAsia="zh-CN"/>
              </w:rPr>
              <w:t>大</w:t>
            </w:r>
            <w:r>
              <w:rPr>
                <w:rFonts w:ascii="Times New Roman" w:hAnsi="Times New Roman"/>
                <w:kern w:val="0"/>
                <w:sz w:val="18"/>
                <w:szCs w:val="18"/>
                <w:shd w:val="clear"/>
              </w:rPr>
              <w:t>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jc w:val="center"/>
        </w:trPr>
        <w:tc>
          <w:tcPr>
            <w:tcW w:w="472" w:type="dxa"/>
            <w:tcBorders>
              <w:tl2br w:val="nil"/>
              <w:tr2bl w:val="nil"/>
            </w:tcBorders>
            <w:shd w:val="clear" w:color="auto" w:fill="auto"/>
            <w:vAlign w:val="center"/>
          </w:tcPr>
          <w:p>
            <w:pPr>
              <w:widowControl/>
              <w:numPr>
                <w:ilvl w:val="0"/>
                <w:numId w:val="1"/>
              </w:numPr>
              <w:ind w:left="454" w:leftChars="0" w:hanging="341" w:firstLineChars="0"/>
              <w:jc w:val="left"/>
              <w:rPr>
                <w:rFonts w:hint="eastAsia" w:ascii="宋体" w:hAnsi="宋体" w:eastAsia="宋体" w:cs="宋体"/>
              </w:rPr>
            </w:pPr>
          </w:p>
        </w:tc>
        <w:tc>
          <w:tcPr>
            <w:tcW w:w="669"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hint="eastAsia" w:ascii="Times New Roman" w:hAnsi="Times New Roman"/>
                <w:kern w:val="0"/>
                <w:sz w:val="18"/>
                <w:szCs w:val="18"/>
              </w:rPr>
              <w:t>县经科商局</w:t>
            </w:r>
          </w:p>
        </w:tc>
        <w:tc>
          <w:tcPr>
            <w:tcW w:w="2678" w:type="dxa"/>
            <w:tcBorders>
              <w:tl2br w:val="nil"/>
              <w:tr2bl w:val="nil"/>
            </w:tcBorders>
            <w:shd w:val="clear" w:color="auto" w:fill="auto"/>
            <w:vAlign w:val="center"/>
          </w:tcPr>
          <w:p>
            <w:pPr>
              <w:widowControl/>
              <w:jc w:val="left"/>
              <w:rPr>
                <w:rFonts w:ascii="Times New Roman" w:hAnsi="Times New Roman"/>
                <w:spacing w:val="-6"/>
                <w:kern w:val="0"/>
                <w:sz w:val="18"/>
                <w:szCs w:val="18"/>
              </w:rPr>
            </w:pPr>
            <w:r>
              <w:rPr>
                <w:rFonts w:ascii="Times New Roman" w:hAnsi="Times New Roman"/>
                <w:spacing w:val="-6"/>
                <w:kern w:val="0"/>
                <w:sz w:val="18"/>
                <w:szCs w:val="18"/>
              </w:rPr>
              <w:t>加工贸易企业经营状况和生产能力证明</w:t>
            </w:r>
          </w:p>
        </w:tc>
        <w:tc>
          <w:tcPr>
            <w:tcW w:w="780" w:type="dxa"/>
            <w:tcBorders>
              <w:tl2br w:val="nil"/>
              <w:tr2bl w:val="nil"/>
            </w:tcBorders>
            <w:shd w:val="clear" w:color="auto" w:fill="auto"/>
            <w:vAlign w:val="center"/>
          </w:tcPr>
          <w:p>
            <w:pPr>
              <w:widowControl/>
              <w:jc w:val="center"/>
              <w:rPr>
                <w:rFonts w:ascii="Times New Roman" w:hAnsi="Times New Roman"/>
                <w:kern w:val="0"/>
                <w:sz w:val="18"/>
                <w:szCs w:val="18"/>
              </w:rPr>
            </w:pPr>
            <w:r>
              <w:rPr>
                <w:rFonts w:ascii="Times New Roman" w:hAnsi="Times New Roman"/>
                <w:kern w:val="0"/>
                <w:sz w:val="18"/>
                <w:szCs w:val="18"/>
              </w:rPr>
              <w:t>其他</w:t>
            </w:r>
          </w:p>
        </w:tc>
        <w:tc>
          <w:tcPr>
            <w:tcW w:w="8100" w:type="dxa"/>
            <w:tcBorders>
              <w:tl2br w:val="nil"/>
              <w:tr2bl w:val="nil"/>
            </w:tcBorders>
            <w:shd w:val="clear" w:color="auto" w:fill="auto"/>
            <w:vAlign w:val="center"/>
          </w:tcPr>
          <w:p>
            <w:pPr>
              <w:widowControl/>
              <w:spacing w:line="280" w:lineRule="exact"/>
              <w:rPr>
                <w:rFonts w:ascii="Times New Roman" w:hAnsi="Times New Roman"/>
                <w:kern w:val="0"/>
                <w:sz w:val="18"/>
                <w:szCs w:val="18"/>
              </w:rPr>
            </w:pPr>
            <w:r>
              <w:rPr>
                <w:rFonts w:ascii="Times New Roman" w:hAnsi="Times New Roman"/>
                <w:kern w:val="0"/>
                <w:sz w:val="18"/>
                <w:szCs w:val="18"/>
              </w:rPr>
              <w:t>为加工贸易企业提供经营状况和生产能力证明。</w:t>
            </w:r>
          </w:p>
        </w:tc>
        <w:tc>
          <w:tcPr>
            <w:tcW w:w="1402" w:type="dxa"/>
            <w:tcBorders>
              <w:tl2br w:val="nil"/>
              <w:tr2bl w:val="nil"/>
            </w:tcBorders>
            <w:shd w:val="clear" w:color="auto" w:fill="auto"/>
            <w:vAlign w:val="center"/>
          </w:tcPr>
          <w:p>
            <w:pPr>
              <w:widowControl/>
              <w:jc w:val="left"/>
              <w:rPr>
                <w:rFonts w:ascii="Times New Roman" w:hAnsi="Times New Roman"/>
                <w:kern w:val="0"/>
                <w:sz w:val="18"/>
                <w:szCs w:val="18"/>
              </w:rPr>
            </w:pPr>
            <w:r>
              <w:rPr>
                <w:rFonts w:hint="eastAsia" w:ascii="Times New Roman" w:hAnsi="Times New Roman"/>
                <w:kern w:val="0"/>
                <w:sz w:val="18"/>
                <w:szCs w:val="18"/>
              </w:rPr>
              <w:t>县</w:t>
            </w:r>
            <w:r>
              <w:rPr>
                <w:rFonts w:hint="eastAsia" w:ascii="Times New Roman" w:hAnsi="Times New Roman"/>
                <w:kern w:val="0"/>
                <w:sz w:val="18"/>
                <w:szCs w:val="18"/>
                <w:lang w:eastAsia="zh-CN"/>
              </w:rPr>
              <w:t>投资促进事务局</w:t>
            </w:r>
          </w:p>
        </w:tc>
      </w:tr>
    </w:tbl>
    <w:p>
      <w:pPr>
        <w:keepNext w:val="0"/>
        <w:keepLines w:val="0"/>
        <w:pageBreakBefore w:val="0"/>
        <w:widowControl w:val="0"/>
        <w:kinsoku/>
        <w:wordWrap/>
        <w:overflowPunct/>
        <w:topLinePunct w:val="0"/>
        <w:autoSpaceDE/>
        <w:autoSpaceDN/>
        <w:bidi w:val="0"/>
        <w:adjustRightInd/>
        <w:snapToGrid/>
        <w:spacing w:after="0" w:line="20" w:lineRule="exact"/>
        <w:ind w:left="0" w:leftChars="0" w:right="0" w:rightChars="0" w:firstLine="0" w:firstLineChars="0"/>
        <w:jc w:val="both"/>
        <w:textAlignment w:val="auto"/>
        <w:outlineLvl w:val="9"/>
      </w:pPr>
    </w:p>
    <w:sectPr>
      <w:footerReference r:id="rId3" w:type="default"/>
      <w:pgSz w:w="16838" w:h="11906" w:orient="landscape"/>
      <w:pgMar w:top="1440" w:right="1080" w:bottom="1440" w:left="1080" w:header="708" w:footer="708" w:gutter="0"/>
      <w:pgBorders>
        <w:top w:val="none" w:sz="0" w:space="0"/>
        <w:left w:val="none" w:sz="0" w:space="0"/>
        <w:bottom w:val="none" w:sz="0" w:space="0"/>
        <w:right w:val="none" w:sz="0" w:space="0"/>
      </w:pgBorders>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468CF"/>
    <w:multiLevelType w:val="singleLevel"/>
    <w:tmpl w:val="5A4468CF"/>
    <w:lvl w:ilvl="0" w:tentative="0">
      <w:start w:val="1"/>
      <w:numFmt w:val="decimal"/>
      <w:lvlText w:val="%1"/>
      <w:lvlJc w:val="left"/>
      <w:pPr>
        <w:tabs>
          <w:tab w:val="left" w:pos="397"/>
        </w:tabs>
        <w:ind w:left="454" w:leftChars="0" w:hanging="341"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467225"/>
    <w:rsid w:val="008B7726"/>
    <w:rsid w:val="00925AA3"/>
    <w:rsid w:val="009D2281"/>
    <w:rsid w:val="00BE29A1"/>
    <w:rsid w:val="00D31D50"/>
    <w:rsid w:val="048E2467"/>
    <w:rsid w:val="0618740F"/>
    <w:rsid w:val="066F2D74"/>
    <w:rsid w:val="0AB77BBB"/>
    <w:rsid w:val="0D233B02"/>
    <w:rsid w:val="0FBA2025"/>
    <w:rsid w:val="103F24C1"/>
    <w:rsid w:val="112D778D"/>
    <w:rsid w:val="16593F8C"/>
    <w:rsid w:val="16F64B2A"/>
    <w:rsid w:val="1AB73EDD"/>
    <w:rsid w:val="1C0175DA"/>
    <w:rsid w:val="1DA3649C"/>
    <w:rsid w:val="22207105"/>
    <w:rsid w:val="24CD17E8"/>
    <w:rsid w:val="283071C8"/>
    <w:rsid w:val="283B6D6B"/>
    <w:rsid w:val="28A0199D"/>
    <w:rsid w:val="2B9577D5"/>
    <w:rsid w:val="2F77325B"/>
    <w:rsid w:val="325137B1"/>
    <w:rsid w:val="32821D68"/>
    <w:rsid w:val="350D5A14"/>
    <w:rsid w:val="36456DF2"/>
    <w:rsid w:val="36EC15F9"/>
    <w:rsid w:val="387966BA"/>
    <w:rsid w:val="394B4795"/>
    <w:rsid w:val="39DF1421"/>
    <w:rsid w:val="3A1866AA"/>
    <w:rsid w:val="483E6508"/>
    <w:rsid w:val="4950555C"/>
    <w:rsid w:val="4A4845E8"/>
    <w:rsid w:val="4BBC04D0"/>
    <w:rsid w:val="4E39099C"/>
    <w:rsid w:val="4F887A4C"/>
    <w:rsid w:val="506111A4"/>
    <w:rsid w:val="51725B0C"/>
    <w:rsid w:val="531D2BE0"/>
    <w:rsid w:val="533F5080"/>
    <w:rsid w:val="53AB2D04"/>
    <w:rsid w:val="54141460"/>
    <w:rsid w:val="54CD642F"/>
    <w:rsid w:val="58D96972"/>
    <w:rsid w:val="594D0AF8"/>
    <w:rsid w:val="5A907FD6"/>
    <w:rsid w:val="5BD20599"/>
    <w:rsid w:val="5BDB3B94"/>
    <w:rsid w:val="5F9E0B54"/>
    <w:rsid w:val="614A0431"/>
    <w:rsid w:val="619245C2"/>
    <w:rsid w:val="626E5A27"/>
    <w:rsid w:val="6BD62059"/>
    <w:rsid w:val="6FEC798E"/>
    <w:rsid w:val="724E2796"/>
    <w:rsid w:val="74A26C2C"/>
    <w:rsid w:val="74C6076B"/>
    <w:rsid w:val="74E96D7D"/>
    <w:rsid w:val="78556A1A"/>
    <w:rsid w:val="7E9414A6"/>
    <w:rsid w:val="7F843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widowControl/>
      <w:tabs>
        <w:tab w:val="center" w:pos="4153"/>
        <w:tab w:val="right" w:pos="8306"/>
      </w:tabs>
      <w:adjustRightInd w:val="0"/>
      <w:snapToGrid w:val="0"/>
      <w:spacing w:after="200"/>
      <w:jc w:val="left"/>
    </w:pPr>
    <w:rPr>
      <w:rFonts w:ascii="Tahoma" w:hAnsi="Tahoma" w:eastAsia="微软雅黑" w:cstheme="minorBidi"/>
      <w:kern w:val="0"/>
      <w:sz w:val="18"/>
      <w:szCs w:val="18"/>
    </w:rPr>
  </w:style>
  <w:style w:type="paragraph" w:styleId="3">
    <w:name w:val="header"/>
    <w:basedOn w:val="1"/>
    <w:link w:val="6"/>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cstheme="minorBidi"/>
      <w:kern w:val="0"/>
      <w:sz w:val="18"/>
      <w:szCs w:val="18"/>
    </w:rPr>
  </w:style>
  <w:style w:type="character" w:customStyle="1" w:styleId="6">
    <w:name w:val="页眉 Char"/>
    <w:basedOn w:val="4"/>
    <w:link w:val="3"/>
    <w:semiHidden/>
    <w:qFormat/>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433</Words>
  <Characters>2470</Characters>
  <Lines>20</Lines>
  <Paragraphs>5</Paragraphs>
  <TotalTime>0</TotalTime>
  <ScaleCrop>false</ScaleCrop>
  <LinksUpToDate>false</LinksUpToDate>
  <CharactersWithSpaces>2898</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2018-05-04T02:51:20Z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