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附件5</w:t>
      </w:r>
    </w:p>
    <w:p>
      <w:pPr>
        <w:spacing w:line="740" w:lineRule="exact"/>
        <w:ind w:firstLine="2000" w:firstLineChars="500"/>
        <w:jc w:val="center"/>
        <w:rPr>
          <w:rFonts w:ascii="方正小标宋_GBK" w:hAnsi="宋体" w:eastAsia="方正小标宋_GBK" w:cs="Times New Roman"/>
          <w:sz w:val="40"/>
          <w:szCs w:val="40"/>
        </w:rPr>
      </w:pPr>
      <w:bookmarkStart w:id="0" w:name="_GoBack"/>
      <w:r>
        <w:rPr>
          <w:rFonts w:hint="eastAsia" w:ascii="方正小标宋_GBK" w:hAnsi="宋体" w:eastAsia="方正小标宋_GBK" w:cs="Times New Roman"/>
          <w:sz w:val="40"/>
          <w:szCs w:val="40"/>
        </w:rPr>
        <w:t>饮用水水源保护区矢量化工作须提供数据清单</w:t>
      </w:r>
    </w:p>
    <w:bookmarkEnd w:id="0"/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1、县级以上饮用水水源保护区划分图（JPEG格式，范围与湘政函〔2016〕176号文《湖南省人民政府关于公布&lt;湖南省县级以上地表水集中式饮用水水源保护区划定方案&gt;的通知》一致）；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2、县级及以上饮用水水源保护区边界数据（CAD、kmz、shp，或者其他格式的矢量数据）；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3、县级及以上饮用水水源保护区拐点坐标（有kmz、shp等矢量数据的，可以不提供坐标）。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1653C"/>
    <w:rsid w:val="2A0165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2018-05-20T06:04:00Z</dcterms:created>
  <dc:creator>hp</dc:creator>
  <cp:lastModifiedBy>hp</cp:lastModifiedBy>
  <dcterms:modified xsi:type="dcterms:W3CDTF">2018-05-20T06:04:18Z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