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00"/>
        <w:rPr>
          <w:rFonts w:hint="eastAsia"/>
          <w:sz w:val="44"/>
          <w:szCs w:val="44"/>
          <w:lang w:val="en-US" w:eastAsia="zh-CN"/>
        </w:rPr>
      </w:pPr>
      <w:bookmarkStart w:id="0" w:name="_GoBack"/>
      <w:bookmarkEnd w:id="0"/>
      <w:r>
        <w:rPr>
          <w:rFonts w:hint="eastAsia"/>
          <w:sz w:val="44"/>
          <w:szCs w:val="44"/>
          <w:lang w:eastAsia="zh-CN"/>
        </w:rPr>
        <w:t>郴州市生态环境局临武分局</w:t>
      </w:r>
    </w:p>
    <w:p>
      <w:pPr>
        <w:ind w:firstLine="600"/>
        <w:rPr>
          <w:rFonts w:hint="eastAsia"/>
          <w:sz w:val="44"/>
          <w:szCs w:val="44"/>
          <w:lang w:val="en-US" w:eastAsia="zh-CN"/>
        </w:rPr>
      </w:pPr>
      <w:r>
        <w:rPr>
          <w:rFonts w:hint="eastAsia"/>
          <w:sz w:val="44"/>
          <w:szCs w:val="44"/>
          <w:lang w:val="en-US" w:eastAsia="zh-CN"/>
        </w:rPr>
        <w:t>2019年绩效自评报告</w:t>
      </w:r>
    </w:p>
    <w:p>
      <w:pPr>
        <w:ind w:firstLine="600"/>
        <w:rPr>
          <w:rFonts w:hint="eastAsia"/>
          <w:sz w:val="44"/>
          <w:szCs w:val="44"/>
          <w:lang w:val="en-US" w:eastAsia="zh-CN"/>
        </w:rPr>
      </w:pPr>
    </w:p>
    <w:p>
      <w:pPr>
        <w:numPr>
          <w:ilvl w:val="0"/>
          <w:numId w:val="1"/>
        </w:numPr>
        <w:spacing w:line="600" w:lineRule="exact"/>
        <w:ind w:firstLine="196"/>
        <w:jc w:val="left"/>
        <w:rPr>
          <w:rFonts w:eastAsia="黑体"/>
          <w:sz w:val="32"/>
          <w:szCs w:val="32"/>
        </w:rPr>
      </w:pPr>
      <w:r>
        <w:rPr>
          <w:rFonts w:hint="eastAsia" w:eastAsia="黑体"/>
          <w:sz w:val="32"/>
          <w:szCs w:val="32"/>
          <w:lang w:eastAsia="zh-CN"/>
        </w:rPr>
        <w:t>部门职能职责</w:t>
      </w:r>
    </w:p>
    <w:p>
      <w:pPr>
        <w:pageBreakBefore w:val="0"/>
        <w:autoSpaceDE/>
        <w:autoSpaceDN/>
        <w:bidi w:val="0"/>
        <w:snapToGrid/>
        <w:spacing w:before="450" w:after="450" w:line="600" w:lineRule="atLeast"/>
        <w:ind w:left="1120" w:right="0" w:firstLine="560"/>
        <w:jc w:val="both"/>
        <w:rPr>
          <w:rFonts w:ascii="Calibri" w:hAnsi="宋体" w:eastAsia="宋体" w:cs="宋体"/>
          <w:color w:val="auto"/>
          <w:spacing w:val="0"/>
          <w:sz w:val="21"/>
          <w:szCs w:val="21"/>
          <w:shd w:val="clear" w:color="000000"/>
          <w:rtl w:val="0"/>
        </w:rPr>
      </w:pPr>
      <w:r>
        <w:rPr>
          <w:rFonts w:ascii="仿宋" w:hAnsi="仿宋" w:eastAsia="仿宋" w:cs="仿宋"/>
          <w:color w:val="000000"/>
          <w:spacing w:val="0"/>
          <w:sz w:val="32"/>
          <w:szCs w:val="32"/>
          <w:shd w:val="clear" w:color="000000"/>
          <w:rtl w:val="0"/>
        </w:rPr>
        <w:t>（一）贯彻执行国家环保方针政策、法律法规以及省内环保法规、规章制度和技术政策。研究拟定全县环保依法行政实施办法和规章制度、技术措施；贯彻执行国家和地方的各类环境标准；组织实施环境友好型社会建设目标；监督有依法行使环境监督管理职权的县直有关部门及企事业单位的环保工作，对全县环保工作实施统一监督管理。</w:t>
      </w:r>
    </w:p>
    <w:p>
      <w:pPr>
        <w:pageBreakBefore w:val="0"/>
        <w:autoSpaceDE/>
        <w:autoSpaceDN/>
        <w:bidi w:val="0"/>
        <w:snapToGrid/>
        <w:spacing w:before="450" w:after="450" w:line="600" w:lineRule="atLeast"/>
        <w:ind w:left="1120" w:right="0" w:firstLine="560"/>
        <w:jc w:val="both"/>
        <w:rPr>
          <w:rFonts w:ascii="Calibri" w:hAnsi="宋体" w:eastAsia="宋体" w:cs="宋体"/>
          <w:color w:val="auto"/>
          <w:spacing w:val="0"/>
          <w:sz w:val="21"/>
          <w:szCs w:val="21"/>
          <w:shd w:val="clear" w:color="000000"/>
          <w:rtl w:val="0"/>
        </w:rPr>
      </w:pPr>
      <w:r>
        <w:rPr>
          <w:rFonts w:ascii="仿宋" w:hAnsi="仿宋" w:eastAsia="仿宋" w:cs="仿宋"/>
          <w:color w:val="000000"/>
          <w:spacing w:val="0"/>
          <w:sz w:val="32"/>
          <w:szCs w:val="32"/>
          <w:shd w:val="clear" w:color="000000"/>
          <w:rtl w:val="0"/>
        </w:rPr>
        <w:t>（二）制定全县环境保护规划和计划，组织拟定和监督实施本县确定的重点区域、重点流域、重点行业污染防治规划、饮用水水源地环境保护规划和生态保护规划，组织编制全县环境功能区划；参与编制本县国民经济和社会发展规划和计划，审核城镇规划及小区规划的环保内容。</w:t>
      </w:r>
    </w:p>
    <w:p>
      <w:pPr>
        <w:pageBreakBefore w:val="0"/>
        <w:autoSpaceDE/>
        <w:autoSpaceDN/>
        <w:bidi w:val="0"/>
        <w:snapToGrid/>
        <w:spacing w:before="450" w:after="450" w:line="600" w:lineRule="atLeast"/>
        <w:ind w:left="1120" w:right="0" w:firstLine="560"/>
        <w:jc w:val="both"/>
        <w:rPr>
          <w:rFonts w:ascii="Calibri" w:hAnsi="宋体" w:eastAsia="宋体" w:cs="宋体"/>
          <w:color w:val="auto"/>
          <w:spacing w:val="0"/>
          <w:sz w:val="21"/>
          <w:szCs w:val="21"/>
          <w:shd w:val="clear" w:color="000000"/>
          <w:rtl w:val="0"/>
        </w:rPr>
      </w:pPr>
      <w:r>
        <w:rPr>
          <w:rFonts w:ascii="仿宋" w:hAnsi="仿宋" w:eastAsia="仿宋" w:cs="仿宋"/>
          <w:color w:val="000000"/>
          <w:spacing w:val="0"/>
          <w:sz w:val="32"/>
          <w:szCs w:val="32"/>
          <w:shd w:val="clear" w:color="000000"/>
          <w:rtl w:val="0"/>
        </w:rPr>
        <w:t>（三）负责重大环境问题的统筹协调和监督管理。参与重大经济活动和建设项目的环保调研和综合决策。受县政府委托对重大经济和技术政策、发展规划以及重大经济开发计划进行环境影响评价，对涉及环境保护的地方性办法草案提出有关环境影响方面的建议。牵头协调较大、协助重特大环境污染事故和生态破坏事件的调查处理，指导协调全县突发环境事件的应急、预警工作，协调解决全县跨区域环境污染纠纷，统筹协调全县重点流域、区域污染防治工作。</w:t>
      </w:r>
    </w:p>
    <w:p>
      <w:pPr>
        <w:pageBreakBefore w:val="0"/>
        <w:autoSpaceDE/>
        <w:autoSpaceDN/>
        <w:bidi w:val="0"/>
        <w:snapToGrid/>
        <w:spacing w:before="450" w:after="450" w:line="600" w:lineRule="atLeast"/>
        <w:ind w:left="1120" w:right="0" w:firstLine="560"/>
        <w:jc w:val="both"/>
        <w:rPr>
          <w:rFonts w:ascii="Calibri" w:hAnsi="宋体" w:eastAsia="宋体" w:cs="宋体"/>
          <w:color w:val="auto"/>
          <w:spacing w:val="0"/>
          <w:sz w:val="21"/>
          <w:szCs w:val="21"/>
          <w:shd w:val="clear" w:color="000000"/>
          <w:rtl w:val="0"/>
        </w:rPr>
      </w:pPr>
      <w:r>
        <w:rPr>
          <w:rFonts w:ascii="仿宋" w:hAnsi="仿宋" w:eastAsia="仿宋" w:cs="仿宋"/>
          <w:color w:val="000000"/>
          <w:spacing w:val="0"/>
          <w:sz w:val="32"/>
          <w:szCs w:val="32"/>
          <w:shd w:val="clear" w:color="000000"/>
          <w:rtl w:val="0"/>
        </w:rPr>
        <w:t>（四）负责落全县减排目标的责任。组织实施全县主要污染物排放总量控制和排污许可证制度，提出实施总量控制的污染物名称和控制指标，督查、督办、核查全县污染物减排任务完成情况，实施环境保护目标责任制、总量减排考核并公布考核结果。</w:t>
      </w:r>
    </w:p>
    <w:p>
      <w:pPr>
        <w:pageBreakBefore w:val="0"/>
        <w:autoSpaceDE/>
        <w:autoSpaceDN/>
        <w:bidi w:val="0"/>
        <w:snapToGrid/>
        <w:spacing w:before="450" w:after="450" w:line="600" w:lineRule="atLeast"/>
        <w:ind w:left="1120" w:right="0" w:firstLine="560"/>
        <w:jc w:val="both"/>
        <w:rPr>
          <w:rFonts w:ascii="Calibri" w:hAnsi="宋体" w:eastAsia="宋体" w:cs="宋体"/>
          <w:color w:val="auto"/>
          <w:spacing w:val="0"/>
          <w:sz w:val="21"/>
          <w:szCs w:val="21"/>
          <w:shd w:val="clear" w:color="000000"/>
          <w:rtl w:val="0"/>
        </w:rPr>
      </w:pPr>
      <w:r>
        <w:rPr>
          <w:rFonts w:ascii="仿宋" w:hAnsi="仿宋" w:eastAsia="仿宋" w:cs="仿宋"/>
          <w:color w:val="000000"/>
          <w:spacing w:val="0"/>
          <w:sz w:val="32"/>
          <w:szCs w:val="32"/>
          <w:shd w:val="clear" w:color="000000"/>
          <w:rtl w:val="0"/>
        </w:rPr>
        <w:t>（五）负责提出全县环境保护领域固定资产投资规模和方向、县级财政性资金安排的建议。参与指导和推动全县循环经济与环保产业发展。参与应对气候变化工作。</w:t>
      </w:r>
    </w:p>
    <w:p>
      <w:pPr>
        <w:pageBreakBefore w:val="0"/>
        <w:autoSpaceDE/>
        <w:autoSpaceDN/>
        <w:bidi w:val="0"/>
        <w:snapToGrid/>
        <w:spacing w:before="450" w:after="450" w:line="600" w:lineRule="atLeast"/>
        <w:ind w:left="1120" w:right="0" w:firstLine="560"/>
        <w:jc w:val="both"/>
        <w:rPr>
          <w:rFonts w:ascii="Calibri" w:hAnsi="宋体" w:eastAsia="宋体" w:cs="宋体"/>
          <w:color w:val="auto"/>
          <w:spacing w:val="0"/>
          <w:sz w:val="21"/>
          <w:szCs w:val="21"/>
          <w:shd w:val="clear" w:color="000000"/>
          <w:rtl w:val="0"/>
        </w:rPr>
      </w:pPr>
      <w:r>
        <w:rPr>
          <w:rFonts w:ascii="仿宋" w:hAnsi="仿宋" w:eastAsia="仿宋" w:cs="仿宋"/>
          <w:color w:val="000000"/>
          <w:spacing w:val="0"/>
          <w:sz w:val="32"/>
          <w:szCs w:val="32"/>
          <w:shd w:val="clear" w:color="000000"/>
          <w:rtl w:val="0"/>
        </w:rPr>
        <w:t>（六）监督管理废气、废水、固体废弃物、噪声、放射性、电磁辐射、有毒化学品、机动车等污染和其他公害的防治。负责污染源的限期治理工作，负责固体废物的监督管理，负责危险废物经营许可证的审核报批和监督管理，负责对全县废物利用进出口以及有毒化学品进出口的检查；会同有关部门监督管理饮用水源地环境保护工作；组织指导全县环境污染综合整治工作，监督各类区域环境综合整治及污染防治示范工程的实施。</w:t>
      </w:r>
    </w:p>
    <w:p>
      <w:pPr>
        <w:pageBreakBefore w:val="0"/>
        <w:autoSpaceDE/>
        <w:autoSpaceDN/>
        <w:bidi w:val="0"/>
        <w:snapToGrid/>
        <w:spacing w:before="450" w:after="450" w:line="600" w:lineRule="atLeast"/>
        <w:ind w:left="1120" w:right="0" w:firstLine="560"/>
        <w:jc w:val="both"/>
        <w:rPr>
          <w:rFonts w:ascii="Calibri" w:hAnsi="宋体" w:eastAsia="宋体" w:cs="宋体"/>
          <w:color w:val="auto"/>
          <w:spacing w:val="0"/>
          <w:sz w:val="21"/>
          <w:szCs w:val="21"/>
          <w:shd w:val="clear" w:color="000000"/>
          <w:rtl w:val="0"/>
        </w:rPr>
      </w:pPr>
      <w:r>
        <w:rPr>
          <w:rFonts w:ascii="仿宋" w:hAnsi="仿宋" w:eastAsia="仿宋" w:cs="仿宋"/>
          <w:color w:val="000000"/>
          <w:spacing w:val="0"/>
          <w:sz w:val="32"/>
          <w:szCs w:val="32"/>
          <w:shd w:val="clear" w:color="000000"/>
          <w:rtl w:val="0"/>
        </w:rPr>
        <w:t>（七）监督管理自然生态保护工作，对县内各种类型自然保护区和风景名胜区、森林公园环境保护以及生物多样性、野生动植物、湿地等环境保护工作进行监督检查，监督管理生态环境建设和生态破坏恢复；负责指导县内新建自然保护区申报、农村生态保护和全县生态示范区建设和生态农业建设等。</w:t>
      </w:r>
    </w:p>
    <w:p>
      <w:pPr>
        <w:pageBreakBefore w:val="0"/>
        <w:autoSpaceDE/>
        <w:autoSpaceDN/>
        <w:bidi w:val="0"/>
        <w:snapToGrid/>
        <w:spacing w:before="450" w:after="450" w:line="600" w:lineRule="atLeast"/>
        <w:ind w:left="1120" w:right="0" w:firstLine="560"/>
        <w:jc w:val="both"/>
        <w:rPr>
          <w:rFonts w:ascii="Calibri" w:hAnsi="宋体" w:eastAsia="宋体" w:cs="宋体"/>
          <w:color w:val="auto"/>
          <w:spacing w:val="0"/>
          <w:sz w:val="21"/>
          <w:szCs w:val="21"/>
          <w:shd w:val="clear" w:color="000000"/>
          <w:rtl w:val="0"/>
        </w:rPr>
      </w:pPr>
      <w:r>
        <w:rPr>
          <w:rFonts w:ascii="仿宋" w:hAnsi="仿宋" w:eastAsia="仿宋" w:cs="仿宋"/>
          <w:color w:val="000000"/>
          <w:spacing w:val="0"/>
          <w:sz w:val="32"/>
          <w:szCs w:val="32"/>
          <w:shd w:val="clear" w:color="000000"/>
          <w:rtl w:val="0"/>
        </w:rPr>
        <w:t>（八）监督管理全县开发建设活动所产生环境污染和生态破坏的防治。负责全县开发建设项目环保管理，按国家规定承办开发建设项目环境影响报告书（表）审批、环保施“三同时”检查督促及竣工验收的有关工作，并负责“三同时”保证金的收缴与管理。</w:t>
      </w:r>
    </w:p>
    <w:p>
      <w:pPr>
        <w:pageBreakBefore w:val="0"/>
        <w:autoSpaceDE/>
        <w:autoSpaceDN/>
        <w:bidi w:val="0"/>
        <w:snapToGrid/>
        <w:spacing w:before="450" w:after="450" w:line="600" w:lineRule="atLeast"/>
        <w:ind w:left="1120" w:right="0" w:firstLine="560"/>
        <w:jc w:val="both"/>
        <w:rPr>
          <w:rFonts w:ascii="Calibri" w:hAnsi="宋体" w:eastAsia="宋体" w:cs="宋体"/>
          <w:color w:val="auto"/>
          <w:spacing w:val="0"/>
          <w:sz w:val="21"/>
          <w:szCs w:val="21"/>
          <w:shd w:val="clear" w:color="000000"/>
          <w:rtl w:val="0"/>
        </w:rPr>
      </w:pPr>
      <w:r>
        <w:rPr>
          <w:rFonts w:ascii="仿宋" w:hAnsi="仿宋" w:eastAsia="仿宋" w:cs="仿宋"/>
          <w:color w:val="000000"/>
          <w:spacing w:val="0"/>
          <w:sz w:val="32"/>
          <w:szCs w:val="32"/>
          <w:shd w:val="clear" w:color="000000"/>
          <w:rtl w:val="0"/>
        </w:rPr>
        <w:t>（九）负责全县核事故应急管理工作以及核安全和辐射安全的监督管理。组织实施国家和省核与辐射安全政策、规划、标准。监督管理核设施安全、放射源安全，监督管理核设施、核技术应用、电磁辐射、伴有放射性矿产资源开发利用中的污染防治。负责放射性同位素、射线装置生产、销售、使用的审核报批。对核材料的管理和民用核安全设备的设计、制造、安装和无损检查活动实施监督管理。</w:t>
      </w:r>
    </w:p>
    <w:p>
      <w:pPr>
        <w:pageBreakBefore w:val="0"/>
        <w:autoSpaceDE/>
        <w:autoSpaceDN/>
        <w:bidi w:val="0"/>
        <w:snapToGrid/>
        <w:spacing w:before="450" w:after="450" w:line="600" w:lineRule="atLeast"/>
        <w:ind w:left="1120" w:right="0" w:firstLine="560"/>
        <w:jc w:val="both"/>
        <w:rPr>
          <w:rFonts w:ascii="Calibri" w:hAnsi="宋体" w:eastAsia="宋体" w:cs="宋体"/>
          <w:color w:val="auto"/>
          <w:spacing w:val="0"/>
          <w:sz w:val="21"/>
          <w:szCs w:val="21"/>
          <w:shd w:val="clear" w:color="000000"/>
          <w:rtl w:val="0"/>
        </w:rPr>
      </w:pPr>
      <w:r>
        <w:rPr>
          <w:rFonts w:ascii="仿宋" w:hAnsi="仿宋" w:eastAsia="仿宋" w:cs="仿宋"/>
          <w:color w:val="000000"/>
          <w:spacing w:val="0"/>
          <w:sz w:val="32"/>
          <w:szCs w:val="32"/>
          <w:shd w:val="clear" w:color="000000"/>
          <w:rtl w:val="0"/>
        </w:rPr>
        <w:t>（十）负责监控监测全县环境质量和污染状况及动态趋势，组织实施环境质量监测和污染源监督性监测；组织对全县环境质量状况进行调查评估、预测预警，编报全县环境质量报告书，发布环境状况公报；承办城市环境综合整治定量考核工作；负责环境统计、信息化基础工作，组织建设和管理全县环境监测网和环境情报信息网，统一发布全县环境综合性报告和重大环境信息。</w:t>
      </w:r>
    </w:p>
    <w:p>
      <w:pPr>
        <w:pageBreakBefore w:val="0"/>
        <w:autoSpaceDE/>
        <w:autoSpaceDN/>
        <w:bidi w:val="0"/>
        <w:snapToGrid/>
        <w:spacing w:before="450" w:after="450" w:line="600" w:lineRule="atLeast"/>
        <w:ind w:left="1120" w:right="0" w:firstLine="560"/>
        <w:jc w:val="both"/>
        <w:rPr>
          <w:rFonts w:ascii="Calibri" w:hAnsi="宋体" w:eastAsia="宋体" w:cs="宋体"/>
          <w:color w:val="auto"/>
          <w:spacing w:val="0"/>
          <w:sz w:val="21"/>
          <w:szCs w:val="21"/>
          <w:shd w:val="clear" w:color="000000"/>
          <w:rtl w:val="0"/>
        </w:rPr>
      </w:pPr>
      <w:r>
        <w:rPr>
          <w:rFonts w:ascii="仿宋" w:hAnsi="仿宋" w:eastAsia="仿宋" w:cs="仿宋"/>
          <w:color w:val="000000"/>
          <w:spacing w:val="0"/>
          <w:sz w:val="32"/>
          <w:szCs w:val="32"/>
          <w:shd w:val="clear" w:color="000000"/>
          <w:rtl w:val="0"/>
        </w:rPr>
        <w:t>（十一）组织开展环境科学技术工作，指导县内环境科学研究、环保技术示范工程；负责环境管理体系、环境标志、环境工程资质等认证的有关管理工作，推动环保产业发展，规范环保市场。</w:t>
      </w:r>
    </w:p>
    <w:p>
      <w:pPr>
        <w:pageBreakBefore w:val="0"/>
        <w:autoSpaceDE/>
        <w:autoSpaceDN/>
        <w:bidi w:val="0"/>
        <w:snapToGrid/>
        <w:spacing w:before="450" w:after="450" w:line="600" w:lineRule="atLeast"/>
        <w:ind w:left="1120" w:right="0" w:firstLine="560"/>
        <w:jc w:val="both"/>
        <w:rPr>
          <w:rFonts w:ascii="Calibri" w:hAnsi="宋体" w:eastAsia="宋体" w:cs="宋体"/>
          <w:color w:val="auto"/>
          <w:spacing w:val="0"/>
          <w:sz w:val="21"/>
          <w:szCs w:val="21"/>
          <w:shd w:val="clear" w:color="000000"/>
          <w:rtl w:val="0"/>
        </w:rPr>
      </w:pPr>
      <w:r>
        <w:rPr>
          <w:rFonts w:ascii="仿宋" w:hAnsi="仿宋" w:eastAsia="仿宋" w:cs="仿宋"/>
          <w:color w:val="000000"/>
          <w:spacing w:val="0"/>
          <w:sz w:val="32"/>
          <w:szCs w:val="32"/>
          <w:shd w:val="clear" w:color="000000"/>
          <w:rtl w:val="0"/>
        </w:rPr>
        <w:t>（十二）组织、指导和协调全县环境保护宣传教育工作；制定并组织实施全县环境保护宣传教育纲要，开展生态文明建设和环境友好型社会建设的有关宣传教育工作，推动社会公众和非政府组织参与环保。</w:t>
      </w:r>
    </w:p>
    <w:p>
      <w:pPr>
        <w:pageBreakBefore w:val="0"/>
        <w:autoSpaceDE/>
        <w:autoSpaceDN/>
        <w:bidi w:val="0"/>
        <w:snapToGrid/>
        <w:spacing w:before="450" w:after="450" w:line="600" w:lineRule="atLeast"/>
        <w:ind w:left="1120" w:right="0" w:firstLine="560"/>
        <w:jc w:val="both"/>
        <w:rPr>
          <w:rFonts w:ascii="Calibri" w:hAnsi="宋体" w:eastAsia="宋体" w:cs="宋体"/>
          <w:color w:val="auto"/>
          <w:spacing w:val="0"/>
          <w:sz w:val="21"/>
          <w:szCs w:val="21"/>
          <w:shd w:val="clear" w:color="000000"/>
          <w:rtl w:val="0"/>
        </w:rPr>
      </w:pPr>
      <w:r>
        <w:rPr>
          <w:rFonts w:ascii="仿宋" w:hAnsi="仿宋" w:eastAsia="仿宋" w:cs="仿宋"/>
          <w:color w:val="000000"/>
          <w:spacing w:val="0"/>
          <w:sz w:val="32"/>
          <w:szCs w:val="32"/>
          <w:shd w:val="clear" w:color="000000"/>
          <w:rtl w:val="0"/>
        </w:rPr>
        <w:t>（十三）负责监督检查全县范围内排污单位执行环保法律、法规、政策的情况，查处环境违法行为，负责未纳入税费一体化征收范围内企业排污费的征收、减缓免及稽查。</w:t>
      </w:r>
    </w:p>
    <w:p>
      <w:pPr>
        <w:pageBreakBefore w:val="0"/>
        <w:autoSpaceDE/>
        <w:autoSpaceDN/>
        <w:bidi w:val="0"/>
        <w:snapToGrid/>
        <w:spacing w:before="450" w:after="450" w:line="600" w:lineRule="atLeast"/>
        <w:ind w:left="1120" w:right="0" w:firstLine="560"/>
        <w:jc w:val="both"/>
        <w:rPr>
          <w:rFonts w:ascii="Calibri" w:hAnsi="宋体" w:eastAsia="宋体" w:cs="宋体"/>
          <w:color w:val="auto"/>
          <w:spacing w:val="0"/>
          <w:sz w:val="21"/>
          <w:szCs w:val="21"/>
          <w:shd w:val="clear" w:color="000000"/>
          <w:rtl w:val="0"/>
        </w:rPr>
      </w:pPr>
      <w:r>
        <w:rPr>
          <w:rFonts w:ascii="仿宋" w:hAnsi="仿宋" w:eastAsia="仿宋" w:cs="仿宋"/>
          <w:color w:val="000000"/>
          <w:spacing w:val="0"/>
          <w:sz w:val="32"/>
          <w:szCs w:val="32"/>
          <w:shd w:val="clear" w:color="000000"/>
          <w:rtl w:val="0"/>
        </w:rPr>
        <w:t>（十四）承办县委、县政府及上级主管部门交办的其他事项。</w:t>
      </w:r>
    </w:p>
    <w:p>
      <w:pPr>
        <w:pageBreakBefore w:val="0"/>
        <w:autoSpaceDE/>
        <w:autoSpaceDN/>
        <w:bidi w:val="0"/>
        <w:snapToGrid/>
        <w:spacing w:before="450" w:after="450" w:line="600" w:lineRule="atLeast"/>
        <w:ind w:left="1120" w:right="0" w:firstLine="560"/>
        <w:jc w:val="both"/>
        <w:rPr>
          <w:rFonts w:hint="eastAsia" w:ascii="宋体" w:hAnsi="宋体" w:eastAsia="宋体" w:cs="宋体"/>
          <w:sz w:val="32"/>
          <w:szCs w:val="32"/>
          <w:lang w:eastAsia="zh-CN"/>
        </w:rPr>
      </w:pPr>
      <w:r>
        <w:rPr>
          <w:rFonts w:ascii="仿宋" w:hAnsi="仿宋" w:eastAsia="仿宋" w:cs="仿宋"/>
          <w:color w:val="000000"/>
          <w:spacing w:val="0"/>
          <w:sz w:val="32"/>
          <w:szCs w:val="32"/>
          <w:shd w:val="clear" w:color="000000"/>
          <w:rtl w:val="0"/>
        </w:rPr>
        <w:t>（十五）负责全县突发性环境污染、生态破坏与辐射事故应急响应系统、环境安全信息平台的建设和管理工作；负责制定并组织实施全县突发性环境事件应急预案，指导重点行业企业做好环境污染事故应急预案、演练等工作；负责突发环境事件接预警、现场处置及有关信息发布；承担全县环境治理重大项目的前期调查、可行性研究、项目包装等工作。</w:t>
      </w:r>
    </w:p>
    <w:p>
      <w:pPr>
        <w:spacing w:line="600" w:lineRule="exact"/>
        <w:rPr>
          <w:rFonts w:hint="eastAsia" w:ascii="黑体" w:hAnsi="黑体" w:eastAsia="黑体"/>
          <w:sz w:val="32"/>
          <w:szCs w:val="32"/>
          <w:lang w:eastAsia="zh-CN"/>
        </w:rPr>
      </w:pPr>
      <w:r>
        <w:rPr>
          <w:rFonts w:hint="eastAsia" w:ascii="黑体" w:hAnsi="黑体" w:eastAsia="黑体"/>
          <w:sz w:val="32"/>
          <w:szCs w:val="32"/>
        </w:rPr>
        <w:t>二、机构设置</w:t>
      </w:r>
      <w:r>
        <w:rPr>
          <w:rFonts w:hint="eastAsia" w:ascii="黑体" w:hAnsi="黑体" w:eastAsia="黑体"/>
          <w:sz w:val="32"/>
          <w:szCs w:val="32"/>
          <w:lang w:eastAsia="zh-CN"/>
        </w:rPr>
        <w:t>及整体概况</w:t>
      </w:r>
    </w:p>
    <w:p>
      <w:pPr>
        <w:pageBreakBefore w:val="0"/>
        <w:autoSpaceDE/>
        <w:autoSpaceDN/>
        <w:bidi w:val="0"/>
        <w:snapToGrid/>
        <w:spacing w:before="300" w:after="300" w:line="33" w:lineRule="atLeast"/>
        <w:ind w:left="420" w:right="0" w:firstLine="420"/>
        <w:jc w:val="both"/>
        <w:rPr>
          <w:rFonts w:ascii="微软雅黑" w:hAnsi="微软雅黑" w:eastAsia="微软雅黑" w:cs="微软雅黑"/>
          <w:color w:val="auto"/>
          <w:spacing w:val="0"/>
          <w:sz w:val="24"/>
          <w:szCs w:val="24"/>
          <w:rtl w:val="0"/>
        </w:rPr>
      </w:pPr>
    </w:p>
    <w:p>
      <w:pPr>
        <w:pageBreakBefore w:val="0"/>
        <w:autoSpaceDE/>
        <w:autoSpaceDN/>
        <w:bidi w:val="0"/>
        <w:snapToGrid/>
        <w:spacing w:before="300" w:after="300" w:line="33" w:lineRule="atLeast"/>
        <w:ind w:left="420" w:right="0" w:firstLine="420"/>
        <w:jc w:val="both"/>
        <w:rPr>
          <w:rFonts w:ascii="仿宋" w:hAnsi="仿宋" w:eastAsia="仿宋" w:cs="仿宋"/>
          <w:color w:val="000000"/>
          <w:spacing w:val="0"/>
          <w:sz w:val="32"/>
          <w:szCs w:val="32"/>
          <w:shd w:val="clear" w:color="000000"/>
          <w:rtl w:val="0"/>
        </w:rPr>
      </w:pPr>
      <w:r>
        <w:rPr>
          <w:rFonts w:ascii="仿宋" w:hAnsi="仿宋" w:eastAsia="仿宋" w:cs="仿宋"/>
          <w:color w:val="000000"/>
          <w:spacing w:val="0"/>
          <w:sz w:val="32"/>
          <w:szCs w:val="32"/>
          <w:shd w:val="clear" w:color="000000"/>
          <w:rtl w:val="0"/>
        </w:rPr>
        <w:t>（一）内设机构设置。郴州市生态环境局临武分局由局机关和二级站环境监测站、环境监察大队、环境应急办组成，共设8个股站室。主要开展了全县环境的监测监察应急综合管理工作，组织环境管理项目的实施等工作，推进环境污染综合治理工作及十三五工作等，开展了行政事业性收费征收上缴工作等。</w:t>
      </w:r>
    </w:p>
    <w:p>
      <w:pPr>
        <w:pageBreakBefore w:val="0"/>
        <w:autoSpaceDE/>
        <w:autoSpaceDN/>
        <w:bidi w:val="0"/>
        <w:snapToGrid/>
        <w:spacing w:before="300" w:after="300" w:line="33" w:lineRule="atLeast"/>
        <w:ind w:left="420" w:right="0" w:firstLine="420"/>
        <w:jc w:val="both"/>
        <w:rPr>
          <w:rFonts w:ascii="仿宋" w:hAnsi="仿宋" w:eastAsia="仿宋" w:cs="仿宋"/>
          <w:color w:val="000000"/>
          <w:spacing w:val="0"/>
          <w:sz w:val="32"/>
          <w:szCs w:val="32"/>
          <w:shd w:val="clear" w:color="000000"/>
          <w:rtl w:val="0"/>
        </w:rPr>
      </w:pPr>
      <w:r>
        <w:rPr>
          <w:rFonts w:ascii="仿宋" w:hAnsi="仿宋" w:eastAsia="仿宋" w:cs="仿宋"/>
          <w:color w:val="000000"/>
          <w:spacing w:val="0"/>
          <w:sz w:val="32"/>
          <w:szCs w:val="32"/>
          <w:shd w:val="clear" w:color="000000"/>
          <w:rtl w:val="0"/>
        </w:rPr>
        <w:t>（二）郴州市生态环境局临武分局属于行政单位，编制人数55人，实有在职人员58人，退休人员21人。</w:t>
      </w:r>
    </w:p>
    <w:p>
      <w:pPr>
        <w:spacing w:line="600" w:lineRule="exact"/>
        <w:jc w:val="left"/>
        <w:rPr>
          <w:rFonts w:hint="eastAsia" w:ascii="黑体" w:hAnsi="黑体" w:eastAsia="黑体" w:cs="黑体"/>
          <w:b/>
          <w:sz w:val="30"/>
          <w:szCs w:val="30"/>
          <w:lang w:val="en-US" w:eastAsia="zh-CN"/>
        </w:rPr>
      </w:pPr>
      <w:r>
        <w:rPr>
          <w:rFonts w:hint="eastAsia" w:ascii="黑体" w:hAnsi="黑体" w:eastAsia="黑体" w:cs="黑体"/>
          <w:b w:val="0"/>
          <w:sz w:val="30"/>
          <w:szCs w:val="30"/>
          <w:lang w:val="en-US" w:eastAsia="zh-CN"/>
        </w:rPr>
        <w:t>三、部门收入支出整体情况</w:t>
      </w:r>
    </w:p>
    <w:p>
      <w:pPr>
        <w:pageBreakBefore w:val="0"/>
        <w:autoSpaceDE/>
        <w:autoSpaceDN/>
        <w:bidi w:val="0"/>
        <w:snapToGrid/>
        <w:spacing w:before="300" w:after="300" w:line="33" w:lineRule="atLeast"/>
        <w:ind w:left="420" w:right="0" w:firstLine="420"/>
        <w:jc w:val="both"/>
        <w:rPr>
          <w:rFonts w:hint="default" w:ascii="黑体" w:hAnsi="黑体" w:eastAsia="黑体" w:cs="黑体"/>
          <w:b/>
          <w:sz w:val="30"/>
          <w:szCs w:val="30"/>
          <w:lang w:val="en-US" w:eastAsia="zh-CN"/>
        </w:rPr>
      </w:pPr>
      <w:r>
        <w:rPr>
          <w:rFonts w:hint="eastAsia" w:ascii="黑体" w:hAnsi="黑体" w:eastAsia="黑体" w:cs="黑体"/>
          <w:b/>
          <w:sz w:val="30"/>
          <w:szCs w:val="30"/>
          <w:lang w:val="en-US" w:eastAsia="zh-CN"/>
        </w:rPr>
        <w:t xml:space="preserve"> </w:t>
      </w:r>
      <w:r>
        <w:rPr>
          <w:rFonts w:ascii="仿宋" w:hAnsi="仿宋" w:eastAsia="仿宋" w:cs="仿宋"/>
          <w:color w:val="000000"/>
          <w:spacing w:val="0"/>
          <w:sz w:val="32"/>
          <w:szCs w:val="32"/>
          <w:shd w:val="clear" w:color="000000"/>
          <w:rtl w:val="0"/>
        </w:rPr>
        <w:t xml:space="preserve">   我局2019年度决算收入2229.14万元，其中一般公共预算财政</w:t>
      </w:r>
      <w:r>
        <w:rPr>
          <w:rFonts w:hint="eastAsia" w:ascii="仿宋" w:hAnsi="仿宋" w:eastAsia="仿宋" w:cs="仿宋"/>
          <w:color w:val="000000"/>
          <w:spacing w:val="0"/>
          <w:sz w:val="32"/>
          <w:szCs w:val="32"/>
          <w:shd w:val="clear" w:color="000000"/>
          <w:rtl w:val="0"/>
          <w:lang w:eastAsia="zh-CN"/>
        </w:rPr>
        <w:t>拨款</w:t>
      </w:r>
      <w:r>
        <w:rPr>
          <w:rFonts w:ascii="仿宋" w:hAnsi="仿宋" w:eastAsia="仿宋" w:cs="仿宋"/>
          <w:color w:val="000000"/>
          <w:spacing w:val="0"/>
          <w:sz w:val="32"/>
          <w:szCs w:val="32"/>
          <w:shd w:val="clear" w:color="000000"/>
          <w:rtl w:val="0"/>
        </w:rPr>
        <w:t>收入2229.14万元，年初结转和结余617.42万元；决算合计支出2846.56万元，其中基本支出682.26万元，项目支出2164.31万元。</w:t>
      </w:r>
    </w:p>
    <w:p>
      <w:pPr>
        <w:numPr>
          <w:ilvl w:val="0"/>
          <w:numId w:val="2"/>
        </w:numPr>
        <w:rPr>
          <w:rFonts w:hint="eastAsia" w:ascii="黑体" w:hAnsi="黑体" w:eastAsia="黑体" w:cs="黑体"/>
          <w:b w:val="0"/>
          <w:sz w:val="30"/>
          <w:szCs w:val="30"/>
          <w:lang w:val="en-US" w:eastAsia="zh-CN"/>
        </w:rPr>
      </w:pPr>
      <w:r>
        <w:rPr>
          <w:rFonts w:hint="eastAsia" w:ascii="黑体" w:hAnsi="黑体" w:eastAsia="黑体" w:cs="黑体"/>
          <w:b w:val="0"/>
          <w:sz w:val="30"/>
          <w:szCs w:val="30"/>
          <w:lang w:val="en-US" w:eastAsia="zh-CN"/>
        </w:rPr>
        <w:t>部门整体支出绩效目标申报情况</w:t>
      </w:r>
    </w:p>
    <w:p>
      <w:pPr>
        <w:pageBreakBefore w:val="0"/>
        <w:autoSpaceDE/>
        <w:autoSpaceDN/>
        <w:bidi w:val="0"/>
        <w:snapToGrid/>
        <w:spacing w:before="300" w:after="300" w:line="33" w:lineRule="atLeast"/>
        <w:ind w:left="420" w:right="0" w:firstLine="420"/>
        <w:jc w:val="both"/>
        <w:rPr>
          <w:rFonts w:ascii="仿宋" w:hAnsi="仿宋" w:eastAsia="仿宋" w:cs="仿宋"/>
          <w:color w:val="000000"/>
          <w:spacing w:val="0"/>
          <w:sz w:val="32"/>
          <w:szCs w:val="32"/>
          <w:shd w:val="clear" w:color="000000"/>
          <w:rtl w:val="0"/>
        </w:rPr>
      </w:pPr>
      <w:r>
        <w:rPr>
          <w:rFonts w:ascii="仿宋" w:hAnsi="仿宋" w:eastAsia="仿宋" w:cs="仿宋"/>
          <w:color w:val="000000"/>
          <w:spacing w:val="0"/>
          <w:sz w:val="32"/>
          <w:szCs w:val="32"/>
          <w:shd w:val="clear" w:color="000000"/>
          <w:rtl w:val="0"/>
        </w:rPr>
        <w:t>1、共性目标。</w:t>
      </w:r>
    </w:p>
    <w:p>
      <w:pPr>
        <w:pageBreakBefore w:val="0"/>
        <w:autoSpaceDE/>
        <w:autoSpaceDN/>
        <w:bidi w:val="0"/>
        <w:snapToGrid/>
        <w:spacing w:before="300" w:after="300" w:line="33" w:lineRule="atLeast"/>
        <w:ind w:left="420" w:right="0" w:firstLine="420"/>
        <w:jc w:val="both"/>
        <w:rPr>
          <w:rFonts w:ascii="仿宋" w:hAnsi="仿宋" w:eastAsia="仿宋" w:cs="仿宋"/>
          <w:color w:val="000000"/>
          <w:spacing w:val="0"/>
          <w:sz w:val="32"/>
          <w:szCs w:val="32"/>
          <w:shd w:val="clear" w:color="000000"/>
          <w:rtl w:val="0"/>
        </w:rPr>
      </w:pPr>
      <w:r>
        <w:rPr>
          <w:rFonts w:ascii="仿宋" w:hAnsi="仿宋" w:eastAsia="仿宋" w:cs="仿宋"/>
          <w:color w:val="000000"/>
          <w:spacing w:val="0"/>
          <w:sz w:val="32"/>
          <w:szCs w:val="32"/>
          <w:shd w:val="clear" w:color="000000"/>
          <w:rtl w:val="0"/>
        </w:rPr>
        <w:t>内控制度：制定完善的内部管理制度，加强部门内部控制。制定规范的资金管理制度和费用报销流程，保证各项资金的安全。</w:t>
      </w:r>
    </w:p>
    <w:p>
      <w:pPr>
        <w:pageBreakBefore w:val="0"/>
        <w:autoSpaceDE/>
        <w:autoSpaceDN/>
        <w:bidi w:val="0"/>
        <w:snapToGrid/>
        <w:spacing w:before="300" w:after="300" w:line="33" w:lineRule="atLeast"/>
        <w:ind w:left="420" w:right="0" w:firstLine="420"/>
        <w:jc w:val="both"/>
        <w:rPr>
          <w:rFonts w:ascii="仿宋" w:hAnsi="仿宋" w:eastAsia="仿宋" w:cs="仿宋"/>
          <w:color w:val="000000"/>
          <w:spacing w:val="0"/>
          <w:sz w:val="32"/>
          <w:szCs w:val="32"/>
          <w:shd w:val="clear" w:color="000000"/>
          <w:rtl w:val="0"/>
        </w:rPr>
      </w:pPr>
      <w:r>
        <w:rPr>
          <w:rFonts w:ascii="仿宋" w:hAnsi="仿宋" w:eastAsia="仿宋" w:cs="仿宋"/>
          <w:color w:val="000000"/>
          <w:spacing w:val="0"/>
          <w:sz w:val="32"/>
          <w:szCs w:val="32"/>
          <w:shd w:val="clear" w:color="000000"/>
          <w:rtl w:val="0"/>
        </w:rPr>
        <w:t>预算控制、预决算公开：按预算用途、在预算总额范围内使用财政资金，并在规定网站上进行部门预决算和“三公”经费预决算公开。</w:t>
      </w:r>
    </w:p>
    <w:p>
      <w:pPr>
        <w:spacing w:line="500" w:lineRule="exact"/>
        <w:ind w:firstLine="200"/>
        <w:rPr>
          <w:rFonts w:hint="eastAsia" w:ascii="仿宋" w:hAnsi="仿宋" w:eastAsia="仿宋" w:cs="仿宋"/>
          <w:sz w:val="32"/>
          <w:szCs w:val="32"/>
        </w:rPr>
      </w:pPr>
      <w:r>
        <w:rPr>
          <w:rFonts w:hint="eastAsia" w:ascii="仿宋" w:hAnsi="仿宋" w:eastAsia="仿宋" w:cs="仿宋"/>
          <w:sz w:val="32"/>
          <w:szCs w:val="32"/>
        </w:rPr>
        <w:t>资产管理：加强资产的管理，杜绝资产流失。</w:t>
      </w:r>
    </w:p>
    <w:p>
      <w:pPr>
        <w:spacing w:line="500" w:lineRule="exact"/>
        <w:ind w:firstLine="200"/>
        <w:rPr>
          <w:rFonts w:hint="eastAsia" w:ascii="宋体" w:hAnsi="宋体" w:eastAsia="宋体" w:cs="宋体"/>
          <w:sz w:val="28"/>
          <w:szCs w:val="28"/>
        </w:rPr>
      </w:pPr>
      <w:r>
        <w:rPr>
          <w:rFonts w:hint="eastAsia" w:ascii="仿宋" w:hAnsi="仿宋" w:eastAsia="仿宋" w:cs="仿宋"/>
          <w:sz w:val="32"/>
          <w:szCs w:val="32"/>
        </w:rPr>
        <w:t>“三公”经费控制：加强“三公”经费预算编制和执行管理</w:t>
      </w:r>
      <w:r>
        <w:rPr>
          <w:rFonts w:ascii="仿宋" w:hAnsi="仿宋" w:eastAsia="仿宋" w:cs="仿宋"/>
          <w:color w:val="000000"/>
          <w:spacing w:val="0"/>
          <w:sz w:val="32"/>
          <w:szCs w:val="32"/>
          <w:shd w:val="clear" w:color="000000"/>
          <w:rtl w:val="0"/>
        </w:rPr>
        <w:t>，实现“三个不超过”。</w:t>
      </w:r>
    </w:p>
    <w:p>
      <w:pPr>
        <w:numPr>
          <w:ilvl w:val="0"/>
          <w:numId w:val="2"/>
        </w:numPr>
        <w:ind w:left="0" w:leftChars="0" w:firstLine="0"/>
        <w:rPr>
          <w:rFonts w:hint="eastAsia" w:ascii="黑体" w:hAnsi="黑体" w:eastAsia="黑体" w:cs="黑体"/>
          <w:b w:val="0"/>
          <w:sz w:val="30"/>
          <w:szCs w:val="30"/>
          <w:lang w:val="en-US" w:eastAsia="zh-CN"/>
        </w:rPr>
      </w:pPr>
      <w:r>
        <w:rPr>
          <w:rFonts w:hint="eastAsia" w:ascii="黑体" w:hAnsi="黑体" w:eastAsia="黑体" w:cs="黑体"/>
          <w:b w:val="0"/>
          <w:sz w:val="30"/>
          <w:szCs w:val="30"/>
          <w:lang w:val="en-US" w:eastAsia="zh-CN"/>
        </w:rPr>
        <w:t>部门整体支出使用情况</w:t>
      </w:r>
    </w:p>
    <w:p>
      <w:pPr>
        <w:pageBreakBefore w:val="0"/>
        <w:autoSpaceDE/>
        <w:autoSpaceDN/>
        <w:bidi w:val="0"/>
        <w:snapToGrid/>
        <w:spacing w:before="300" w:after="300" w:line="33" w:lineRule="atLeast"/>
        <w:ind w:left="420" w:right="0" w:firstLine="420"/>
        <w:jc w:val="both"/>
        <w:rPr>
          <w:rFonts w:ascii="仿宋" w:hAnsi="仿宋" w:eastAsia="仿宋" w:cs="仿宋"/>
          <w:color w:val="000000"/>
          <w:spacing w:val="0"/>
          <w:sz w:val="32"/>
          <w:szCs w:val="32"/>
          <w:shd w:val="clear" w:color="000000"/>
          <w:rtl w:val="0"/>
        </w:rPr>
      </w:pPr>
      <w:r>
        <w:rPr>
          <w:rFonts w:ascii="仿宋" w:hAnsi="仿宋" w:eastAsia="仿宋" w:cs="仿宋"/>
          <w:color w:val="000000"/>
          <w:spacing w:val="0"/>
          <w:sz w:val="32"/>
          <w:szCs w:val="32"/>
          <w:shd w:val="clear" w:color="000000"/>
          <w:rtl w:val="0"/>
        </w:rPr>
        <w:t xml:space="preserve"> 1、 2019年度部门总体支出使用管理情况：2019年度财政拨款支出年初预算数为1236.20万元，支出决算数为2846.56元，主要用于以下方面：社会保障和就业（类）支出40.19万元，占1%；卫生健康（类）支出26.86万元，占1%；节能环保支出2772.90万元，占97%；。整体支出较之年初预算增长的主要原因是项目加大力度增加了经费。</w:t>
      </w:r>
    </w:p>
    <w:p>
      <w:pPr>
        <w:pageBreakBefore w:val="0"/>
        <w:autoSpaceDE/>
        <w:autoSpaceDN/>
        <w:bidi w:val="0"/>
        <w:snapToGrid/>
        <w:spacing w:before="300" w:after="300" w:line="33" w:lineRule="atLeast"/>
        <w:ind w:left="420" w:right="0" w:firstLine="420"/>
        <w:jc w:val="both"/>
        <w:rPr>
          <w:rFonts w:ascii="仿宋" w:hAnsi="仿宋" w:eastAsia="仿宋" w:cs="仿宋"/>
          <w:color w:val="000000"/>
          <w:spacing w:val="0"/>
          <w:sz w:val="32"/>
          <w:szCs w:val="32"/>
          <w:shd w:val="clear" w:color="000000"/>
          <w:rtl w:val="0"/>
        </w:rPr>
      </w:pPr>
      <w:r>
        <w:rPr>
          <w:rFonts w:ascii="仿宋" w:hAnsi="仿宋" w:eastAsia="仿宋" w:cs="仿宋"/>
          <w:color w:val="000000"/>
          <w:spacing w:val="0"/>
          <w:sz w:val="32"/>
          <w:szCs w:val="32"/>
          <w:shd w:val="clear" w:color="000000"/>
          <w:rtl w:val="0"/>
        </w:rPr>
        <w:t xml:space="preserve">   2、2019年度部门 “三公”经费使用管理情况：2019年“三公”经费财政拨款支出预算为21.5万元，支出决算为15.08万元，其中因公出国（境）费支出预算为0万元，支出决算为0万元；公务接待费支出预算为13万元，支出决算为6.92万元；公务用车购置费及运行维护费支出预算为8.5万元，支出决算为8.16万元。</w:t>
      </w:r>
    </w:p>
    <w:p>
      <w:pPr>
        <w:spacing w:line="500" w:lineRule="exact"/>
        <w:ind w:firstLine="249"/>
        <w:rPr>
          <w:rFonts w:hint="eastAsia" w:ascii="宋体" w:hAnsi="宋体" w:eastAsia="宋体" w:cs="宋体"/>
          <w:sz w:val="28"/>
          <w:szCs w:val="28"/>
        </w:rPr>
      </w:pPr>
      <w:r>
        <w:rPr>
          <w:rFonts w:ascii="仿宋" w:hAnsi="仿宋" w:eastAsia="仿宋" w:cs="仿宋"/>
          <w:color w:val="000000"/>
          <w:spacing w:val="0"/>
          <w:sz w:val="32"/>
          <w:szCs w:val="32"/>
          <w:shd w:val="clear" w:color="000000"/>
          <w:rtl w:val="0"/>
        </w:rPr>
        <w:t xml:space="preserve">3、项目基本情况： 我局项目支出是指单位为完成特定行政工作任务或事业发展目标而发生的支出，包括有关事业发展专项、专项业务费、基本建设支出、对市县专项补助等。主要包括：农村环境综合整治专项支出989万元，环境应急处置专项支出466万元，重点生态功能区县域生态环境质量考核监测专项支出111万元；第二次全国污染源普查经费支出99万元，生态环境执法监察专项支出30万元，聚鑫锰业污染治理项目资金支出239万元等。           </w:t>
      </w:r>
      <w:r>
        <w:rPr>
          <w:rFonts w:ascii="微软雅黑" w:hAnsi="微软雅黑" w:eastAsia="微软雅黑" w:cs="微软雅黑"/>
          <w:color w:val="auto"/>
          <w:spacing w:val="0"/>
          <w:sz w:val="24"/>
          <w:szCs w:val="24"/>
          <w:shd w:val="clear" w:color="000000" w:fill="FFFFFF"/>
          <w:rtl w:val="0"/>
        </w:rPr>
        <w:t xml:space="preserve">          </w:t>
      </w:r>
    </w:p>
    <w:p>
      <w:pPr>
        <w:spacing w:line="360" w:lineRule="auto"/>
        <w:rPr>
          <w:rFonts w:hint="eastAsia" w:ascii="黑体" w:hAnsi="黑体" w:eastAsia="黑体" w:cs="黑体"/>
          <w:b w:val="0"/>
          <w:sz w:val="32"/>
          <w:szCs w:val="32"/>
        </w:rPr>
      </w:pPr>
      <w:r>
        <w:rPr>
          <w:rFonts w:hint="eastAsia" w:ascii="黑体" w:hAnsi="黑体" w:eastAsia="黑体" w:cs="黑体"/>
          <w:b w:val="0"/>
          <w:sz w:val="32"/>
          <w:szCs w:val="32"/>
          <w:lang w:eastAsia="zh-CN"/>
        </w:rPr>
        <w:t>六</w:t>
      </w:r>
      <w:r>
        <w:rPr>
          <w:rFonts w:hint="eastAsia" w:ascii="黑体" w:hAnsi="黑体" w:eastAsia="黑体" w:cs="黑体"/>
          <w:b w:val="0"/>
          <w:sz w:val="32"/>
          <w:szCs w:val="32"/>
        </w:rPr>
        <w:t>、专项资金预期目标完成情况</w:t>
      </w:r>
    </w:p>
    <w:p>
      <w:pPr>
        <w:spacing w:line="500" w:lineRule="exact"/>
        <w:ind w:firstLine="569"/>
        <w:rPr>
          <w:rFonts w:ascii="仿宋" w:hAnsi="仿宋" w:eastAsia="仿宋" w:cs="仿宋"/>
          <w:color w:val="000000"/>
          <w:spacing w:val="0"/>
          <w:sz w:val="32"/>
          <w:szCs w:val="32"/>
          <w:shd w:val="clear" w:color="000000"/>
          <w:rtl w:val="0"/>
        </w:rPr>
      </w:pPr>
      <w:r>
        <w:rPr>
          <w:rFonts w:ascii="仿宋" w:hAnsi="仿宋" w:eastAsia="仿宋" w:cs="仿宋"/>
          <w:color w:val="000000"/>
          <w:spacing w:val="0"/>
          <w:sz w:val="32"/>
          <w:szCs w:val="32"/>
          <w:shd w:val="clear" w:color="000000"/>
          <w:rtl w:val="0"/>
        </w:rPr>
        <w:t>2019年在县委、县政府的大力支持下，在各职能部门的共同努力下，我局项目的全部</w:t>
      </w:r>
      <w:r>
        <w:rPr>
          <w:rFonts w:hint="eastAsia" w:ascii="仿宋" w:hAnsi="仿宋" w:eastAsia="仿宋" w:cs="仿宋"/>
          <w:color w:val="000000"/>
          <w:spacing w:val="0"/>
          <w:sz w:val="32"/>
          <w:szCs w:val="32"/>
          <w:shd w:val="clear" w:color="000000"/>
          <w:rtl w:val="0"/>
          <w:lang w:eastAsia="zh-CN"/>
        </w:rPr>
        <w:t>按质按量地完成</w:t>
      </w:r>
      <w:r>
        <w:rPr>
          <w:rFonts w:ascii="仿宋" w:hAnsi="仿宋" w:eastAsia="仿宋" w:cs="仿宋"/>
          <w:color w:val="000000"/>
          <w:spacing w:val="0"/>
          <w:sz w:val="32"/>
          <w:szCs w:val="32"/>
          <w:shd w:val="clear" w:color="000000"/>
          <w:rtl w:val="0"/>
        </w:rPr>
        <w:t>。</w:t>
      </w:r>
    </w:p>
    <w:p>
      <w:pPr>
        <w:spacing w:line="500" w:lineRule="exact"/>
        <w:rPr>
          <w:rFonts w:ascii="黑体" w:hAnsi="宋体" w:eastAsia="仿宋_GB2312" w:cs="仿宋_GB2312"/>
          <w:sz w:val="32"/>
          <w:szCs w:val="32"/>
        </w:rPr>
      </w:pPr>
      <w:r>
        <w:rPr>
          <w:rFonts w:hint="eastAsia" w:ascii="黑体" w:hAnsi="黑体" w:eastAsia="黑体" w:cs="黑体"/>
          <w:b w:val="0"/>
          <w:sz w:val="32"/>
          <w:szCs w:val="32"/>
          <w:lang w:eastAsia="zh-CN"/>
        </w:rPr>
        <w:t>七、</w:t>
      </w:r>
      <w:r>
        <w:rPr>
          <w:rFonts w:hint="eastAsia" w:ascii="黑体" w:hAnsi="黑体" w:eastAsia="黑体" w:cs="黑体"/>
          <w:b w:val="0"/>
          <w:sz w:val="32"/>
          <w:szCs w:val="32"/>
        </w:rPr>
        <w:t>绩效评价工作情况</w:t>
      </w:r>
      <w:r>
        <w:rPr>
          <w:rFonts w:hint="eastAsia" w:ascii="黑体" w:hAnsi="宋体" w:eastAsia="仿宋_GB2312" w:cs="仿宋_GB2312"/>
          <w:sz w:val="32"/>
          <w:szCs w:val="32"/>
        </w:rPr>
        <w:t>：</w:t>
      </w:r>
    </w:p>
    <w:p>
      <w:pPr>
        <w:spacing w:line="500" w:lineRule="exact"/>
        <w:ind w:firstLine="200"/>
        <w:rPr>
          <w:rFonts w:ascii="仿宋" w:hAnsi="仿宋" w:eastAsia="仿宋" w:cs="仿宋"/>
          <w:color w:val="000000"/>
          <w:spacing w:val="0"/>
          <w:sz w:val="32"/>
          <w:szCs w:val="32"/>
          <w:shd w:val="clear" w:color="000000"/>
          <w:rtl w:val="0"/>
        </w:rPr>
      </w:pPr>
      <w:r>
        <w:rPr>
          <w:rFonts w:hint="eastAsia" w:ascii="宋体" w:hAnsi="宋体" w:eastAsia="宋体" w:cs="宋体"/>
          <w:sz w:val="28"/>
          <w:szCs w:val="28"/>
        </w:rPr>
        <w:t>1</w:t>
      </w:r>
      <w:r>
        <w:rPr>
          <w:rFonts w:ascii="仿宋" w:hAnsi="仿宋" w:eastAsia="仿宋" w:cs="仿宋"/>
          <w:color w:val="000000"/>
          <w:spacing w:val="0"/>
          <w:sz w:val="32"/>
          <w:szCs w:val="32"/>
          <w:shd w:val="clear" w:color="000000"/>
          <w:rtl w:val="0"/>
        </w:rPr>
        <w:t>、绩效评价目的。一是通过部门项目支出绩效评价 ，确认部门资金使用制度的制定及执行状况，进一步规范财政资金的管理；二是通过项目支出绩效评价，强化财政支出绩效理念，提升部门责任意识，杜绝资产流失；三是通过部门项目支出绩效评价，督促部门提高专项资金使用效益。</w:t>
      </w:r>
    </w:p>
    <w:p>
      <w:pPr>
        <w:spacing w:line="500" w:lineRule="exact"/>
        <w:ind w:firstLine="200"/>
        <w:rPr>
          <w:rFonts w:ascii="仿宋" w:hAnsi="仿宋" w:eastAsia="仿宋" w:cs="仿宋"/>
          <w:color w:val="000000"/>
          <w:spacing w:val="0"/>
          <w:sz w:val="32"/>
          <w:szCs w:val="32"/>
          <w:shd w:val="clear" w:color="000000"/>
          <w:rtl w:val="0"/>
        </w:rPr>
      </w:pPr>
      <w:r>
        <w:rPr>
          <w:rFonts w:ascii="仿宋" w:hAnsi="仿宋" w:eastAsia="仿宋" w:cs="仿宋"/>
          <w:color w:val="000000"/>
          <w:spacing w:val="0"/>
          <w:sz w:val="32"/>
          <w:szCs w:val="32"/>
          <w:shd w:val="clear" w:color="000000"/>
          <w:rtl w:val="0"/>
        </w:rPr>
        <w:t>2、绩效评价工作过程。依据财政部《财政支出绩效评价管理暂行办法》我站对项目支出进行了绩效评价。</w:t>
      </w:r>
    </w:p>
    <w:p>
      <w:pPr>
        <w:spacing w:line="360" w:lineRule="auto"/>
        <w:ind w:firstLine="200"/>
        <w:rPr>
          <w:rFonts w:ascii="仿宋" w:hAnsi="仿宋" w:eastAsia="仿宋" w:cs="仿宋"/>
          <w:color w:val="000000"/>
          <w:spacing w:val="0"/>
          <w:sz w:val="32"/>
          <w:szCs w:val="32"/>
          <w:shd w:val="clear" w:color="000000"/>
          <w:rtl w:val="0"/>
        </w:rPr>
      </w:pPr>
      <w:r>
        <w:rPr>
          <w:rFonts w:ascii="仿宋" w:hAnsi="仿宋" w:eastAsia="仿宋" w:cs="仿宋"/>
          <w:color w:val="000000"/>
          <w:spacing w:val="0"/>
          <w:sz w:val="32"/>
          <w:szCs w:val="32"/>
          <w:shd w:val="clear" w:color="000000"/>
          <w:rtl w:val="0"/>
        </w:rPr>
        <w:t>3、资金管理情况。资金全额纳入年度预算，并按程序报领导审批后，由财政国库集中支付局直接拨付。</w:t>
      </w:r>
    </w:p>
    <w:p>
      <w:pPr>
        <w:rPr>
          <w:rFonts w:hint="eastAsia" w:ascii="仿宋" w:hAnsi="仿宋" w:eastAsia="仿宋" w:cs="仿宋"/>
          <w:b/>
          <w:sz w:val="32"/>
          <w:szCs w:val="32"/>
        </w:rPr>
      </w:pPr>
      <w:r>
        <w:rPr>
          <w:rFonts w:hint="eastAsia" w:ascii="黑体" w:hAnsi="黑体" w:eastAsia="黑体" w:cs="黑体"/>
          <w:b w:val="0"/>
          <w:sz w:val="32"/>
          <w:szCs w:val="32"/>
          <w:lang w:eastAsia="zh-CN"/>
        </w:rPr>
        <w:t>八</w:t>
      </w:r>
      <w:r>
        <w:rPr>
          <w:rFonts w:hint="eastAsia" w:ascii="黑体" w:hAnsi="黑体" w:eastAsia="黑体" w:cs="黑体"/>
          <w:b w:val="0"/>
          <w:sz w:val="32"/>
          <w:szCs w:val="32"/>
        </w:rPr>
        <w:t>、主要经验和做法、存在问题及建议</w:t>
      </w:r>
      <w:r>
        <w:rPr>
          <w:rFonts w:hint="eastAsia" w:ascii="仿宋" w:hAnsi="仿宋" w:eastAsia="仿宋" w:cs="仿宋"/>
          <w:b/>
          <w:sz w:val="32"/>
          <w:szCs w:val="32"/>
        </w:rPr>
        <w:t>。</w:t>
      </w:r>
    </w:p>
    <w:p>
      <w:pPr>
        <w:spacing w:line="500" w:lineRule="exact"/>
        <w:ind w:firstLine="200"/>
        <w:rPr>
          <w:rFonts w:ascii="仿宋" w:hAnsi="仿宋" w:eastAsia="仿宋" w:cs="仿宋"/>
          <w:color w:val="000000"/>
          <w:spacing w:val="0"/>
          <w:sz w:val="32"/>
          <w:szCs w:val="32"/>
          <w:shd w:val="clear" w:color="000000"/>
          <w:rtl w:val="0"/>
        </w:rPr>
      </w:pPr>
      <w:r>
        <w:rPr>
          <w:rFonts w:ascii="仿宋" w:hAnsi="仿宋" w:eastAsia="仿宋" w:cs="仿宋"/>
          <w:color w:val="000000"/>
          <w:spacing w:val="0"/>
          <w:sz w:val="32"/>
          <w:szCs w:val="32"/>
          <w:shd w:val="clear" w:color="000000"/>
          <w:rtl w:val="0"/>
        </w:rPr>
        <w:t>1、加强组织领导，加强环保队伍建设。</w:t>
      </w:r>
    </w:p>
    <w:p>
      <w:pPr>
        <w:spacing w:line="500" w:lineRule="exact"/>
        <w:ind w:firstLine="200"/>
        <w:rPr>
          <w:rFonts w:ascii="仿宋" w:hAnsi="仿宋" w:eastAsia="仿宋" w:cs="仿宋"/>
          <w:color w:val="000000"/>
          <w:spacing w:val="0"/>
          <w:sz w:val="32"/>
          <w:szCs w:val="32"/>
          <w:shd w:val="clear" w:color="000000"/>
          <w:rtl w:val="0"/>
        </w:rPr>
      </w:pPr>
      <w:r>
        <w:rPr>
          <w:rFonts w:ascii="仿宋" w:hAnsi="仿宋" w:eastAsia="仿宋" w:cs="仿宋"/>
          <w:color w:val="000000"/>
          <w:spacing w:val="0"/>
          <w:sz w:val="32"/>
          <w:szCs w:val="32"/>
          <w:shd w:val="clear" w:color="000000"/>
          <w:rtl w:val="0"/>
        </w:rPr>
        <w:t>2、建立环保工作机制，完善绩效制度。</w:t>
      </w:r>
    </w:p>
    <w:p>
      <w:pPr>
        <w:spacing w:line="500" w:lineRule="exact"/>
        <w:ind w:firstLine="200"/>
        <w:rPr>
          <w:rFonts w:ascii="仿宋" w:hAnsi="仿宋" w:eastAsia="仿宋" w:cs="仿宋"/>
          <w:color w:val="000000"/>
          <w:spacing w:val="0"/>
          <w:sz w:val="32"/>
          <w:szCs w:val="32"/>
          <w:shd w:val="clear" w:color="000000"/>
          <w:rtl w:val="0"/>
        </w:rPr>
      </w:pPr>
      <w:r>
        <w:rPr>
          <w:rFonts w:ascii="仿宋" w:hAnsi="仿宋" w:eastAsia="仿宋" w:cs="仿宋"/>
          <w:color w:val="000000"/>
          <w:spacing w:val="0"/>
          <w:sz w:val="32"/>
          <w:szCs w:val="32"/>
          <w:shd w:val="clear" w:color="000000"/>
          <w:rtl w:val="0"/>
        </w:rPr>
        <w:t>3、强化环境执法管理，提升能力建设。</w:t>
      </w:r>
    </w:p>
    <w:p>
      <w:pPr>
        <w:ind w:firstLine="196"/>
        <w:rPr>
          <w:rFonts w:hint="eastAsia" w:ascii="宋体" w:hAnsi="宋体" w:eastAsia="宋体" w:cs="宋体"/>
          <w:sz w:val="28"/>
          <w:szCs w:val="28"/>
        </w:rPr>
      </w:pPr>
    </w:p>
    <w:p>
      <w:pPr>
        <w:ind w:firstLine="196"/>
        <w:rPr>
          <w:rFonts w:hint="eastAsia" w:ascii="宋体" w:hAnsi="宋体" w:eastAsia="宋体" w:cs="宋体"/>
          <w:sz w:val="28"/>
          <w:szCs w:val="28"/>
        </w:rPr>
      </w:pPr>
    </w:p>
    <w:p>
      <w:pPr>
        <w:numPr>
          <w:ilvl w:val="0"/>
          <w:numId w:val="0"/>
        </w:numPr>
        <w:ind w:left="0" w:right="0" w:firstLine="200"/>
        <w:rPr>
          <w:rFonts w:hint="eastAsia" w:ascii="宋体" w:hAnsi="宋体" w:eastAsia="宋体" w:cs="宋体"/>
          <w:b w:val="0"/>
          <w:sz w:val="28"/>
          <w:szCs w:val="28"/>
          <w:lang w:val="en-US" w:eastAsia="zh-CN"/>
        </w:rPr>
      </w:pPr>
    </w:p>
    <w:p>
      <w:pPr>
        <w:spacing w:line="360" w:lineRule="auto"/>
        <w:ind w:firstLine="1600"/>
        <w:jc w:val="right"/>
        <w:rPr>
          <w:rFonts w:hint="eastAsia" w:ascii="仿宋" w:hAnsi="仿宋" w:eastAsia="仿宋" w:cs="仿宋"/>
          <w:b w:val="0"/>
          <w:sz w:val="32"/>
          <w:szCs w:val="32"/>
          <w:lang w:val="en-US" w:eastAsia="zh-CN"/>
        </w:rPr>
      </w:pPr>
      <w:r>
        <w:rPr>
          <w:rFonts w:hint="eastAsia" w:ascii="仿宋" w:hAnsi="仿宋" w:eastAsia="仿宋" w:cs="仿宋"/>
          <w:b w:val="0"/>
          <w:sz w:val="32"/>
          <w:szCs w:val="32"/>
          <w:lang w:val="en-US" w:eastAsia="zh-CN"/>
        </w:rPr>
        <w:t xml:space="preserve">郴州市生态环境局临武分局 </w:t>
      </w: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algun Gothic">
    <w:panose1 w:val="020B0503020000020004"/>
    <w:charset w:val="81"/>
    <w:family w:val="auto"/>
    <w:pitch w:val="default"/>
    <w:sig w:usb0="900002AF" w:usb1="01D77CFB" w:usb2="00000012" w:usb3="00000000" w:csb0="00080001" w:csb1="00000000"/>
  </w:font>
  <w:font w:name="仿宋">
    <w:panose1 w:val="02010609060101010101"/>
    <w:charset w:val="52"/>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52"/>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0"/>
    <w:multiLevelType w:val="multilevel"/>
    <w:tmpl w:val="2F000000"/>
    <w:lvl w:ilvl="0" w:tentative="0">
      <w:start w:val="1"/>
      <w:numFmt w:val="chineseCounting"/>
      <w:suff w:val="nothing"/>
      <w:lvlText w:val="%1、"/>
      <w:lvlJc w:val="left"/>
      <w:rPr>
        <w:rFonts w:hint="eastAsia"/>
      </w:rPr>
    </w:lvl>
    <w:lvl w:ilvl="1" w:tentative="0">
      <w:start w:val="1"/>
      <w:numFmt w:val="chineseCounting"/>
      <w:suff w:val="nothing"/>
      <w:lvlText w:val="%1、"/>
      <w:lvlJc w:val="left"/>
      <w:rPr>
        <w:rFonts w:hint="eastAsia"/>
      </w:rPr>
    </w:lvl>
    <w:lvl w:ilvl="2" w:tentative="0">
      <w:start w:val="1"/>
      <w:numFmt w:val="chineseCounting"/>
      <w:suff w:val="nothing"/>
      <w:lvlText w:val="%1、"/>
      <w:lvlJc w:val="left"/>
      <w:rPr>
        <w:rFonts w:hint="eastAsia"/>
      </w:rPr>
    </w:lvl>
    <w:lvl w:ilvl="3" w:tentative="0">
      <w:start w:val="1"/>
      <w:numFmt w:val="chineseCounting"/>
      <w:suff w:val="nothing"/>
      <w:lvlText w:val="%1、"/>
      <w:lvlJc w:val="left"/>
      <w:rPr>
        <w:rFonts w:hint="eastAsia"/>
      </w:rPr>
    </w:lvl>
    <w:lvl w:ilvl="4" w:tentative="0">
      <w:start w:val="1"/>
      <w:numFmt w:val="chineseCounting"/>
      <w:suff w:val="nothing"/>
      <w:lvlText w:val="%1、"/>
      <w:lvlJc w:val="left"/>
      <w:rPr>
        <w:rFonts w:hint="eastAsia"/>
      </w:rPr>
    </w:lvl>
    <w:lvl w:ilvl="5" w:tentative="0">
      <w:start w:val="1"/>
      <w:numFmt w:val="chineseCounting"/>
      <w:suff w:val="nothing"/>
      <w:lvlText w:val="%1、"/>
      <w:lvlJc w:val="left"/>
      <w:rPr>
        <w:rFonts w:hint="eastAsia"/>
      </w:rPr>
    </w:lvl>
    <w:lvl w:ilvl="6" w:tentative="0">
      <w:start w:val="1"/>
      <w:numFmt w:val="chineseCounting"/>
      <w:suff w:val="nothing"/>
      <w:lvlText w:val="%1、"/>
      <w:lvlJc w:val="left"/>
      <w:rPr>
        <w:rFonts w:hint="eastAsia"/>
      </w:rPr>
    </w:lvl>
    <w:lvl w:ilvl="7" w:tentative="0">
      <w:start w:val="1"/>
      <w:numFmt w:val="chineseCounting"/>
      <w:suff w:val="nothing"/>
      <w:lvlText w:val="%1、"/>
      <w:lvlJc w:val="left"/>
      <w:rPr>
        <w:rFonts w:hint="eastAsia"/>
      </w:rPr>
    </w:lvl>
    <w:lvl w:ilvl="8" w:tentative="0">
      <w:start w:val="1"/>
      <w:numFmt w:val="chineseCounting"/>
      <w:suff w:val="nothing"/>
      <w:lvlText w:val="%1、"/>
      <w:lvlJc w:val="left"/>
      <w:rPr>
        <w:rFonts w:hint="eastAsia"/>
      </w:rPr>
    </w:lvl>
  </w:abstractNum>
  <w:abstractNum w:abstractNumId="1">
    <w:nsid w:val="2F000001"/>
    <w:multiLevelType w:val="multilevel"/>
    <w:tmpl w:val="2F000001"/>
    <w:lvl w:ilvl="0" w:tentative="0">
      <w:start w:val="4"/>
      <w:numFmt w:val="chineseCounting"/>
      <w:suff w:val="nothing"/>
      <w:lvlText w:val="%1、"/>
      <w:lvlJc w:val="left"/>
      <w:rPr>
        <w:rFonts w:hint="eastAsia"/>
      </w:rPr>
    </w:lvl>
    <w:lvl w:ilvl="1" w:tentative="0">
      <w:start w:val="4"/>
      <w:numFmt w:val="chineseCounting"/>
      <w:suff w:val="nothing"/>
      <w:lvlText w:val="%1、"/>
      <w:lvlJc w:val="left"/>
      <w:rPr>
        <w:rFonts w:hint="eastAsia"/>
      </w:rPr>
    </w:lvl>
    <w:lvl w:ilvl="2" w:tentative="0">
      <w:start w:val="4"/>
      <w:numFmt w:val="chineseCounting"/>
      <w:suff w:val="nothing"/>
      <w:lvlText w:val="%1、"/>
      <w:lvlJc w:val="left"/>
      <w:rPr>
        <w:rFonts w:hint="eastAsia"/>
      </w:rPr>
    </w:lvl>
    <w:lvl w:ilvl="3" w:tentative="0">
      <w:start w:val="4"/>
      <w:numFmt w:val="chineseCounting"/>
      <w:suff w:val="nothing"/>
      <w:lvlText w:val="%1、"/>
      <w:lvlJc w:val="left"/>
      <w:rPr>
        <w:rFonts w:hint="eastAsia"/>
      </w:rPr>
    </w:lvl>
    <w:lvl w:ilvl="4" w:tentative="0">
      <w:start w:val="4"/>
      <w:numFmt w:val="chineseCounting"/>
      <w:suff w:val="nothing"/>
      <w:lvlText w:val="%1、"/>
      <w:lvlJc w:val="left"/>
      <w:rPr>
        <w:rFonts w:hint="eastAsia"/>
      </w:rPr>
    </w:lvl>
    <w:lvl w:ilvl="5" w:tentative="0">
      <w:start w:val="4"/>
      <w:numFmt w:val="chineseCounting"/>
      <w:suff w:val="nothing"/>
      <w:lvlText w:val="%1、"/>
      <w:lvlJc w:val="left"/>
      <w:rPr>
        <w:rFonts w:hint="eastAsia"/>
      </w:rPr>
    </w:lvl>
    <w:lvl w:ilvl="6" w:tentative="0">
      <w:start w:val="4"/>
      <w:numFmt w:val="chineseCounting"/>
      <w:suff w:val="nothing"/>
      <w:lvlText w:val="%1、"/>
      <w:lvlJc w:val="left"/>
      <w:rPr>
        <w:rFonts w:hint="eastAsia"/>
      </w:rPr>
    </w:lvl>
    <w:lvl w:ilvl="7" w:tentative="0">
      <w:start w:val="4"/>
      <w:numFmt w:val="chineseCounting"/>
      <w:suff w:val="nothing"/>
      <w:lvlText w:val="%1、"/>
      <w:lvlJc w:val="left"/>
      <w:rPr>
        <w:rFonts w:hint="eastAsia"/>
      </w:rPr>
    </w:lvl>
    <w:lvl w:ilvl="8"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isplayHorizontalDrawingGridEvery w:val="0"/>
  <w:displayVerticalDrawingGridEvery w:val="2"/>
  <w:characterSpacingControl w:val="compressPunctuation"/>
  <w:compat>
    <w:balanceSingleByteDoubleByteWidth/>
    <w:ulTrailSpace/>
    <w:adjustLineHeightInTable/>
    <w:useFELayout/>
    <w:compatSetting w:name="compatibilityMode" w:uri="http://schemas.microsoft.com/office/word" w:val="14"/>
  </w:compat>
  <w:rsids>
    <w:rsidRoot w:val="00000000"/>
    <w:rsid w:val="0DA938F8"/>
    <w:rsid w:val="356D4C0B"/>
    <w:rsid w:val="57424F71"/>
    <w:rsid w:val="625642AF"/>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2"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Theme="minorHAnsi" w:hAnsiTheme="minorHAnsi" w:eastAsiaTheme="minorEastAsia" w:cstheme="minorBidi"/>
      <w:sz w:val="21"/>
      <w:szCs w:val="21"/>
      <w:lang w:val="en-US" w:eastAsia="zh-CN" w:bidi="ar-SA"/>
    </w:rPr>
  </w:style>
  <w:style w:type="character" w:default="1" w:styleId="3">
    <w:name w:val="Default Paragraph Font"/>
    <w:semiHidden/>
    <w:uiPriority w:val="2"/>
  </w:style>
  <w:style w:type="table" w:default="1" w:styleId="2">
    <w:name w:val="Normal Table"/>
    <w:semiHidden/>
    <w:qFormat/>
    <w:uiPriority w:val="3"/>
    <w:tblPr>
      <w:tblCellMar>
        <w:top w:w="0" w:type="dxa"/>
        <w:left w:w="108" w:type="dxa"/>
        <w:bottom w:w="0" w:type="dxa"/>
        <w:right w:w="108" w:type="dxa"/>
      </w:tblCellMar>
    </w:tblPr>
  </w:style>
  <w:style w:type="paragraph" w:customStyle="1" w:styleId="4">
    <w:name w:val="Default"/>
    <w:qFormat/>
    <w:uiPriority w:val="151"/>
    <w:pPr>
      <w:autoSpaceDE w:val="0"/>
      <w:autoSpaceDN w:val="0"/>
    </w:pPr>
    <w:rPr>
      <w:rFonts w:ascii="黑体" w:eastAsia="黑体" w:cs="黑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0</Words>
  <Characters>0</Characters>
  <Lines>0</Lines>
  <Paragraphs>0</Paragraphs>
  <TotalTime>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2021-12-21T14:54:00Z</dcterms:created>
  <dc:creator>Administrator</dc:creator>
  <cp:lastModifiedBy>Administrator</cp:lastModifiedBy>
  <dcterms:modified xsi:type="dcterms:W3CDTF">2022-01-14T01:55:28Z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48E7A15517F548EAA5BA249FB8DB5E4E</vt:lpwstr>
  </property>
</Properties>
</file>