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年度部门整体支出绩效评价报告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一、部门概况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（一）机构设置、人员构成情况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县水利局共有人员编制</w:t>
      </w:r>
      <w:r>
        <w:rPr>
          <w:rFonts w:hint="eastAsia" w:ascii="宋体" w:hAnsi="宋体" w:eastAsia="宋体" w:cs="宋体"/>
          <w:sz w:val="32"/>
          <w:szCs w:val="32"/>
        </w:rPr>
        <w:t>46</w:t>
      </w:r>
      <w:r>
        <w:rPr>
          <w:rFonts w:hint="eastAsia" w:ascii="仿宋" w:hAnsi="仿宋" w:eastAsia="仿宋" w:cs="仿宋"/>
          <w:sz w:val="32"/>
          <w:szCs w:val="32"/>
        </w:rPr>
        <w:t>个，其中行政编制</w:t>
      </w:r>
      <w:r>
        <w:rPr>
          <w:rFonts w:hint="eastAsia" w:ascii="宋体" w:hAnsi="宋体" w:eastAsia="宋体" w:cs="宋体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个，事业编制</w:t>
      </w:r>
      <w:r>
        <w:rPr>
          <w:rFonts w:hint="eastAsia" w:ascii="宋体" w:hAnsi="宋体" w:eastAsia="宋体" w:cs="宋体"/>
          <w:sz w:val="32"/>
          <w:szCs w:val="32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个。实有人数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人，其中在职人员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离休人员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人，退休人员</w:t>
      </w:r>
      <w:r>
        <w:rPr>
          <w:rFonts w:hint="eastAsia" w:ascii="宋体" w:hAnsi="宋体" w:eastAsia="宋体" w:cs="宋体"/>
          <w:sz w:val="32"/>
          <w:szCs w:val="32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人，遗属人员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人。局机关内设办公室、政工股（监察室）、农村水电股、水利工程建设与管理股、水资源水保股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个职能股室；下辖直属二级事业单位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个：水利水电工程管理站、防汛抗旱工作办公室、移民开发局、城市防洪工程管理站、水利建设项目管理中心；归口管理长河水库管理所、万水洞水库管理所等单位。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（二）部门主要工作职责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临武县水利局是县政府工作部门，主管全县水行政工作。负责全县的水资源水资源开发和利用和保护管理，负责全县水能资源开发利用的统一监督管理，负责节约用水工作，指导水文工作。负责水土流失工作，指导农村水利工作，组织电源、电网建设和管理，负责小水电建设及电气化的规划、设计管理工作，组织指导水政监察和水行政执法，查处水事纠纷工作。防汛抗旱工作，水利安全生产监管，农村饮水安全工程的建设与管护等工作。水务局内设四个职能股室，包括办公室、水政股、农村水电股、水利工程建设与管理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二、部门预决算情况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年部门预算情况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、收入预算，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年年初预算数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721</w:t>
      </w:r>
      <w:r>
        <w:rPr>
          <w:rFonts w:hint="eastAsia" w:ascii="仿宋" w:hAnsi="仿宋" w:eastAsia="仿宋" w:cs="仿宋"/>
          <w:sz w:val="32"/>
          <w:szCs w:val="32"/>
        </w:rPr>
        <w:t>万元，其中，一般公共预算拨款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713</w:t>
      </w:r>
      <w:r>
        <w:rPr>
          <w:rFonts w:hint="eastAsia" w:ascii="仿宋" w:hAnsi="仿宋" w:eastAsia="仿宋" w:cs="仿宋"/>
          <w:sz w:val="32"/>
          <w:szCs w:val="32"/>
        </w:rPr>
        <w:t>万元（财政拨款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567.3</w:t>
      </w:r>
      <w:r>
        <w:rPr>
          <w:rFonts w:hint="eastAsia" w:ascii="仿宋" w:hAnsi="仿宋" w:eastAsia="仿宋" w:cs="仿宋"/>
          <w:sz w:val="32"/>
          <w:szCs w:val="32"/>
        </w:rPr>
        <w:t>万元，纳入一般公共预算管理的非税收入拨款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145.7</w:t>
      </w:r>
      <w:r>
        <w:rPr>
          <w:rFonts w:hint="eastAsia" w:ascii="仿宋" w:hAnsi="仿宋" w:eastAsia="仿宋" w:cs="仿宋"/>
          <w:sz w:val="32"/>
          <w:szCs w:val="32"/>
        </w:rPr>
        <w:t>万元），上级财政补助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万元。收入较去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年减少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、支出预算，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年年初预算数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721</w:t>
      </w:r>
      <w:r>
        <w:rPr>
          <w:rFonts w:hint="eastAsia" w:ascii="仿宋" w:hAnsi="仿宋" w:eastAsia="仿宋" w:cs="仿宋"/>
          <w:sz w:val="32"/>
          <w:szCs w:val="32"/>
        </w:rPr>
        <w:t>万元，其中，工资福利支出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460.6</w:t>
      </w:r>
      <w:r>
        <w:rPr>
          <w:rFonts w:hint="eastAsia" w:ascii="仿宋" w:hAnsi="仿宋" w:eastAsia="仿宋" w:cs="仿宋"/>
          <w:sz w:val="32"/>
          <w:szCs w:val="32"/>
        </w:rPr>
        <w:t>万元；一般商品和服务支出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69.4</w:t>
      </w:r>
      <w:r>
        <w:rPr>
          <w:rFonts w:hint="eastAsia" w:ascii="仿宋" w:hAnsi="仿宋" w:eastAsia="仿宋" w:cs="仿宋"/>
          <w:sz w:val="32"/>
          <w:szCs w:val="32"/>
        </w:rPr>
        <w:t>万元；专项商品和服务支出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156</w:t>
      </w:r>
      <w:r>
        <w:rPr>
          <w:rFonts w:hint="eastAsia" w:ascii="仿宋" w:hAnsi="仿宋" w:eastAsia="仿宋" w:cs="仿宋"/>
          <w:sz w:val="32"/>
          <w:szCs w:val="32"/>
        </w:rPr>
        <w:t>万元；专项对个人和家庭的补助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年度部门决算情况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、全年收入情况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年度本年收入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4217.36</w:t>
      </w:r>
      <w:r>
        <w:rPr>
          <w:rFonts w:hint="eastAsia" w:ascii="仿宋" w:hAnsi="仿宋" w:eastAsia="仿宋" w:cs="仿宋"/>
          <w:sz w:val="32"/>
          <w:szCs w:val="32"/>
        </w:rPr>
        <w:t>万元，其中：财政拨款收入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4217.36</w:t>
      </w:r>
      <w:r>
        <w:rPr>
          <w:rFonts w:hint="eastAsia" w:ascii="仿宋" w:hAnsi="仿宋" w:eastAsia="仿宋" w:cs="仿宋"/>
          <w:sz w:val="32"/>
          <w:szCs w:val="32"/>
        </w:rPr>
        <w:t>万元；上级补助收入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万元；事业收入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万元；经营收入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万元；附属单位上缴收入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万元；其他收入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、全年支出情况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年度支出合计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4217.36</w:t>
      </w:r>
      <w:r>
        <w:rPr>
          <w:rFonts w:hint="eastAsia" w:ascii="仿宋" w:hAnsi="仿宋" w:eastAsia="仿宋" w:cs="仿宋"/>
          <w:sz w:val="32"/>
          <w:szCs w:val="32"/>
        </w:rPr>
        <w:t>万元，其中：基本支出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603.86</w:t>
      </w:r>
      <w:r>
        <w:rPr>
          <w:rFonts w:hint="eastAsia" w:ascii="仿宋" w:hAnsi="仿宋" w:eastAsia="仿宋" w:cs="仿宋"/>
          <w:sz w:val="32"/>
          <w:szCs w:val="32"/>
        </w:rPr>
        <w:t>万元；项目支出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3613.5</w:t>
      </w:r>
      <w:r>
        <w:rPr>
          <w:rFonts w:hint="eastAsia" w:ascii="仿宋" w:hAnsi="仿宋" w:eastAsia="仿宋" w:cs="仿宋"/>
          <w:sz w:val="32"/>
          <w:szCs w:val="32"/>
        </w:rPr>
        <w:t>万元；上缴上级支出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万元；经营支出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万元；对附属单位补助支出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3、结转结余情况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无结转结余情况。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（三）“三公”经费管理情况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年度“三公”经费财政拨款支出决算为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万元，其中：因公出国（境）费支出决算为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万元（因公出国组团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次，因公出国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人次）；公务车运行费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5.06</w:t>
      </w:r>
      <w:r>
        <w:rPr>
          <w:rFonts w:hint="eastAsia" w:ascii="仿宋" w:hAnsi="仿宋" w:eastAsia="仿宋" w:cs="仿宋"/>
          <w:sz w:val="32"/>
          <w:szCs w:val="32"/>
        </w:rPr>
        <w:t>万元；公务接待费支出决算为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0.94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年“三公”经费决算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sz w:val="32"/>
          <w:szCs w:val="32"/>
        </w:rPr>
        <w:t>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0.06万元</w:t>
      </w:r>
      <w:r>
        <w:rPr>
          <w:rFonts w:hint="eastAsia" w:ascii="仿宋" w:hAnsi="仿宋" w:eastAsia="仿宋" w:cs="仿宋"/>
          <w:sz w:val="32"/>
          <w:szCs w:val="32"/>
        </w:rPr>
        <w:t>，主要原因严格贯彻执行中央压缩行政成本、厉行节约的规定。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三、部门绩效目标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（一）部门绩效总目标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保证单位的正常运转、确保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年防汛保安、完成上级和县委县政府安排的各项工作任务，完成水利建设工作任务。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年部门绩效目标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、山洪灾害监测预警系统运行维护经费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万，绩效长期目标确保我县山洪灾害预警系统运行正常，年度目标保障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年及时发布雨情、灾情、汛情，为防汛抗旱做好决策依据。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、水库、村及地质灾害点监管人员工资补贴资金</w:t>
      </w:r>
      <w:r>
        <w:rPr>
          <w:rFonts w:hint="eastAsia" w:ascii="宋体" w:hAnsi="宋体" w:eastAsia="宋体" w:cs="宋体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万，绩效长期目标加强水库管理、保障安全运行，充分发挥效益，认真进行日常管理、开展水库工程巡查，落实水库调汛方案和命令，年度目标保障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年所有水库、山塘顺利度过汛期。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、长河水库建设时期因公伤残民工生活困难救助资金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万元，长期目标确保社会稳定，年度目标保障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年社会稳定。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、水土保持和监督管理经费</w:t>
      </w:r>
      <w:r>
        <w:rPr>
          <w:rFonts w:hint="eastAsia" w:ascii="宋体" w:hAnsi="宋体" w:eastAsia="宋体" w:cs="宋体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万元，长期目标促进水土流失防治和治理，改善生态环境，年度目标保障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年水土流失防治和治理，改善生态环境。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、移民工作经费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万元，长期目标确保国家水库移民政策落实到位，维护库区和移民安置区经济发展、社会稳定，年度目标确保国家水库移民政策落实到位，维护库区和移民安置区经济发展、社会稳定。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、预安河长办专项资金（专项审批）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万元，长期目标维持河长办的正常运转，年度目标保证河长办各项工作正常开展。</w:t>
      </w:r>
      <w:r>
        <w:rPr>
          <w:rFonts w:hint="eastAsia" w:ascii="宋体" w:hAnsi="宋体" w:eastAsia="宋体" w:cs="宋体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、观潮阁、官山、城东、东塔四座闸坝工程管护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万元，长期目标关于确保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个闸坝运行维护正常，年度目标保证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年防汛抗旱正常。</w:t>
      </w:r>
      <w:r>
        <w:rPr>
          <w:rFonts w:hint="eastAsia" w:ascii="宋体" w:hAnsi="宋体" w:eastAsia="宋体" w:cs="宋体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、防汛抗旱工作经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万元，长期目标贯彻执行上级部门防汛抗旱规定和调度命令，制定防汛和抗旱方案，负责指挥系统和水旱灾监测预警系统建设与管理。年度目标保障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年防洪保安。</w:t>
      </w:r>
      <w:r>
        <w:rPr>
          <w:rFonts w:hint="eastAsia" w:ascii="宋体" w:hAnsi="宋体" w:eastAsia="宋体" w:cs="宋体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、水生态文明建设工作领导小组办公室工作经费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万元，长期目标促进和改善水生态环境，年度目标保障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年水生态环境。</w:t>
      </w:r>
      <w:r>
        <w:rPr>
          <w:rFonts w:hint="eastAsia" w:ascii="宋体" w:hAnsi="宋体" w:eastAsia="宋体" w:cs="宋体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、长河水库水资源保护工作领导小组工作经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万元，长期目标完成县委、县政府交办的各项任务和目标，年度目标维持机构运转。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11、全县小水电清理专项经费30万元，按照综合评估和“一站一策”的要求推进清理整改（2021年年底前完成），对全县73座整改类电站，4座退出类电站，督促检查、整改达到验收标准后批准销号。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四、绩效评价工作情况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水利财政资金绩效评价工作，不断提高财政资金使用效益，我局成立了财政资金绩效评价工作领导小组，局长唐智红同志任组长，副局长王曲路、蒋江明、陈进同志任副组长，相关股室负责人任成员。明确了绩效评价工作牵头部门、自评报告和基础资料审核部门，并就项目自评报告编报、完成时限、报表填报等工作提出了具体要求，确保了绩效评价工作的扎实开展。经过半个月扎实细致的工作后，较好的完成了自评材料、完成了各项绩效目标，及时完整规范报送了自评材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五、绩效评价指标分析情况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对履职效能主要指标的完成情况进行具体分析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1.水利工程安全运行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2.确保城市防洪安全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（二）对管理效率主要指标的完成情况进行具体分析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1.不断完善水利基础设施，改善水务环境管护条件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2.确保单位的工作正常运转。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3.提高全县水利基础设施保障能力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（三）对履职效益主要指标的完成情况进行具体分析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1.保护水资源，改善水生态条件指标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六、综合评价情况及评价结论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综合评价优秀。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七、存在的问题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因地方财政财力有限、对水利投入逐年减少。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八、改进措施和建议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九、绩效预算应用建议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mIzMzk5YzBhY2U5NzkyMmU5MjZhMTIyMGVjM2EifQ=="/>
  </w:docVars>
  <w:rsids>
    <w:rsidRoot w:val="422038D9"/>
    <w:rsid w:val="1D2D153B"/>
    <w:rsid w:val="3DFD4B45"/>
    <w:rsid w:val="422038D9"/>
    <w:rsid w:val="573121FE"/>
    <w:rsid w:val="6C0B6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2324</Words>
  <Characters>2458</Characters>
  <Lines>0</Lines>
  <Paragraphs>0</Paragraphs>
  <TotalTime>0</TotalTime>
  <ScaleCrop>false</ScaleCrop>
  <LinksUpToDate>false</LinksUpToDate>
  <CharactersWithSpaces>2462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2022-09-09T09:58:00Z</dcterms:created>
  <dc:creator>时间走了</dc:creator>
  <cp:lastModifiedBy>时间走了</cp:lastModifiedBy>
  <cp:lastPrinted>2022-09-22T08:37:00Z</cp:lastPrinted>
  <dcterms:modified xsi:type="dcterms:W3CDTF">2022-10-31T02:10:50Z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4D69CD0AF8AB4348BB5FCEE25007B254</vt:lpwstr>
  </property>
</Properties>
</file>