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附件2：</w:t>
      </w:r>
    </w:p>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lang w:eastAsia="zh-CN"/>
        </w:rPr>
        <w:t>临武县住房和城乡建设局</w:t>
      </w:r>
      <w:r>
        <w:rPr>
          <w:rFonts w:hint="eastAsia" w:asciiTheme="majorEastAsia" w:hAnsiTheme="majorEastAsia" w:eastAsiaTheme="majorEastAsia"/>
          <w:b/>
          <w:sz w:val="36"/>
          <w:szCs w:val="36"/>
        </w:rPr>
        <w:t>2020年度部门整体支出</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绩效评价报告</w:t>
      </w:r>
    </w:p>
    <w:p>
      <w:pPr>
        <w:jc w:val="cente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为强化财政支出绩效管理，促进财政资金使用的科学化、合理化和精细化，根据《长沙县人民政府办公室关于全面推进预算绩效管理的通知》（长县政办函</w:t>
      </w:r>
      <w:r>
        <w:rPr>
          <w:rFonts w:hint="eastAsia" w:ascii="仿宋_GB2312" w:eastAsia="仿宋_GB2312"/>
          <w:sz w:val="32"/>
          <w:szCs w:val="32"/>
          <w:lang w:eastAsia="zh-CN"/>
        </w:rPr>
        <w:t>〔</w:t>
      </w:r>
      <w:r>
        <w:rPr>
          <w:rFonts w:hint="eastAsia" w:ascii="仿宋_GB2312" w:eastAsia="仿宋_GB2312"/>
          <w:sz w:val="32"/>
          <w:szCs w:val="32"/>
        </w:rPr>
        <w:t>2016</w:t>
      </w:r>
      <w:r>
        <w:rPr>
          <w:rFonts w:hint="eastAsia" w:ascii="仿宋_GB2312" w:eastAsia="仿宋_GB2312"/>
          <w:sz w:val="32"/>
          <w:szCs w:val="32"/>
          <w:lang w:eastAsia="zh-CN"/>
        </w:rPr>
        <w:t>〕</w:t>
      </w:r>
      <w:r>
        <w:rPr>
          <w:rFonts w:hint="eastAsia" w:ascii="仿宋_GB2312" w:eastAsia="仿宋_GB2312"/>
          <w:sz w:val="32"/>
          <w:szCs w:val="32"/>
        </w:rPr>
        <w:t>44号）、长沙县财政局《关于对2020年度财政支出开展绩效重点评价工作的通知》等文件精神，</w:t>
      </w:r>
      <w:r>
        <w:rPr>
          <w:rFonts w:hint="eastAsia" w:ascii="仿宋_GB2312" w:eastAsia="仿宋_GB2312" w:hAnsiTheme="minorEastAsia"/>
          <w:sz w:val="32"/>
          <w:szCs w:val="32"/>
          <w:lang w:eastAsia="zh-CN"/>
        </w:rPr>
        <w:t>临武县住房和城乡建设局</w:t>
      </w:r>
      <w:r>
        <w:rPr>
          <w:rFonts w:hint="eastAsia" w:ascii="仿宋_GB2312" w:eastAsia="仿宋_GB2312" w:hAnsiTheme="minorEastAsia"/>
          <w:sz w:val="32"/>
          <w:szCs w:val="32"/>
        </w:rPr>
        <w:t>对</w:t>
      </w:r>
      <w:r>
        <w:rPr>
          <w:rFonts w:hint="eastAsia" w:ascii="仿宋_GB2312" w:eastAsia="仿宋_GB2312"/>
          <w:sz w:val="32"/>
          <w:szCs w:val="32"/>
        </w:rPr>
        <w:t>2020年度部门整体支出进行了绩效评价，现将有关情况报告如下：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pPr>
        <w:shd w:val="clear"/>
        <w:spacing w:line="600" w:lineRule="exact"/>
        <w:ind w:firstLine="656" w:firstLineChars="200"/>
        <w:rPr>
          <w:rFonts w:hint="eastAsia" w:hAnsi="仿宋" w:eastAsia="仿宋_GB2312"/>
          <w:sz w:val="32"/>
          <w:szCs w:val="32"/>
        </w:rPr>
      </w:pPr>
      <w:r>
        <w:rPr>
          <w:rFonts w:hint="eastAsia" w:hAnsi="仿宋" w:eastAsia="仿宋_GB2312"/>
          <w:spacing w:val="4"/>
          <w:sz w:val="32"/>
          <w:szCs w:val="32"/>
          <w:lang w:eastAsia="zh-CN"/>
        </w:rPr>
        <w:t>临武</w:t>
      </w:r>
      <w:r>
        <w:rPr>
          <w:rFonts w:hint="eastAsia" w:hAnsi="仿宋" w:eastAsia="仿宋_GB2312"/>
          <w:spacing w:val="4"/>
          <w:sz w:val="32"/>
          <w:szCs w:val="32"/>
        </w:rPr>
        <w:t>县住房和城乡规划建设局</w:t>
      </w:r>
      <w:r>
        <w:rPr>
          <w:rFonts w:hint="eastAsia" w:hAnsi="仿宋" w:eastAsia="仿宋_GB2312"/>
          <w:spacing w:val="4"/>
          <w:sz w:val="32"/>
          <w:szCs w:val="32"/>
          <w:lang w:val="en-US" w:eastAsia="zh-CN"/>
        </w:rPr>
        <w:t>2020年</w:t>
      </w:r>
      <w:r>
        <w:rPr>
          <w:rFonts w:hint="eastAsia" w:hAnsi="仿宋" w:eastAsia="仿宋_GB2312"/>
          <w:spacing w:val="4"/>
          <w:sz w:val="32"/>
          <w:szCs w:val="32"/>
        </w:rPr>
        <w:t>内设</w:t>
      </w:r>
      <w:r>
        <w:rPr>
          <w:rFonts w:hint="eastAsia" w:eastAsia="仿宋_GB2312"/>
          <w:spacing w:val="4"/>
          <w:sz w:val="32"/>
          <w:szCs w:val="32"/>
          <w:lang w:val="en-US" w:eastAsia="zh-CN"/>
        </w:rPr>
        <w:t>10</w:t>
      </w:r>
      <w:r>
        <w:rPr>
          <w:rFonts w:hint="eastAsia" w:hAnsi="仿宋" w:eastAsia="仿宋_GB2312"/>
          <w:spacing w:val="4"/>
          <w:sz w:val="32"/>
          <w:szCs w:val="32"/>
        </w:rPr>
        <w:t>个职能股室：</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(1)</w:t>
      </w:r>
      <w:r>
        <w:rPr>
          <w:rFonts w:hint="eastAsia" w:hAnsi="仿宋" w:eastAsia="仿宋_GB2312"/>
          <w:sz w:val="32"/>
          <w:szCs w:val="32"/>
        </w:rPr>
        <w:t>办公室（加挂“计划财务室”牌子）；</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(2)</w:t>
      </w:r>
      <w:r>
        <w:rPr>
          <w:rFonts w:hint="eastAsia" w:hAnsi="仿宋" w:eastAsia="仿宋_GB2312"/>
          <w:sz w:val="32"/>
          <w:szCs w:val="32"/>
        </w:rPr>
        <w:t>政策法规股；</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(3)</w:t>
      </w:r>
      <w:r>
        <w:rPr>
          <w:rFonts w:hint="eastAsia" w:hAnsi="仿宋" w:eastAsia="仿宋_GB2312"/>
          <w:sz w:val="32"/>
          <w:szCs w:val="32"/>
        </w:rPr>
        <w:t>行政审批股；</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(4)</w:t>
      </w:r>
      <w:r>
        <w:rPr>
          <w:rFonts w:hint="eastAsia" w:hAnsi="仿宋" w:eastAsia="仿宋_GB2312"/>
          <w:sz w:val="32"/>
          <w:szCs w:val="32"/>
        </w:rPr>
        <w:t>住房保障股对外加挂“县危房改造办公室”牌子；</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(5)</w:t>
      </w:r>
      <w:r>
        <w:rPr>
          <w:rFonts w:hint="eastAsia" w:hAnsi="仿宋" w:eastAsia="仿宋_GB2312"/>
          <w:sz w:val="32"/>
          <w:szCs w:val="32"/>
        </w:rPr>
        <w:t>城乡建设管理股；</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(6)</w:t>
      </w:r>
      <w:r>
        <w:rPr>
          <w:rFonts w:hint="eastAsia" w:hAnsi="仿宋" w:eastAsia="仿宋_GB2312"/>
          <w:sz w:val="32"/>
          <w:szCs w:val="32"/>
        </w:rPr>
        <w:t>工程管理股；</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(7)</w:t>
      </w:r>
      <w:r>
        <w:rPr>
          <w:rFonts w:hint="eastAsia" w:hAnsi="仿宋" w:eastAsia="仿宋_GB2312"/>
          <w:sz w:val="32"/>
          <w:szCs w:val="32"/>
        </w:rPr>
        <w:t>招标投标管理股；</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(8)</w:t>
      </w:r>
      <w:r>
        <w:rPr>
          <w:rFonts w:hint="eastAsia" w:hAnsi="仿宋" w:eastAsia="仿宋_GB2312"/>
          <w:sz w:val="32"/>
          <w:szCs w:val="32"/>
        </w:rPr>
        <w:t>人防指挥通信和宣教股；</w:t>
      </w:r>
    </w:p>
    <w:p>
      <w:pPr>
        <w:widowControl/>
        <w:numPr>
          <w:ilvl w:val="0"/>
          <w:numId w:val="0"/>
        </w:numPr>
        <w:shd w:val="clear"/>
        <w:spacing w:line="600" w:lineRule="exact"/>
        <w:ind w:firstLine="640" w:firstLineChars="200"/>
        <w:jc w:val="left"/>
        <w:rPr>
          <w:rFonts w:hint="eastAsia" w:hAnsi="仿宋" w:eastAsia="仿宋_GB2312"/>
          <w:sz w:val="32"/>
          <w:szCs w:val="32"/>
        </w:rPr>
      </w:pPr>
      <w:r>
        <w:rPr>
          <w:rFonts w:hint="eastAsia" w:hAnsi="仿宋" w:eastAsia="仿宋_GB2312"/>
          <w:sz w:val="32"/>
          <w:szCs w:val="32"/>
          <w:lang w:val="en-US" w:eastAsia="zh-CN"/>
        </w:rPr>
        <w:t>(9)</w:t>
      </w:r>
      <w:r>
        <w:rPr>
          <w:rFonts w:hint="eastAsia" w:hAnsi="仿宋" w:eastAsia="仿宋_GB2312"/>
          <w:sz w:val="32"/>
          <w:szCs w:val="32"/>
        </w:rPr>
        <w:t>房地产监理股（房产物业管理股）；</w:t>
      </w:r>
    </w:p>
    <w:p>
      <w:pPr>
        <w:widowControl/>
        <w:numPr>
          <w:ilvl w:val="0"/>
          <w:numId w:val="0"/>
        </w:numPr>
        <w:shd w:val="clear"/>
        <w:spacing w:line="600" w:lineRule="exact"/>
        <w:ind w:firstLine="640" w:firstLineChars="200"/>
        <w:jc w:val="left"/>
        <w:rPr>
          <w:rFonts w:hint="eastAsia" w:ascii="仿宋_GB2312" w:eastAsia="仿宋_GB2312"/>
          <w:b/>
          <w:sz w:val="32"/>
          <w:szCs w:val="32"/>
        </w:rPr>
      </w:pPr>
      <w:r>
        <w:rPr>
          <w:rFonts w:hint="eastAsia" w:hAnsi="仿宋" w:eastAsia="仿宋_GB2312"/>
          <w:sz w:val="32"/>
          <w:szCs w:val="32"/>
          <w:lang w:val="en-US" w:eastAsia="zh-CN"/>
        </w:rPr>
        <w:t>(10)</w:t>
      </w:r>
      <w:r>
        <w:rPr>
          <w:rFonts w:hint="eastAsia" w:hAnsi="仿宋" w:eastAsia="仿宋_GB2312"/>
          <w:sz w:val="32"/>
          <w:szCs w:val="32"/>
        </w:rPr>
        <w:t>政工人事股。</w:t>
      </w:r>
    </w:p>
    <w:p>
      <w:pPr>
        <w:ind w:firstLine="643" w:firstLineChars="200"/>
        <w:rPr>
          <w:rFonts w:hint="eastAsia" w:ascii="仿宋_GB2312" w:eastAsia="仿宋_GB2312"/>
          <w:b/>
          <w:sz w:val="32"/>
          <w:szCs w:val="32"/>
        </w:rPr>
      </w:pPr>
      <w:r>
        <w:rPr>
          <w:rFonts w:hint="eastAsia" w:ascii="仿宋_GB2312" w:eastAsia="仿宋_GB2312"/>
          <w:b/>
          <w:sz w:val="32"/>
          <w:szCs w:val="32"/>
        </w:rPr>
        <w:t>（二）部门主要工作职责</w:t>
      </w:r>
    </w:p>
    <w:p>
      <w:pPr>
        <w:shd w:val="clear"/>
        <w:spacing w:line="600" w:lineRule="exact"/>
        <w:ind w:firstLine="640" w:firstLineChars="200"/>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1</w:t>
      </w:r>
      <w:r>
        <w:rPr>
          <w:rFonts w:hint="eastAsia" w:hAnsi="仿宋" w:eastAsia="仿宋_GB2312" w:cs="宋体"/>
          <w:sz w:val="32"/>
          <w:szCs w:val="32"/>
        </w:rPr>
        <w:t>)贯彻落实有关住房和城乡建设的方针政策和法律法规。根据全县国民经济和社会发展战略目标，研究制定全县城乡建设发展战略和相关城乡法律法规的执行办法并指导监督实施。</w:t>
      </w:r>
    </w:p>
    <w:p>
      <w:pPr>
        <w:shd w:val="clear"/>
        <w:spacing w:line="600" w:lineRule="exact"/>
        <w:ind w:firstLine="640" w:firstLineChars="200"/>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2</w:t>
      </w:r>
      <w:r>
        <w:rPr>
          <w:rFonts w:hint="eastAsia" w:hAnsi="仿宋" w:eastAsia="仿宋_GB2312" w:cs="宋体"/>
          <w:sz w:val="32"/>
          <w:szCs w:val="32"/>
        </w:rPr>
        <w:t>）负责全县城乡建设管理工作。参与重点建设项目可行性研究、选址定点、计划立项等工作；负责市政公用设施建设项目、重点建设开发项目的初审上报工作；负责建设项目的初步设计和施工图政策性审查，指导监督施工图</w:t>
      </w:r>
      <w:r>
        <w:rPr>
          <w:rFonts w:hint="eastAsia" w:hAnsi="仿宋" w:eastAsia="仿宋_GB2312" w:cs="宋体"/>
          <w:sz w:val="32"/>
          <w:szCs w:val="32"/>
          <w:lang w:eastAsia="zh-CN"/>
        </w:rPr>
        <w:t>技术性</w:t>
      </w:r>
      <w:r>
        <w:rPr>
          <w:rFonts w:hint="eastAsia" w:hAnsi="仿宋" w:eastAsia="仿宋_GB2312" w:cs="宋体"/>
          <w:sz w:val="32"/>
          <w:szCs w:val="32"/>
        </w:rPr>
        <w:t>审查；负责建设项目的勘察设计、工程施工管理；负责工程质量监督、施工安全、建设监理等管理工作；参与城市防洪、人防工程建设、过境公路、铁路建设的协调管理工作；负责本县乡（镇）、村庄建设工作。</w:t>
      </w:r>
    </w:p>
    <w:p>
      <w:pPr>
        <w:shd w:val="clear"/>
        <w:spacing w:line="600" w:lineRule="exact"/>
        <w:ind w:firstLine="640" w:firstLineChars="200"/>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3</w:t>
      </w:r>
      <w:r>
        <w:rPr>
          <w:rFonts w:hint="eastAsia" w:hAnsi="仿宋" w:eastAsia="仿宋_GB2312" w:cs="宋体"/>
          <w:sz w:val="32"/>
          <w:szCs w:val="32"/>
        </w:rPr>
        <w:t>）负责全县建设市场监督管理工作，积极培育和完善建设市场体系，规范市场行为，维护市场秩序。</w:t>
      </w:r>
    </w:p>
    <w:p>
      <w:pPr>
        <w:shd w:val="clear"/>
        <w:spacing w:line="600" w:lineRule="exact"/>
        <w:ind w:firstLine="640" w:firstLineChars="200"/>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4</w:t>
      </w:r>
      <w:r>
        <w:rPr>
          <w:rFonts w:hint="eastAsia" w:hAnsi="仿宋" w:eastAsia="仿宋_GB2312" w:cs="宋体"/>
          <w:sz w:val="32"/>
          <w:szCs w:val="32"/>
        </w:rPr>
        <w:t>）负责检查、监督、管理建设工程的质量和建筑施工安全及建筑材料的检测试验工作；负责建筑企业质检、安全专业人员培训和质量、安全事故的调查处理工作。</w:t>
      </w:r>
    </w:p>
    <w:p>
      <w:pPr>
        <w:shd w:val="clear"/>
        <w:spacing w:line="600" w:lineRule="exact"/>
        <w:ind w:firstLine="640" w:firstLineChars="200"/>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5</w:t>
      </w:r>
      <w:r>
        <w:rPr>
          <w:rFonts w:hint="eastAsia" w:hAnsi="仿宋" w:eastAsia="仿宋_GB2312" w:cs="宋体"/>
          <w:sz w:val="32"/>
          <w:szCs w:val="32"/>
        </w:rPr>
        <w:t>）负责制定全县城镇供排水实施方案，指导县城供水、排水基础设施工程项目的新建、扩建、改建工作，确保县城正常、优质供水。</w:t>
      </w:r>
    </w:p>
    <w:p>
      <w:pPr>
        <w:shd w:val="clear"/>
        <w:spacing w:line="600" w:lineRule="exact"/>
        <w:ind w:firstLine="640" w:firstLineChars="200"/>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6</w:t>
      </w:r>
      <w:r>
        <w:rPr>
          <w:rFonts w:hint="eastAsia" w:hAnsi="仿宋" w:eastAsia="仿宋_GB2312" w:cs="宋体"/>
          <w:sz w:val="32"/>
          <w:szCs w:val="32"/>
        </w:rPr>
        <w:t>）组织城市防空方案制定、群众防空组织（人民防空专业队）建设和训练、防空防灾演习演练、疏散体系建设，协助军事部门指导城市防卫建设；组织开展人防专业队伍整组和训练；</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hAnsi="仿宋" w:eastAsia="仿宋_GB2312" w:cs="宋体"/>
          <w:sz w:val="32"/>
          <w:szCs w:val="32"/>
        </w:rPr>
      </w:pPr>
      <w:r>
        <w:rPr>
          <w:rFonts w:hint="eastAsia" w:hAnsi="仿宋" w:eastAsia="仿宋_GB2312" w:cs="宋体"/>
          <w:sz w:val="32"/>
          <w:szCs w:val="32"/>
          <w:lang w:eastAsia="zh-CN"/>
        </w:rPr>
        <w:t>（</w:t>
      </w:r>
      <w:r>
        <w:rPr>
          <w:rFonts w:hint="eastAsia" w:hAnsi="仿宋" w:eastAsia="仿宋_GB2312" w:cs="宋体"/>
          <w:sz w:val="32"/>
          <w:szCs w:val="32"/>
          <w:lang w:val="en-US" w:eastAsia="zh-CN"/>
        </w:rPr>
        <w:t>7</w:t>
      </w:r>
      <w:r>
        <w:rPr>
          <w:rFonts w:hint="eastAsia" w:hAnsi="仿宋" w:eastAsia="仿宋_GB2312" w:cs="宋体"/>
          <w:sz w:val="32"/>
          <w:szCs w:val="32"/>
          <w:lang w:eastAsia="zh-CN"/>
        </w:rPr>
        <w:t>）组</w:t>
      </w:r>
      <w:r>
        <w:rPr>
          <w:rFonts w:hint="eastAsia" w:hAnsi="仿宋" w:eastAsia="仿宋_GB2312" w:cs="宋体"/>
          <w:sz w:val="32"/>
          <w:szCs w:val="32"/>
        </w:rPr>
        <w:t>织管理人民防空通信警报和信息化建设；                                                                      会同有关部门组织开展人民防空宣传教育工作，普及人民防空知识和技能；</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hAnsi="仿宋" w:eastAsia="仿宋_GB2312" w:cs="宋体"/>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8</w:t>
      </w:r>
      <w:r>
        <w:rPr>
          <w:rFonts w:hint="eastAsia" w:hAnsi="仿宋" w:eastAsia="仿宋_GB2312" w:cs="宋体"/>
          <w:sz w:val="32"/>
          <w:szCs w:val="32"/>
        </w:rPr>
        <w:t>）开展人民防空行政执法工作，依法负责核准和征收防空地下室易地建设费；依法实施人防工作拆除、报废的许可，依法查处破坏、侵占和擅自拆除、损毁人防工程有设施的违法行为。</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
          <w:sz w:val="32"/>
          <w:szCs w:val="32"/>
        </w:rPr>
      </w:pPr>
      <w:r>
        <w:rPr>
          <w:rFonts w:hint="eastAsia" w:hAnsi="仿宋" w:eastAsia="仿宋_GB2312" w:cs="宋体"/>
          <w:sz w:val="32"/>
          <w:szCs w:val="32"/>
        </w:rPr>
        <w:t>（</w:t>
      </w:r>
      <w:r>
        <w:rPr>
          <w:rFonts w:hint="eastAsia" w:hAnsi="仿宋" w:eastAsia="仿宋_GB2312" w:cs="宋体"/>
          <w:sz w:val="32"/>
          <w:szCs w:val="32"/>
          <w:lang w:val="en-US" w:eastAsia="zh-CN"/>
        </w:rPr>
        <w:t>9</w:t>
      </w:r>
      <w:r>
        <w:rPr>
          <w:rFonts w:hint="eastAsia" w:hAnsi="仿宋" w:eastAsia="仿宋_GB2312" w:cs="宋体"/>
          <w:sz w:val="32"/>
          <w:szCs w:val="32"/>
        </w:rPr>
        <w:t>）承</w:t>
      </w:r>
      <w:r>
        <w:rPr>
          <w:rFonts w:hint="eastAsia" w:hAnsi="仿宋" w:eastAsia="仿宋_GB2312" w:cs="宋体"/>
          <w:spacing w:val="4"/>
          <w:sz w:val="32"/>
          <w:szCs w:val="32"/>
        </w:rPr>
        <w:t>办县委、县人民政府和上级主管部门交办的其他事项。</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ascii="仿宋_GB2312" w:eastAsia="仿宋_GB2312"/>
          <w:b/>
          <w:sz w:val="32"/>
          <w:szCs w:val="32"/>
        </w:rPr>
      </w:pPr>
      <w:r>
        <w:rPr>
          <w:rFonts w:hint="eastAsia" w:ascii="仿宋_GB2312" w:eastAsia="仿宋_GB2312"/>
          <w:b/>
          <w:sz w:val="32"/>
          <w:szCs w:val="32"/>
        </w:rPr>
        <w:t>（一） 2020年部门预算情况</w:t>
      </w:r>
    </w:p>
    <w:p>
      <w:pPr>
        <w:widowControl/>
        <w:shd w:val="clear"/>
        <w:spacing w:line="6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（指部门全年的全部预算情况，包括基本支出经费和项目支出经费的年初预算和年中的追加、追减情况。）</w:t>
      </w:r>
      <w:r>
        <w:rPr>
          <w:rFonts w:hint="eastAsia" w:eastAsia="仿宋_GB2312"/>
          <w:sz w:val="32"/>
          <w:szCs w:val="32"/>
          <w:lang w:eastAsia="zh-CN"/>
        </w:rPr>
        <w:t>2020</w:t>
      </w:r>
      <w:r>
        <w:rPr>
          <w:rFonts w:eastAsia="仿宋_GB2312"/>
          <w:sz w:val="32"/>
          <w:szCs w:val="32"/>
        </w:rPr>
        <w:t>年年</w:t>
      </w:r>
      <w:r>
        <w:rPr>
          <w:rFonts w:hint="eastAsia" w:eastAsia="仿宋_GB2312"/>
          <w:sz w:val="32"/>
          <w:szCs w:val="32"/>
          <w:lang w:eastAsia="zh-CN"/>
        </w:rPr>
        <w:t>临武县住建局</w:t>
      </w:r>
      <w:r>
        <w:rPr>
          <w:rFonts w:eastAsia="仿宋_GB2312"/>
          <w:sz w:val="32"/>
          <w:szCs w:val="32"/>
        </w:rPr>
        <w:t>初预算数</w:t>
      </w:r>
      <w:r>
        <w:rPr>
          <w:rFonts w:hint="eastAsia" w:eastAsia="仿宋_GB2312"/>
          <w:sz w:val="32"/>
          <w:szCs w:val="32"/>
          <w:lang w:val="en-US" w:eastAsia="zh-CN"/>
        </w:rPr>
        <w:t>952.7</w:t>
      </w:r>
      <w:r>
        <w:rPr>
          <w:rFonts w:eastAsia="仿宋_GB2312"/>
          <w:sz w:val="32"/>
          <w:szCs w:val="32"/>
        </w:rPr>
        <w:t>万元，其中，一般公共预算拨款</w:t>
      </w:r>
      <w:r>
        <w:rPr>
          <w:rFonts w:hint="eastAsia" w:eastAsia="仿宋_GB2312"/>
          <w:sz w:val="32"/>
          <w:szCs w:val="32"/>
          <w:lang w:val="en-US" w:eastAsia="zh-CN"/>
        </w:rPr>
        <w:t>815.9</w:t>
      </w:r>
      <w:r>
        <w:rPr>
          <w:rFonts w:eastAsia="仿宋_GB2312"/>
          <w:sz w:val="32"/>
          <w:szCs w:val="32"/>
        </w:rPr>
        <w:t>万元，</w:t>
      </w:r>
      <w:r>
        <w:rPr>
          <w:rFonts w:hint="eastAsia" w:eastAsia="仿宋_GB2312"/>
          <w:sz w:val="32"/>
          <w:szCs w:val="32"/>
          <w:lang w:eastAsia="zh-CN"/>
        </w:rPr>
        <w:t>上年结转</w:t>
      </w:r>
      <w:r>
        <w:rPr>
          <w:rFonts w:hint="eastAsia" w:eastAsia="仿宋_GB2312"/>
          <w:sz w:val="32"/>
          <w:szCs w:val="32"/>
          <w:lang w:val="en-US" w:eastAsia="zh-CN"/>
        </w:rPr>
        <w:t>136.8</w:t>
      </w:r>
      <w:r>
        <w:rPr>
          <w:rFonts w:eastAsia="仿宋_GB2312"/>
          <w:sz w:val="32"/>
          <w:szCs w:val="32"/>
        </w:rPr>
        <w:t>万元。</w:t>
      </w:r>
      <w:r>
        <w:rPr>
          <w:rFonts w:hint="eastAsia" w:eastAsia="仿宋_GB2312"/>
          <w:sz w:val="32"/>
          <w:szCs w:val="32"/>
        </w:rPr>
        <w:t>收入较去年增加</w:t>
      </w:r>
      <w:r>
        <w:rPr>
          <w:rFonts w:hint="eastAsia" w:eastAsia="仿宋_GB2312"/>
          <w:sz w:val="32"/>
          <w:szCs w:val="32"/>
          <w:lang w:val="en-US" w:eastAsia="zh-CN"/>
        </w:rPr>
        <w:t>177</w:t>
      </w:r>
      <w:r>
        <w:rPr>
          <w:rFonts w:hint="eastAsia" w:eastAsia="仿宋_GB2312"/>
          <w:sz w:val="32"/>
          <w:szCs w:val="32"/>
        </w:rPr>
        <w:t>万元，主要是</w:t>
      </w:r>
      <w:r>
        <w:rPr>
          <w:rFonts w:hint="eastAsia" w:eastAsia="仿宋_GB2312"/>
          <w:sz w:val="32"/>
          <w:szCs w:val="32"/>
          <w:lang w:eastAsia="zh-CN"/>
        </w:rPr>
        <w:t>人防办、民兵办并入，预算增加</w:t>
      </w:r>
      <w:r>
        <w:rPr>
          <w:rFonts w:hint="eastAsia" w:eastAsia="仿宋_GB2312"/>
          <w:sz w:val="32"/>
          <w:szCs w:val="32"/>
        </w:rPr>
        <w:t>。</w:t>
      </w:r>
      <w:r>
        <w:rPr>
          <w:rFonts w:hint="eastAsia" w:eastAsia="仿宋_GB2312"/>
          <w:sz w:val="32"/>
          <w:szCs w:val="32"/>
          <w:lang w:val="en-US" w:eastAsia="zh-CN"/>
        </w:rPr>
        <w:t>2020年预算基本支出为706.3万元，项目支出为246.4万元。年中追加资金有1、非税收入超收部分经费110万元；2、安居工程专项老旧小区改造配套基础设施建设中央预算内基建资金964万元，此项目资金为中央资金；3、2020年第一批城镇污水处理提质增效补助资金（临武县城区雨污分流及排污口整治项目）361万元。</w:t>
      </w:r>
    </w:p>
    <w:p>
      <w:pPr>
        <w:ind w:firstLine="643" w:firstLineChars="200"/>
        <w:rPr>
          <w:rFonts w:ascii="仿宋_GB2312" w:eastAsia="仿宋_GB2312"/>
          <w:b/>
          <w:sz w:val="32"/>
          <w:szCs w:val="32"/>
        </w:rPr>
      </w:pPr>
      <w:r>
        <w:rPr>
          <w:rFonts w:hint="eastAsia" w:ascii="仿宋_GB2312" w:eastAsia="仿宋_GB2312"/>
          <w:b/>
          <w:sz w:val="32"/>
          <w:szCs w:val="32"/>
        </w:rPr>
        <w:t>（二）2020年度部门决算情况</w:t>
      </w:r>
    </w:p>
    <w:p>
      <w:pPr>
        <w:ind w:firstLine="640" w:firstLineChars="200"/>
        <w:rPr>
          <w:rFonts w:ascii="仿宋_GB2312" w:eastAsia="仿宋_GB2312"/>
          <w:sz w:val="32"/>
          <w:szCs w:val="32"/>
        </w:rPr>
      </w:pPr>
      <w:r>
        <w:rPr>
          <w:rFonts w:hint="eastAsia" w:ascii="仿宋_GB2312" w:eastAsia="仿宋_GB2312"/>
          <w:sz w:val="32"/>
          <w:szCs w:val="32"/>
        </w:rPr>
        <w:t>1、全年收入情况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2020年临武县住建局决算收入为2393.85万元，都为一般公共预算拨款。</w:t>
      </w:r>
    </w:p>
    <w:p>
      <w:pPr>
        <w:ind w:firstLine="640" w:firstLineChars="200"/>
        <w:rPr>
          <w:rFonts w:ascii="仿宋_GB2312" w:eastAsia="仿宋_GB2312"/>
          <w:sz w:val="32"/>
          <w:szCs w:val="32"/>
        </w:rPr>
      </w:pPr>
      <w:r>
        <w:rPr>
          <w:rFonts w:hint="eastAsia" w:ascii="仿宋_GB2312" w:eastAsia="仿宋_GB2312"/>
          <w:sz w:val="32"/>
          <w:szCs w:val="32"/>
        </w:rPr>
        <w:t>2、全年支出情况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2020年临武住建局决算支出1484.12万元，其中，基本支出718.4万元，占决算总支出的48%；项目支出756.72万元，占决算总支出的52%。</w:t>
      </w:r>
    </w:p>
    <w:p>
      <w:pPr>
        <w:ind w:firstLine="640" w:firstLineChars="200"/>
        <w:rPr>
          <w:rFonts w:ascii="仿宋_GB2312" w:eastAsia="仿宋_GB2312"/>
          <w:sz w:val="32"/>
          <w:szCs w:val="32"/>
        </w:rPr>
      </w:pPr>
      <w:r>
        <w:rPr>
          <w:rFonts w:hint="eastAsia" w:ascii="仿宋_GB2312" w:eastAsia="仿宋_GB2312"/>
          <w:sz w:val="32"/>
          <w:szCs w:val="32"/>
        </w:rPr>
        <w:t>3、结转结余情况</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2020年住建局决算结转结余165.49万元，主要原因为2020年</w:t>
      </w:r>
      <w:r>
        <w:rPr>
          <w:rFonts w:hint="eastAsia" w:eastAsia="仿宋_GB2312"/>
          <w:sz w:val="32"/>
          <w:szCs w:val="32"/>
          <w:lang w:val="en-US" w:eastAsia="zh-CN"/>
        </w:rPr>
        <w:t>安居工程专项老旧小区改造配套基础设施建设中央预算内基建资金等项目工程</w:t>
      </w:r>
      <w:r>
        <w:rPr>
          <w:rFonts w:hint="eastAsia" w:ascii="仿宋_GB2312" w:eastAsia="仿宋_GB2312"/>
          <w:sz w:val="32"/>
          <w:szCs w:val="32"/>
          <w:lang w:val="en-US" w:eastAsia="zh-CN"/>
        </w:rPr>
        <w:t>未完工，项目经费结余。</w:t>
      </w:r>
    </w:p>
    <w:p>
      <w:pPr>
        <w:ind w:firstLine="643" w:firstLineChars="200"/>
        <w:rPr>
          <w:rFonts w:ascii="仿宋_GB2312" w:eastAsia="仿宋_GB2312"/>
          <w:b/>
          <w:sz w:val="32"/>
          <w:szCs w:val="32"/>
        </w:rPr>
      </w:pPr>
      <w:r>
        <w:rPr>
          <w:rFonts w:hint="eastAsia" w:ascii="仿宋_GB2312" w:eastAsia="仿宋_GB2312"/>
          <w:b/>
          <w:sz w:val="32"/>
          <w:szCs w:val="32"/>
        </w:rPr>
        <w:t>（三）“三公”经费管理情况</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为严控“三公经费”的使用，制定了公务用车管理办法、公务接待工作管理办法和因公出国管理规定，规范了“三公经费”开支。</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2020年住建局决算“三公”经费3.87万元，与2020年预算相比减少1.63万元，减少30%；与2019年决算相比减少1.92万元，减少33%。</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仿宋_GB2312" w:eastAsia="仿宋_GB2312"/>
          <w:b/>
          <w:sz w:val="32"/>
          <w:szCs w:val="32"/>
        </w:rPr>
      </w:pPr>
      <w:r>
        <w:rPr>
          <w:rFonts w:hint="eastAsia" w:ascii="仿宋_GB2312" w:eastAsia="仿宋_GB2312"/>
          <w:b/>
          <w:sz w:val="32"/>
          <w:szCs w:val="32"/>
        </w:rPr>
        <w:t>（一）部门绩效总目标</w:t>
      </w:r>
    </w:p>
    <w:p>
      <w:pPr>
        <w:keepNext w:val="0"/>
        <w:keepLines w:val="0"/>
        <w:pageBreakBefore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目标1：指导和管理全市建筑活动。促进国民经济、社会就业、城乡发展，建筑业快速发展。</w:t>
      </w:r>
    </w:p>
    <w:p>
      <w:pPr>
        <w:keepNext w:val="0"/>
        <w:keepLines w:val="0"/>
        <w:pageBreakBefore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目标2：承担全县建设行业质量安全监管工作。开展安全、质量标准化、监督规范化、监管信息化、质量安全专项整治活动；建筑施工安全生产控制在</w:t>
      </w:r>
      <w:r>
        <w:rPr>
          <w:rFonts w:hint="eastAsia" w:ascii="宋体" w:hAnsi="宋体" w:eastAsia="仿宋_GB2312"/>
          <w:kern w:val="0"/>
          <w:sz w:val="32"/>
          <w:szCs w:val="32"/>
        </w:rPr>
        <w:t>“零事故”、“零伤亡”</w:t>
      </w:r>
      <w:r>
        <w:rPr>
          <w:rFonts w:hint="eastAsia" w:ascii="仿宋" w:hAnsi="仿宋" w:eastAsia="仿宋"/>
          <w:sz w:val="32"/>
          <w:szCs w:val="32"/>
        </w:rPr>
        <w:t>；提升工程质量，打造建筑精品，确保安全生产。</w:t>
      </w:r>
      <w:r>
        <w:rPr>
          <w:rFonts w:hint="eastAsia" w:ascii="宋体" w:hAnsi="宋体" w:eastAsia="仿宋_GB2312"/>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目标3：负责全市市政基础设施建设的组织、协调、管理、调度和考核工作。市政基础设施运行正常、维护完好，路平水畅。</w:t>
      </w:r>
      <w:r>
        <w:rPr>
          <w:rFonts w:hint="eastAsia" w:ascii="仿宋" w:hAnsi="仿宋" w:eastAsia="仿宋"/>
          <w:sz w:val="32"/>
          <w:szCs w:val="32"/>
          <w:lang w:val="en-US" w:eastAsia="zh-CN"/>
        </w:rPr>
        <w:t>“放管服”、工程审批制度改革工作。</w:t>
      </w:r>
    </w:p>
    <w:p>
      <w:pPr>
        <w:keepNext w:val="0"/>
        <w:keepLines w:val="0"/>
        <w:pageBreakBefore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目标4：全力精准核实农村危房存量、加快危改进度, 全面推进传统古村落保护和申报工作。</w:t>
      </w:r>
    </w:p>
    <w:p>
      <w:pPr>
        <w:ind w:firstLine="643" w:firstLineChars="200"/>
        <w:rPr>
          <w:rFonts w:hint="eastAsia" w:ascii="仿宋_GB2312" w:eastAsia="仿宋_GB2312"/>
          <w:b/>
          <w:sz w:val="32"/>
          <w:szCs w:val="32"/>
        </w:rPr>
      </w:pPr>
      <w:r>
        <w:rPr>
          <w:rFonts w:hint="eastAsia" w:ascii="仿宋_GB2312" w:eastAsia="仿宋_GB2312"/>
          <w:b/>
          <w:sz w:val="32"/>
          <w:szCs w:val="32"/>
        </w:rPr>
        <w:t>（二）2020年部门绩效目标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仿宋_GB2312"/>
          <w:b w:val="0"/>
          <w:bCs w:val="0"/>
          <w:sz w:val="32"/>
          <w:szCs w:val="32"/>
          <w:u w:val="none"/>
          <w:lang w:val="en-US" w:eastAsia="zh-CN"/>
        </w:rPr>
      </w:pPr>
      <w:r>
        <w:rPr>
          <w:rFonts w:hint="eastAsia" w:ascii="Times New Roman" w:hAnsi="Times New Roman" w:eastAsia="仿宋_GB2312" w:cs="仿宋_GB2312"/>
          <w:b w:val="0"/>
          <w:bCs w:val="0"/>
          <w:sz w:val="32"/>
          <w:szCs w:val="32"/>
          <w:u w:val="none"/>
          <w:lang w:val="en-US" w:eastAsia="zh-CN"/>
        </w:rPr>
        <w:t>（1）</w:t>
      </w: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年财政安排农村危房改造工作经费专项资金</w:t>
      </w:r>
      <w:r>
        <w:rPr>
          <w:rFonts w:hint="eastAsia" w:eastAsia="仿宋_GB2312"/>
          <w:sz w:val="32"/>
          <w:szCs w:val="32"/>
          <w:lang w:val="en-US" w:eastAsia="zh-CN"/>
        </w:rPr>
        <w:t>10</w:t>
      </w:r>
      <w:r>
        <w:rPr>
          <w:rFonts w:hint="eastAsia" w:eastAsia="仿宋_GB2312"/>
          <w:sz w:val="32"/>
          <w:szCs w:val="32"/>
        </w:rPr>
        <w:t>万元。该项目是依据农村危房改造，改善人民住房条件，提高生活水平</w:t>
      </w:r>
      <w:r>
        <w:rPr>
          <w:rFonts w:hint="eastAsia" w:eastAsia="仿宋_GB2312"/>
          <w:sz w:val="32"/>
          <w:szCs w:val="32"/>
          <w:lang w:eastAsia="zh-CN"/>
        </w:rPr>
        <w:t>而</w:t>
      </w:r>
      <w:r>
        <w:rPr>
          <w:rFonts w:hint="eastAsia" w:eastAsia="仿宋_GB2312"/>
          <w:sz w:val="32"/>
          <w:szCs w:val="32"/>
        </w:rPr>
        <w:t>设立的持续项目。该项目的长期绩效目标是农村危房改造，改善人民住房条件，提高生活水平，提高农村居住环境。</w:t>
      </w:r>
      <w:r>
        <w:rPr>
          <w:rFonts w:hint="eastAsia" w:eastAsia="仿宋_GB2312"/>
          <w:sz w:val="32"/>
          <w:szCs w:val="32"/>
          <w:lang w:val="en-US" w:eastAsia="zh-CN"/>
        </w:rPr>
        <w:t>2020年</w:t>
      </w:r>
      <w:r>
        <w:rPr>
          <w:rFonts w:hint="eastAsia" w:ascii="Times New Roman" w:hAnsi="Times New Roman" w:eastAsia="仿宋_GB2312" w:cs="仿宋_GB2312"/>
          <w:b w:val="0"/>
          <w:bCs w:val="0"/>
          <w:sz w:val="32"/>
          <w:szCs w:val="32"/>
          <w:u w:val="none"/>
          <w:lang w:val="en-US" w:eastAsia="zh-CN"/>
        </w:rPr>
        <w:t>我县共实施农村危房改造192户，其中建档立卡贫困户112户、低保户37户、分散供养特困人员31户、贫困残疾户11户、边缘户1户，截至目前，192户危改户已全部完工，共计拨付危改补助资金429.3万元，有效解决了农户住房安全保障问题，确保了所有“4类重点对象”“危房不住人，人不住危房”。</w:t>
      </w:r>
    </w:p>
    <w:p>
      <w:pPr>
        <w:keepNext w:val="0"/>
        <w:keepLines w:val="0"/>
        <w:pageBreakBefore w:val="0"/>
        <w:widowControl w:val="0"/>
        <w:numPr>
          <w:ilvl w:val="0"/>
          <w:numId w:val="0"/>
        </w:numPr>
        <w:kinsoku/>
        <w:wordWrap/>
        <w:overflowPunct/>
        <w:topLinePunct w:val="0"/>
        <w:bidi w:val="0"/>
        <w:snapToGrid/>
        <w:spacing w:line="54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u w:val="none"/>
          <w:lang w:val="en-US" w:eastAsia="zh-CN"/>
        </w:rPr>
        <w:t>（2）2020年财政安排人防业务专项工作经费10万元。该项目是依据我局职责职能，为保证人防工作正常开展所设立的持续项目。2020年我局共</w:t>
      </w:r>
      <w:r>
        <w:rPr>
          <w:rFonts w:hint="eastAsia" w:ascii="Times New Roman" w:hAnsi="Times New Roman" w:eastAsia="仿宋_GB2312" w:cs="仿宋_GB2312"/>
          <w:b w:val="0"/>
          <w:bCs w:val="0"/>
          <w:sz w:val="32"/>
          <w:szCs w:val="32"/>
          <w:lang w:val="en-US" w:eastAsia="zh-CN"/>
        </w:rPr>
        <w:t>发放人防宣传资料2000多本进学校进社区，微信宣传25万条、发送短信1万条、电视广播、</w:t>
      </w:r>
      <w:r>
        <w:rPr>
          <w:rFonts w:hint="eastAsia" w:ascii="Times New Roman" w:hAnsi="Times New Roman" w:eastAsia="仿宋_GB2312" w:cs="仿宋_GB2312"/>
          <w:b w:val="0"/>
          <w:bCs w:val="0"/>
          <w:sz w:val="32"/>
          <w:szCs w:val="32"/>
          <w:lang w:eastAsia="zh-CN"/>
        </w:rPr>
        <w:t>悬挂横幅等</w:t>
      </w:r>
      <w:r>
        <w:rPr>
          <w:rFonts w:hint="eastAsia" w:ascii="Times New Roman" w:hAnsi="Times New Roman" w:eastAsia="仿宋_GB2312" w:cs="仿宋_GB2312"/>
          <w:b w:val="0"/>
          <w:bCs w:val="0"/>
          <w:sz w:val="32"/>
          <w:szCs w:val="32"/>
          <w:lang w:val="en-US" w:eastAsia="zh-CN"/>
        </w:rPr>
        <w:t>形式集中开展人防知识的普及教育。制作灯箱、宣传牌，联合县人武部打造国防人防宣传一条街，增强公民国防人防观念。成功争取了在黄龙山植物园</w:t>
      </w:r>
      <w:r>
        <w:rPr>
          <w:rFonts w:hint="eastAsia" w:ascii="Times New Roman" w:hAnsi="Times New Roman" w:eastAsia="仿宋_GB2312" w:cs="仿宋_GB2312"/>
          <w:b w:val="0"/>
          <w:bCs w:val="0"/>
          <w:sz w:val="32"/>
          <w:szCs w:val="32"/>
          <w:lang w:eastAsia="zh-CN"/>
        </w:rPr>
        <w:t>建设符合标准的人防宣传教育基地。</w:t>
      </w:r>
    </w:p>
    <w:p>
      <w:pPr>
        <w:pStyle w:val="2"/>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2020年财政安排人防通信建设资金（专项审批）6.6万元。该项目是根据我县人防业务实际需求，按防空警报器的覆盖面要求所设立的新增项目。2020年共新增防空警报器2台，同时认真对各警报点及通信设施的维护管理，对全县11个警报点及1个统控中心进行检修，保持了人防通信畅通,完成了4月1日及11月1日防空警报的试鸣任务。</w:t>
      </w:r>
    </w:p>
    <w:p>
      <w:pPr>
        <w:ind w:firstLine="640" w:firstLineChars="200"/>
        <w:rPr>
          <w:rFonts w:hint="default"/>
          <w:lang w:val="en-US" w:eastAsia="zh-CN"/>
        </w:rPr>
      </w:pPr>
      <w:r>
        <w:rPr>
          <w:rFonts w:hint="eastAsia" w:ascii="Times New Roman" w:hAnsi="Times New Roman" w:eastAsia="仿宋_GB2312" w:cs="仿宋_GB2312"/>
          <w:b w:val="0"/>
          <w:bCs w:val="0"/>
          <w:sz w:val="32"/>
          <w:szCs w:val="32"/>
          <w:lang w:val="en-US" w:eastAsia="zh-CN"/>
        </w:rPr>
        <w:t>（4）2020年财政安排招标办招标项目专项业务经费7万元。该项目是根据我局职责职能，为保证招投标业务正常开展所设立的持续项目。</w:t>
      </w:r>
      <w:r>
        <w:rPr>
          <w:rFonts w:hint="eastAsia" w:ascii="Times New Roman" w:hAnsi="Times New Roman" w:eastAsia="仿宋_GB2312" w:cs="仿宋_GB2312"/>
          <w:b w:val="0"/>
          <w:bCs w:val="0"/>
          <w:sz w:val="32"/>
          <w:szCs w:val="32"/>
          <w:u w:val="none"/>
          <w:lang w:val="en-US" w:eastAsia="zh-CN"/>
        </w:rPr>
        <w:t>2020年1-11月，住建领域招标投标项目14项，投资总额170556.47万元。其中，公开招标14项，累计中标金额170556.47万元。项目报送的应招标项目的招标率基本达到100％，应公开招标项目的公开招标率为100％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仿宋_GB2312"/>
          <w:b w:val="0"/>
          <w:bCs w:val="0"/>
          <w:sz w:val="32"/>
          <w:szCs w:val="32"/>
          <w:u w:val="none"/>
          <w:lang w:val="en-US" w:eastAsia="zh-CN"/>
        </w:rPr>
      </w:pPr>
      <w:r>
        <w:rPr>
          <w:rFonts w:hint="eastAsia" w:ascii="Times New Roman" w:hAnsi="Times New Roman" w:eastAsia="仿宋_GB2312" w:cs="仿宋_GB2312"/>
          <w:b w:val="0"/>
          <w:bCs w:val="0"/>
          <w:sz w:val="32"/>
          <w:szCs w:val="32"/>
          <w:u w:val="none"/>
          <w:lang w:val="en-US" w:eastAsia="zh-CN"/>
        </w:rPr>
        <w:t>（5）2020年财政安排建设工程质量监督管理专项经费7万元。该项目是根据我局职责职能，为保证工程质量安全管理业务正常开展所设立的持续项目。2020年我县续建新建工程项目22个，建筑面积约139万㎡，竣工验收项目15个，评为优良工程2个，消防验收项目18个。今年新办补办质量安全监督手续工程13个，新签工程质量终身承诺书65份；开展建筑工程质量安全大检查3次，开展日常安全检查260次，下发停工整改通知书3份，下达督办函6份，下达不良行为告知书3份,下达工程质量安全隐患整改通知书146份，下达消防安全隐患整改通知书18份，消除消防安全隐患210条，下达建设工程手续催办通知书17份，发现并消除质量安全隐患(含消防隐患）1776条，到目前为止全县未发生任何工程质量事故，建设工程安全形势平稳可控。</w:t>
      </w:r>
    </w:p>
    <w:p>
      <w:pPr>
        <w:pStyle w:val="2"/>
        <w:ind w:firstLine="640" w:firstLineChars="200"/>
        <w:rPr>
          <w:rFonts w:hint="eastAsia" w:eastAsia="仿宋_GB2312"/>
          <w:sz w:val="32"/>
          <w:szCs w:val="32"/>
        </w:rPr>
      </w:pPr>
      <w:r>
        <w:rPr>
          <w:rFonts w:hint="eastAsia" w:ascii="Times New Roman" w:hAnsi="Times New Roman" w:eastAsia="仿宋_GB2312" w:cs="仿宋_GB2312"/>
          <w:b w:val="0"/>
          <w:bCs w:val="0"/>
          <w:sz w:val="32"/>
          <w:szCs w:val="32"/>
          <w:u w:val="none"/>
          <w:lang w:val="en-US" w:eastAsia="zh-CN"/>
        </w:rPr>
        <w:t>（6）2020年财政安排规划建设工程监察队专项工作经费14万元。该项目是根据我局职责职能，为保证建设工程监察工作正常开展所设立的持续项目。</w:t>
      </w:r>
      <w:r>
        <w:rPr>
          <w:rFonts w:hint="eastAsia" w:eastAsia="仿宋_GB2312"/>
          <w:sz w:val="32"/>
          <w:szCs w:val="32"/>
        </w:rPr>
        <w:t>该项目的长期绩效目标是补助规划建设工程监察队人员及工作经费，完善全县建设市场监督管理工作。该项目的年度绩效目标是数量指标补助规划建设工程监察队人员及工作经费，完善全县建设市场监督管理工作，质量指标补助规划建设工程监察队人员及工作经费，完善全县建设市场监督管理工作，时效指标补助规划建设工程监察队人员及工作经费，完善全县建设市场监督管理工作，效益指标补助规划建设工程监察队人员及工作经费，完善全县建设市场监督管理工作。</w:t>
      </w:r>
    </w:p>
    <w:p>
      <w:pPr>
        <w:ind w:firstLine="640" w:firstLineChars="200"/>
        <w:rPr>
          <w:rFonts w:hint="eastAsia"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7</w:t>
      </w:r>
      <w:r>
        <w:rPr>
          <w:rFonts w:hint="eastAsia" w:eastAsia="仿宋_GB2312"/>
          <w:sz w:val="32"/>
          <w:szCs w:val="32"/>
          <w:lang w:eastAsia="zh-CN"/>
        </w:rPr>
        <w:t>）</w:t>
      </w:r>
      <w:r>
        <w:rPr>
          <w:rFonts w:hint="eastAsia" w:eastAsia="仿宋_GB2312"/>
          <w:sz w:val="32"/>
          <w:szCs w:val="32"/>
          <w:lang w:val="en-US" w:eastAsia="zh-CN"/>
        </w:rPr>
        <w:t>2020年财政安排创建湖南省历史文化名城工作经费5万元。该项目是根据</w:t>
      </w:r>
      <w:r>
        <w:rPr>
          <w:rFonts w:hint="eastAsia" w:ascii="仿宋_GB2312" w:hAnsi="仿宋_GB2312" w:eastAsia="仿宋_GB2312" w:cs="仿宋_GB2312"/>
          <w:sz w:val="32"/>
          <w:szCs w:val="32"/>
          <w:lang w:val="en-US" w:eastAsia="zh-CN"/>
        </w:rPr>
        <w:t>争创省级历史文化名城名镇工作需要所设立的新增项目。临武县有七个村纳入传统古村保护范围，分别是麦市镇的上乔村；水东镇的乐岭村、油湾村；汾市镇的南福村、龙归坪村；武水镇坦下村；花塘乡的石门村。其中麦市镇的上乔村、水东镇的乐岭村、汾市镇的南福村获得了中央财政支持范围，并严格按上级要求，按保护规划要求，按招标程序全面完工验收。2020年邀请了中央电视台科教频道《中国影像方志》特别节目组对我县历史文化进行了专题宣传报道。</w:t>
      </w:r>
    </w:p>
    <w:p>
      <w:pPr>
        <w:pageBreakBefore w:val="0"/>
        <w:widowControl w:val="0"/>
        <w:kinsoku/>
        <w:overflowPunct/>
        <w:topLinePunct w:val="0"/>
        <w:autoSpaceDE/>
        <w:autoSpaceDN/>
        <w:bidi w:val="0"/>
        <w:adjustRightInd/>
        <w:snapToGrid/>
        <w:spacing w:line="360" w:lineRule="auto"/>
        <w:ind w:leftChars="0"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eastAsia="仿宋_GB2312" w:asciiTheme="minorHAnsi" w:hAnsiTheme="minorHAnsi" w:cstheme="minorBidi"/>
          <w:kern w:val="2"/>
          <w:sz w:val="32"/>
          <w:szCs w:val="32"/>
          <w:lang w:val="en-US" w:eastAsia="zh-CN" w:bidi="ar-SA"/>
        </w:rPr>
        <w:t>（8）</w:t>
      </w:r>
      <w:r>
        <w:rPr>
          <w:rFonts w:hint="eastAsia" w:eastAsia="仿宋_GB2312" w:cstheme="minorBidi"/>
          <w:kern w:val="2"/>
          <w:sz w:val="32"/>
          <w:szCs w:val="32"/>
          <w:lang w:val="en-US" w:eastAsia="zh-CN" w:bidi="ar-SA"/>
        </w:rPr>
        <w:t>2020年</w:t>
      </w:r>
      <w:r>
        <w:rPr>
          <w:rFonts w:hint="eastAsia" w:eastAsia="仿宋_GB2312"/>
          <w:sz w:val="32"/>
          <w:szCs w:val="32"/>
          <w:lang w:val="en-US" w:eastAsia="zh-CN"/>
        </w:rPr>
        <w:t>安居工程专项老旧小区改造配套基础设施建设</w:t>
      </w:r>
      <w:r>
        <w:rPr>
          <w:rFonts w:hint="eastAsia" w:eastAsia="仿宋_GB2312" w:cstheme="minorBidi"/>
          <w:kern w:val="2"/>
          <w:sz w:val="32"/>
          <w:szCs w:val="32"/>
          <w:lang w:val="en-US" w:eastAsia="zh-CN" w:bidi="ar-SA"/>
        </w:rPr>
        <w:t>项目，是年中追加中央资金。是一项</w:t>
      </w:r>
      <w:r>
        <w:rPr>
          <w:rFonts w:hint="eastAsia" w:ascii="仿宋_GB2312" w:hAnsi="仿宋_GB2312" w:eastAsia="仿宋_GB2312" w:cs="仿宋_GB2312"/>
          <w:b w:val="0"/>
          <w:bCs/>
          <w:color w:val="000000"/>
          <w:kern w:val="0"/>
          <w:sz w:val="32"/>
          <w:szCs w:val="32"/>
        </w:rPr>
        <w:t>坚持</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以人民为中心</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建设人民城市</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的初衷</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val="en-US" w:eastAsia="zh-CN"/>
        </w:rPr>
        <w:t>严格落实国家、省、市各级要求</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val="en-US" w:eastAsia="zh-CN"/>
        </w:rPr>
        <w:t>结合临武县实际情况</w:t>
      </w:r>
      <w:r>
        <w:rPr>
          <w:rFonts w:hint="eastAsia" w:ascii="仿宋_GB2312" w:hAnsi="仿宋_GB2312" w:eastAsia="仿宋_GB2312" w:cs="仿宋_GB2312"/>
          <w:b w:val="0"/>
          <w:bCs/>
          <w:color w:val="000000"/>
          <w:kern w:val="0"/>
          <w:sz w:val="32"/>
          <w:szCs w:val="32"/>
        </w:rPr>
        <w:t>全面开展城镇老旧小区改造</w:t>
      </w:r>
      <w:r>
        <w:rPr>
          <w:rFonts w:hint="eastAsia" w:ascii="仿宋_GB2312" w:hAnsi="仿宋_GB2312" w:eastAsia="仿宋_GB2312" w:cs="仿宋_GB2312"/>
          <w:b w:val="0"/>
          <w:bCs/>
          <w:color w:val="000000"/>
          <w:kern w:val="0"/>
          <w:sz w:val="32"/>
          <w:szCs w:val="32"/>
          <w:lang w:eastAsia="zh-CN"/>
        </w:rPr>
        <w:t>的项目，</w:t>
      </w:r>
      <w:r>
        <w:rPr>
          <w:rFonts w:hint="eastAsia" w:ascii="仿宋_GB2312" w:hAnsi="仿宋_GB2312" w:eastAsia="仿宋_GB2312" w:cs="仿宋_GB2312"/>
          <w:b w:val="0"/>
          <w:bCs/>
          <w:color w:val="000000"/>
          <w:kern w:val="0"/>
          <w:sz w:val="32"/>
          <w:szCs w:val="32"/>
          <w:lang w:val="en-US" w:eastAsia="zh-CN"/>
        </w:rPr>
        <w:t>旨在打造一个活力、精美、宜居的老城区。2020年我县城区摸底2000年以前建成老旧小区共计113个，涉及房屋344栋，4551户，建筑面积47.21万㎡</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sz w:val="32"/>
          <w:szCs w:val="32"/>
          <w:lang w:val="en-US" w:eastAsia="zh-CN"/>
        </w:rPr>
        <w:t>现阶段我县</w:t>
      </w:r>
      <w:r>
        <w:rPr>
          <w:rFonts w:hint="eastAsia" w:ascii="Times New Roman" w:hAnsi="Times New Roman" w:eastAsia="仿宋_GB2312" w:cs="仿宋_GB2312"/>
          <w:b w:val="0"/>
          <w:bCs w:val="0"/>
          <w:sz w:val="32"/>
          <w:szCs w:val="32"/>
          <w:lang w:val="en-US" w:eastAsia="zh-CN"/>
        </w:rPr>
        <w:t>3个老旧小区改造项目（老交通局小区、老建设区小区、环卫所小区）均已完工，完成投资430万元。2020年纳入中央补助支持的5个老旧小区改造计划项目（计生委老院、原食药监局小区、开发办小区、财政局小区、地矿局小区）均已完成房屋修缮、供水管网改造、雨污管网改造等各项建设任务，共完成项目投资750万元。</w:t>
      </w:r>
    </w:p>
    <w:p>
      <w:pPr>
        <w:ind w:firstLine="640" w:firstLineChars="200"/>
        <w:rPr>
          <w:rFonts w:hint="default"/>
          <w:lang w:val="en-US" w:eastAsia="zh-CN"/>
        </w:rPr>
      </w:pPr>
      <w:r>
        <w:rPr>
          <w:rFonts w:hint="eastAsia" w:ascii="Times New Roman" w:hAnsi="Times New Roman" w:eastAsia="仿宋_GB2312" w:cs="仿宋_GB2312"/>
          <w:b w:val="0"/>
          <w:bCs w:val="0"/>
          <w:sz w:val="32"/>
          <w:szCs w:val="32"/>
          <w:lang w:val="en-US" w:eastAsia="zh-CN"/>
        </w:rPr>
        <w:t>（9）2020年财政安排2019年度农村房屋危险性鉴定费用10万元。</w:t>
      </w:r>
      <w:r>
        <w:rPr>
          <w:rFonts w:hint="eastAsia" w:eastAsia="仿宋_GB2312"/>
          <w:sz w:val="32"/>
          <w:szCs w:val="32"/>
        </w:rPr>
        <w:t>该项目是依据农村危房改造，改善人民住房条件，提高生活水平</w:t>
      </w:r>
      <w:r>
        <w:rPr>
          <w:rFonts w:hint="eastAsia" w:eastAsia="仿宋_GB2312"/>
          <w:sz w:val="32"/>
          <w:szCs w:val="32"/>
          <w:lang w:eastAsia="zh-CN"/>
        </w:rPr>
        <w:t>而</w:t>
      </w:r>
      <w:r>
        <w:rPr>
          <w:rFonts w:hint="eastAsia" w:eastAsia="仿宋_GB2312"/>
          <w:sz w:val="32"/>
          <w:szCs w:val="32"/>
        </w:rPr>
        <w:t>设立的持续项目。该项目的长期绩效目标是农村危房改造，改善人民住房条件，提高生活水平，提高农村居住环境</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2019年，我局组织第三方鉴定公司对全县1901户（包括危改质量安全大排查大整改行动中发现的住房安全存在问题的4户疑问户）农村“四类重点对象”房屋进行了危险性鉴定，其中鉴定为A级1349户、B级312户、C级153户、D级83户，鉴定工作已全部完成。</w:t>
      </w:r>
    </w:p>
    <w:p>
      <w:pPr>
        <w:pStyle w:val="2"/>
        <w:ind w:firstLine="640" w:firstLineChars="200"/>
        <w:rPr>
          <w:rFonts w:hint="default" w:eastAsia="仿宋_GB2312" w:cstheme="minorBidi"/>
          <w:kern w:val="2"/>
          <w:sz w:val="32"/>
          <w:szCs w:val="32"/>
          <w:lang w:val="en-US" w:eastAsia="zh-CN" w:bidi="ar-SA"/>
        </w:rPr>
      </w:pPr>
      <w:r>
        <w:rPr>
          <w:rFonts w:hint="eastAsia" w:eastAsia="仿宋_GB2312" w:cstheme="minorBidi"/>
          <w:kern w:val="2"/>
          <w:sz w:val="32"/>
          <w:szCs w:val="32"/>
          <w:lang w:val="en-US" w:eastAsia="zh-CN" w:bidi="ar-SA"/>
        </w:rPr>
        <w:t>（10）2020年财政安排原畜牧局旁板桥头沟盖板建设工程项目资金24.75万元。该项目是为原畜牧局旁板桥头沟盖板建设，以改善人居环境，提高人居水平为目的的新增项目。2020年将原畜牧局旁板桥头不达标、有破损的沟盖板统一规格，统一更换。保证桥头排水通畅。</w:t>
      </w:r>
    </w:p>
    <w:p>
      <w:pPr>
        <w:pStyle w:val="2"/>
        <w:keepNext w:val="0"/>
        <w:keepLines w:val="0"/>
        <w:pageBreakBefore w:val="0"/>
        <w:widowControl w:val="0"/>
        <w:numPr>
          <w:ilvl w:val="0"/>
          <w:numId w:val="0"/>
        </w:numPr>
        <w:kinsoku/>
        <w:wordWrap/>
        <w:overflowPunct/>
        <w:topLinePunct w:val="0"/>
        <w:bidi w:val="0"/>
        <w:snapToGrid/>
        <w:spacing w:line="540" w:lineRule="exact"/>
        <w:ind w:leftChars="0" w:firstLine="640" w:firstLineChars="200"/>
        <w:textAlignment w:val="auto"/>
        <w:rPr>
          <w:rFonts w:hint="eastAsia" w:eastAsia="仿宋_GB2312" w:cstheme="minorBidi"/>
          <w:kern w:val="2"/>
          <w:sz w:val="32"/>
          <w:szCs w:val="32"/>
          <w:lang w:val="en-US" w:eastAsia="zh-CN" w:bidi="ar-SA"/>
        </w:rPr>
      </w:pPr>
      <w:r>
        <w:rPr>
          <w:rFonts w:hint="eastAsia" w:eastAsia="仿宋_GB2312" w:cstheme="minorBidi"/>
          <w:kern w:val="2"/>
          <w:sz w:val="32"/>
          <w:szCs w:val="32"/>
          <w:lang w:val="en-US" w:eastAsia="zh-CN" w:bidi="ar-SA"/>
        </w:rPr>
        <w:t>（11）2020年财政安排预安施工图纸审查经费（专项审批）30万元。</w:t>
      </w:r>
      <w:r>
        <w:rPr>
          <w:rFonts w:hint="eastAsia" w:ascii="Times New Roman" w:hAnsi="Times New Roman" w:eastAsia="仿宋_GB2312" w:cs="仿宋_GB2312"/>
          <w:b w:val="0"/>
          <w:bCs w:val="0"/>
          <w:sz w:val="32"/>
          <w:szCs w:val="32"/>
          <w:u w:val="none"/>
          <w:lang w:val="en-US" w:eastAsia="zh-CN"/>
        </w:rPr>
        <w:t>2020年截至目前，我局窗口共办理建设工程初步设计审批26项，建筑面积411775.5平方米，工程总造价55175.93万元；图审备案12项，建筑面积415700.38平方米，工程总造价59599.57万元；发放施工许可证11本，建筑面积382859.76平方米，工程总造价24862.41719万元（含城市基础设施——线性工程类）；在郴州市“一次办结”平台中登录办理建筑工程施工许可证项目11项、登录施工图审查备案12项；在郴州市“一次办结”电子证照平台中登录建筑工程施工许可证项目11项；在 “互联网+政务服务”一体化平台事项管理系统中已将现有依职权类行政权力事项189项填报并发布、无需申请类权力事项145项填报并发布。</w:t>
      </w:r>
    </w:p>
    <w:p>
      <w:pPr>
        <w:pStyle w:val="2"/>
        <w:ind w:firstLine="640" w:firstLineChars="200"/>
        <w:rPr>
          <w:rFonts w:hint="default"/>
          <w:lang w:val="en-US" w:eastAsia="zh-CN"/>
        </w:rPr>
      </w:pPr>
      <w:r>
        <w:rPr>
          <w:rFonts w:hint="eastAsia" w:eastAsia="仿宋_GB2312" w:cstheme="minorBidi"/>
          <w:kern w:val="2"/>
          <w:sz w:val="32"/>
          <w:szCs w:val="32"/>
          <w:lang w:val="en-US" w:eastAsia="zh-CN" w:bidi="ar-SA"/>
        </w:rPr>
        <w:t>（12）2020年财政安排背街小巷提质改造工程资金112万元。是用于城区内背街小巷改造，以改善人居环境，提高生活质量为目的的持续项目。2020年</w:t>
      </w:r>
      <w:r>
        <w:rPr>
          <w:rFonts w:hint="eastAsia" w:eastAsia="仿宋_GB2312" w:cs="仿宋_GB2312"/>
          <w:kern w:val="0"/>
          <w:sz w:val="32"/>
          <w:szCs w:val="32"/>
        </w:rPr>
        <w:t>主要对背街小巷实施管线下地、雨污分流、路面硬化、路灯亮化、绿化等。路面以沥青砼路面为主，不宜机械作业的路段路面为水泥砼。</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临武县住房和城乡建设局</w:t>
      </w:r>
      <w:r>
        <w:rPr>
          <w:rFonts w:hint="eastAsia" w:ascii="仿宋_GB2312" w:eastAsia="仿宋_GB2312"/>
          <w:sz w:val="32"/>
          <w:szCs w:val="32"/>
          <w:lang w:val="en-US" w:eastAsia="zh-CN"/>
        </w:rPr>
        <w:t>2020年的专项资金在使用过程中严格按照要求，实行专款专用，不挪用不占用；严格按照财政规定实行报账程序；积极地完成上级下达的指标，按时按量地完成任务。</w:t>
      </w:r>
    </w:p>
    <w:p>
      <w:pPr>
        <w:ind w:firstLine="640" w:firstLineChars="200"/>
        <w:rPr>
          <w:rFonts w:ascii="黑体" w:hAnsi="黑体" w:eastAsia="黑体"/>
          <w:sz w:val="32"/>
          <w:szCs w:val="32"/>
        </w:rPr>
      </w:pPr>
      <w:r>
        <w:rPr>
          <w:rFonts w:hint="eastAsia" w:ascii="黑体" w:hAnsi="黑体" w:eastAsia="黑体"/>
          <w:sz w:val="32"/>
          <w:szCs w:val="32"/>
        </w:rPr>
        <w:t>五、绩效评价指标分析情况</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（一）对履职效能主要指标的完成情况进行具体分析</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临武县住建局严格按照职责职能行政办公，监督管理建筑市场，对施工图纸进行严格审核，保障工程质量安全，加大人防异地建设费的征收，加强人防宣传，保障人防通信畅通。</w:t>
      </w:r>
    </w:p>
    <w:p>
      <w:pPr>
        <w:numPr>
          <w:ilvl w:val="0"/>
          <w:numId w:val="1"/>
        </w:numPr>
        <w:ind w:left="0" w:leftChars="0" w:firstLine="640" w:firstLineChars="0"/>
        <w:rPr>
          <w:rFonts w:hint="eastAsia" w:ascii="仿宋_GB2312" w:hAnsi="黑体" w:eastAsia="仿宋_GB2312"/>
          <w:b/>
          <w:sz w:val="32"/>
          <w:szCs w:val="32"/>
        </w:rPr>
      </w:pPr>
      <w:r>
        <w:rPr>
          <w:rFonts w:hint="eastAsia" w:ascii="仿宋_GB2312" w:hAnsi="黑体" w:eastAsia="仿宋_GB2312"/>
          <w:b/>
          <w:sz w:val="32"/>
          <w:szCs w:val="32"/>
        </w:rPr>
        <w:t>对管理效率主要指标的完成情况进行具体分析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仿宋_GB2312"/>
          <w:b w:val="0"/>
          <w:bCs w:val="0"/>
          <w:sz w:val="32"/>
          <w:szCs w:val="32"/>
          <w:u w:val="none"/>
          <w:lang w:val="en-US" w:eastAsia="zh-CN"/>
        </w:rPr>
      </w:pPr>
      <w:r>
        <w:rPr>
          <w:rFonts w:hint="eastAsia" w:ascii="仿宋_GB2312" w:eastAsia="仿宋_GB2312"/>
          <w:sz w:val="32"/>
          <w:szCs w:val="32"/>
          <w:lang w:val="en-US" w:eastAsia="zh-CN"/>
        </w:rPr>
        <w:t>建筑工程质量安全监管方面，</w:t>
      </w:r>
      <w:r>
        <w:rPr>
          <w:rFonts w:hint="eastAsia" w:ascii="Times New Roman" w:hAnsi="Times New Roman" w:eastAsia="仿宋_GB2312" w:cs="仿宋_GB2312"/>
          <w:b w:val="0"/>
          <w:bCs w:val="0"/>
          <w:sz w:val="32"/>
          <w:szCs w:val="32"/>
          <w:u w:val="none"/>
          <w:lang w:val="en-US" w:eastAsia="zh-CN"/>
        </w:rPr>
        <w:t>今年我县续建新建工程项目22个，建筑面积约139万㎡，竣工验收项目15个，评为优良工程2个，消防验收项目18个。今年新办补办质量安全监督手续工程13个，新签工程质量终身承诺书65份；开展建筑工程质量安全大检查3次，开展日常安全检查260次，下发停工整改通知书3份，下达督办函6份，下达不良行为告知书3份,下达工程质量安全隐患整改通知书146份，下达消防安全隐患整改通知书18份，消除消防安全隐患210条，下达建设工程手续催办通知书17份，发现并消除质量安全隐患(含消防隐患）1776条，到目前为止全县未发生任何工程质量事故，建设工程安全形势平稳可控。</w:t>
      </w:r>
    </w:p>
    <w:p>
      <w:pPr>
        <w:ind w:firstLine="640" w:firstLineChars="200"/>
      </w:pPr>
      <w:r>
        <w:rPr>
          <w:rFonts w:hint="eastAsia" w:ascii="Times New Roman" w:hAnsi="Times New Roman" w:eastAsia="仿宋_GB2312" w:cs="仿宋_GB2312"/>
          <w:b w:val="0"/>
          <w:bCs w:val="0"/>
          <w:sz w:val="32"/>
          <w:szCs w:val="32"/>
          <w:u w:val="none"/>
          <w:lang w:val="en-US" w:eastAsia="zh-CN"/>
        </w:rPr>
        <w:t>施工图纸审查，“放管服”、工程审批制度改革工作方面，2020年截至目前，我局窗口共办理建设工程初步设计审批26项，建筑面积411775.5平方米，工程总造价55175.93万元；图审备案12项，建筑面积415700.38平方米，工程总造价59599.57万元；发放施工许可证11本，建筑面积382859.76平方米，工程总造价24862.41719万元（含城市基础设施——线性工程类）；在郴州市“一次办结”平台中登录办理建筑工程施工许可证项目11项、登录施工图审查备案12项。</w:t>
      </w:r>
    </w:p>
    <w:p>
      <w:pPr>
        <w:numPr>
          <w:ilvl w:val="0"/>
          <w:numId w:val="1"/>
        </w:numPr>
        <w:ind w:left="0" w:leftChars="0" w:firstLine="640" w:firstLineChars="0"/>
        <w:rPr>
          <w:rFonts w:hint="eastAsia" w:ascii="仿宋_GB2312" w:hAnsi="黑体" w:eastAsia="仿宋_GB2312"/>
          <w:b/>
          <w:sz w:val="32"/>
          <w:szCs w:val="32"/>
        </w:rPr>
      </w:pPr>
      <w:r>
        <w:rPr>
          <w:rFonts w:hint="eastAsia" w:ascii="仿宋_GB2312" w:hAnsi="黑体" w:eastAsia="仿宋_GB2312"/>
          <w:b/>
          <w:sz w:val="32"/>
          <w:szCs w:val="32"/>
        </w:rPr>
        <w:t>对履职效益主要指标的完成情况进行具体分析</w:t>
      </w:r>
    </w:p>
    <w:p>
      <w:pPr>
        <w:pStyle w:val="2"/>
        <w:numPr>
          <w:ilvl w:val="0"/>
          <w:numId w:val="0"/>
        </w:numPr>
        <w:ind w:firstLine="640" w:firstLineChars="200"/>
        <w:rPr>
          <w:rFonts w:hint="eastAsia" w:eastAsia="宋体"/>
          <w:lang w:val="en-US" w:eastAsia="zh-CN"/>
        </w:rPr>
      </w:pPr>
      <w:r>
        <w:rPr>
          <w:rFonts w:hint="eastAsia" w:ascii="仿宋_GB2312" w:hAnsi="黑体" w:eastAsia="仿宋_GB2312"/>
          <w:sz w:val="32"/>
          <w:szCs w:val="32"/>
          <w:lang w:val="en-US" w:eastAsia="zh-CN"/>
        </w:rPr>
        <w:t>2020年临武县住建局在整体支出上资金使用规范，专款专用，严格按照财政局规定流程。在危房改造、房屋鉴定、人防业务等方面，面对上级下达的任务，积极完成。根据单位职责职能，在监督建设工程质量安全、建设工程招投标、施工图纸审查方面，严格根据法律法规，把控建设工程安全。2020年临武县住房和城乡建设局综合评价情况为良好。</w:t>
      </w:r>
      <w:r>
        <w:rPr>
          <w:rFonts w:hint="eastAsia"/>
          <w:lang w:val="en-US" w:eastAsia="zh-CN"/>
        </w:rPr>
        <w:t xml:space="preserve"> </w:t>
      </w:r>
    </w:p>
    <w:p>
      <w:pPr>
        <w:ind w:firstLine="640" w:firstLineChars="200"/>
        <w:rPr>
          <w:rFonts w:ascii="黑体" w:hAnsi="黑体" w:eastAsia="黑体"/>
          <w:sz w:val="32"/>
          <w:szCs w:val="32"/>
        </w:rPr>
      </w:pPr>
      <w:r>
        <w:rPr>
          <w:rFonts w:hint="eastAsia" w:ascii="黑体" w:hAnsi="黑体" w:eastAsia="黑体"/>
          <w:sz w:val="32"/>
          <w:szCs w:val="32"/>
        </w:rPr>
        <w:t>六、综合评价情况及评价结论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抓好工程质量安全监管。2021年我局将认真贯彻落实上级主管部门相关会议精神和工作要求，牢固树立工程质量安全发展观念，坚持“安全第一、预防为主、综合治理”的方针，健全和落实质量安全责任制，强化工程质量安全监督管理，规范工程质量安全各项基础工作，做好工程质量安全宣传教育培训工作，消除和及时整改各类事故隐患，为建设工程安全提供保障。紧紧围绕“质量安全”这条主线开展工程质量安全大检查、专项整治等工作，力争实现减少一般事故，避免重复事故，力争全年不发生死亡事故、坚决杜绝发生较大以上质量安全事故，努力促进建筑施工质量安全生产形势持续稳定的目标。</w:t>
      </w:r>
    </w:p>
    <w:p>
      <w:pPr>
        <w:keepNext w:val="0"/>
        <w:keepLines w:val="0"/>
        <w:pageBreakBefore w:val="0"/>
        <w:widowControl w:val="0"/>
        <w:kinsoku/>
        <w:wordWrap/>
        <w:overflowPunct/>
        <w:topLinePunct w:val="0"/>
        <w:bidi w:val="0"/>
        <w:snapToGrid/>
        <w:spacing w:line="540" w:lineRule="exact"/>
        <w:ind w:firstLine="64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有序推进城乡基础设施建设。推进临武县供排水和村镇污水治理及配套管网建设PPP项目建设、县第二水厂建设，同时完成县城区2021年老旧小区改造任务及相关民生实事工程。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积极开展人防宣传教育。一是结合全国防灾减灾日、防空防灾警报试鸣日、应急宣传月等时间节点，以悬挂横幅、电子屏幕滚动播放、发送短信等形式集中开展人防知识普及教育。二是发放《中国人民防空》杂志、人防宣传挂历等人防宣传资料进学校进社区、进企业，举行防空防灾宣传教育知识讲座，集中开展人防知识的普及教育，加大宣传报道力度，营造社会各界关心支持人防建设的良好氛围。三是推进人防指挥所、人防宣传教育基地建设。</w:t>
      </w:r>
    </w:p>
    <w:p>
      <w:pPr>
        <w:keepNext w:val="0"/>
        <w:keepLines w:val="0"/>
        <w:pageBreakBefore w:val="0"/>
        <w:widowControl w:val="0"/>
        <w:kinsoku/>
        <w:wordWrap/>
        <w:overflowPunct/>
        <w:topLinePunct w:val="0"/>
        <w:autoSpaceDE w:val="0"/>
        <w:autoSpaceDN w:val="0"/>
        <w:bidi w:val="0"/>
        <w:adjustRightInd w:val="0"/>
        <w:snapToGrid/>
        <w:spacing w:line="540" w:lineRule="exact"/>
        <w:ind w:firstLine="800" w:firstLineChars="250"/>
        <w:jc w:val="left"/>
        <w:textAlignment w:val="auto"/>
        <w:rPr>
          <w:rFonts w:hint="eastAsia" w:ascii="Times New Roman" w:hAnsi="Times New Roman" w:eastAsia="仿宋_GB2312" w:cs="仿宋_GB2312"/>
          <w:b w:val="0"/>
          <w:bCs w:val="0"/>
          <w:sz w:val="32"/>
          <w:szCs w:val="32"/>
          <w:lang w:val="zh-CN"/>
        </w:rPr>
      </w:pPr>
      <w:r>
        <w:rPr>
          <w:rFonts w:hint="eastAsia" w:ascii="仿宋_GB2312" w:hAnsi="黑体" w:eastAsia="仿宋_GB2312" w:cstheme="minorBidi"/>
          <w:kern w:val="2"/>
          <w:sz w:val="32"/>
          <w:szCs w:val="32"/>
          <w:lang w:val="en-US" w:eastAsia="zh-CN" w:bidi="ar-SA"/>
        </w:rPr>
        <w:t>努力提升窗口服务水平。一是加强业务办理程序的培训，</w:t>
      </w:r>
      <w:r>
        <w:rPr>
          <w:rFonts w:hint="eastAsia" w:ascii="仿宋_GB2312" w:hAnsi="黑体" w:eastAsia="仿宋_GB2312" w:cstheme="minorBidi"/>
          <w:kern w:val="2"/>
          <w:sz w:val="32"/>
          <w:szCs w:val="32"/>
          <w:lang w:val="zh-CN" w:eastAsia="zh-CN" w:bidi="ar-SA"/>
        </w:rPr>
        <w:t>加强与各部门的沟通、协作，共同把关，在增加税费征收的情况下更好地为办事群众服好务。二</w:t>
      </w:r>
      <w:r>
        <w:rPr>
          <w:rFonts w:hint="eastAsia" w:ascii="仿宋_GB2312" w:hAnsi="黑体" w:eastAsia="仿宋_GB2312" w:cstheme="minorBidi"/>
          <w:kern w:val="2"/>
          <w:sz w:val="32"/>
          <w:szCs w:val="32"/>
          <w:lang w:val="en-US" w:eastAsia="zh-CN" w:bidi="ar-SA"/>
        </w:rPr>
        <w:t>是</w:t>
      </w:r>
      <w:r>
        <w:rPr>
          <w:rFonts w:hint="eastAsia" w:ascii="仿宋_GB2312" w:hAnsi="黑体" w:eastAsia="仿宋_GB2312" w:cstheme="minorBidi"/>
          <w:kern w:val="2"/>
          <w:sz w:val="32"/>
          <w:szCs w:val="32"/>
          <w:lang w:val="zh-CN" w:eastAsia="zh-CN" w:bidi="ar-SA"/>
        </w:rPr>
        <w:t>加强勤政、廉政建设，以</w:t>
      </w:r>
      <w:r>
        <w:rPr>
          <w:rFonts w:hint="eastAsia" w:ascii="仿宋_GB2312" w:hAnsi="黑体" w:eastAsia="仿宋_GB2312" w:cstheme="minorBidi"/>
          <w:kern w:val="2"/>
          <w:sz w:val="32"/>
          <w:szCs w:val="32"/>
          <w:lang w:val="en-US" w:eastAsia="zh-CN" w:bidi="ar-SA"/>
        </w:rPr>
        <w:t>政务</w:t>
      </w:r>
      <w:r>
        <w:rPr>
          <w:rFonts w:hint="eastAsia" w:ascii="仿宋_GB2312" w:hAnsi="黑体" w:eastAsia="仿宋_GB2312" w:cstheme="minorBidi"/>
          <w:kern w:val="2"/>
          <w:sz w:val="32"/>
          <w:szCs w:val="32"/>
          <w:lang w:val="zh-CN" w:eastAsia="zh-CN" w:bidi="ar-SA"/>
        </w:rPr>
        <w:t>中心的制度来规范，约束每一名窗口人员，坚决按制度办事，杜绝一切腐败。</w:t>
      </w:r>
      <w:r>
        <w:rPr>
          <w:rFonts w:hint="eastAsia" w:ascii="仿宋_GB2312" w:hAnsi="黑体" w:eastAsia="仿宋_GB2312" w:cstheme="minorBidi"/>
          <w:kern w:val="2"/>
          <w:sz w:val="32"/>
          <w:szCs w:val="32"/>
          <w:lang w:val="en-US" w:eastAsia="zh-CN" w:bidi="ar-SA"/>
        </w:rPr>
        <w:t>三是</w:t>
      </w:r>
      <w:r>
        <w:rPr>
          <w:rFonts w:hint="eastAsia" w:ascii="仿宋_GB2312" w:hAnsi="黑体" w:eastAsia="仿宋_GB2312" w:cstheme="minorBidi"/>
          <w:kern w:val="2"/>
          <w:sz w:val="32"/>
          <w:szCs w:val="32"/>
          <w:lang w:val="zh-CN" w:eastAsia="zh-CN" w:bidi="ar-SA"/>
        </w:rPr>
        <w:t>按照“外网受理，内网办理”的要求，实行阳光审批，尽快构建行政许可审批事项全程网上审批、网上公开的行</w:t>
      </w:r>
      <w:r>
        <w:rPr>
          <w:rFonts w:hint="eastAsia" w:ascii="Times New Roman" w:hAnsi="Times New Roman" w:eastAsia="仿宋_GB2312" w:cs="仿宋_GB2312"/>
          <w:b w:val="0"/>
          <w:bCs w:val="0"/>
          <w:sz w:val="32"/>
          <w:szCs w:val="32"/>
          <w:lang w:val="zh-CN"/>
        </w:rPr>
        <w:t>政审批阳光运行机制。</w:t>
      </w:r>
    </w:p>
    <w:p>
      <w:pPr>
        <w:ind w:firstLine="640" w:firstLineChars="200"/>
        <w:rPr>
          <w:rFonts w:ascii="黑体" w:hAnsi="黑体" w:eastAsia="黑体"/>
          <w:bCs/>
          <w:sz w:val="32"/>
          <w:szCs w:val="32"/>
        </w:rPr>
      </w:pPr>
      <w:r>
        <w:rPr>
          <w:rFonts w:hint="eastAsia" w:ascii="黑体" w:hAnsi="黑体" w:eastAsia="黑体"/>
          <w:sz w:val="32"/>
          <w:szCs w:val="32"/>
        </w:rPr>
        <w:t>七、</w:t>
      </w:r>
      <w:r>
        <w:rPr>
          <w:rFonts w:hint="eastAsia" w:ascii="黑体" w:hAnsi="黑体" w:eastAsia="黑体"/>
          <w:bCs/>
          <w:sz w:val="32"/>
          <w:szCs w:val="32"/>
        </w:rPr>
        <w:t>存在的问题</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施工图纸审查经费缺口严重，拖欠施工图纸审查经费金额多。</w:t>
      </w:r>
      <w:r>
        <w:rPr>
          <w:rFonts w:hint="eastAsia" w:ascii="仿宋_GB2312" w:eastAsia="仿宋_GB2312"/>
          <w:sz w:val="32"/>
          <w:szCs w:val="32"/>
        </w:rPr>
        <w:t>2020年县财政安排了30万元，省厅下发施工图审查退费督办函后，县财政安排退施工图审查费到建设单位约60万元。还有160万元审查费待付。</w:t>
      </w:r>
    </w:p>
    <w:p>
      <w:pPr>
        <w:ind w:firstLine="640" w:firstLineChars="200"/>
        <w:rPr>
          <w:rFonts w:ascii="仿宋_GB2312" w:hAnsi="黑体" w:eastAsia="仿宋_GB2312"/>
          <w:sz w:val="32"/>
          <w:szCs w:val="32"/>
        </w:rPr>
      </w:pPr>
      <w:r>
        <w:rPr>
          <w:rFonts w:hint="eastAsia" w:ascii="仿宋_GB2312" w:hAnsi="黑体" w:eastAsia="仿宋_GB2312"/>
          <w:sz w:val="32"/>
          <w:szCs w:val="32"/>
        </w:rPr>
        <w:t>（一般问题围绕指标分析情况归纳总结，表达准确，简要明了；重大问题，如违纪、违规、违法问题，找准根源，明晰责任，依据充分，定性准确。）</w:t>
      </w:r>
    </w:p>
    <w:p>
      <w:pPr>
        <w:ind w:firstLine="640" w:firstLineChars="200"/>
        <w:rPr>
          <w:rFonts w:ascii="黑体" w:hAnsi="黑体" w:eastAsia="黑体"/>
          <w:sz w:val="32"/>
          <w:szCs w:val="32"/>
        </w:rPr>
      </w:pPr>
      <w:r>
        <w:rPr>
          <w:rFonts w:hint="eastAsia" w:ascii="黑体" w:hAnsi="黑体" w:eastAsia="黑体"/>
          <w:sz w:val="32"/>
          <w:szCs w:val="32"/>
        </w:rPr>
        <w:t>八、改进措施和</w:t>
      </w:r>
      <w:r>
        <w:rPr>
          <w:rFonts w:hint="eastAsia" w:ascii="黑体" w:hAnsi="黑体" w:eastAsia="黑体"/>
          <w:bCs/>
          <w:sz w:val="32"/>
          <w:szCs w:val="32"/>
        </w:rPr>
        <w:t>建议</w:t>
      </w:r>
    </w:p>
    <w:p>
      <w:pPr>
        <w:keepNext w:val="0"/>
        <w:keepLines w:val="0"/>
        <w:pageBreakBefore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kern w:val="0"/>
          <w:sz w:val="32"/>
          <w:szCs w:val="32"/>
        </w:rPr>
      </w:pPr>
      <w:r>
        <w:rPr>
          <w:rFonts w:hint="eastAsia" w:ascii="仿宋" w:hAnsi="仿宋" w:eastAsia="仿宋"/>
          <w:kern w:val="0"/>
          <w:sz w:val="32"/>
          <w:szCs w:val="32"/>
        </w:rPr>
        <w:t>1.加强政策学习，提高思想认识。认真学习</w:t>
      </w:r>
      <w:r>
        <w:rPr>
          <w:rFonts w:hint="eastAsia" w:ascii="仿宋" w:hAnsi="仿宋" w:eastAsia="仿宋"/>
          <w:kern w:val="0"/>
          <w:sz w:val="32"/>
          <w:szCs w:val="32"/>
          <w:lang w:eastAsia="zh-CN"/>
        </w:rPr>
        <w:t>《中华人民共和国预算法》</w:t>
      </w:r>
      <w:r>
        <w:rPr>
          <w:rFonts w:hint="eastAsia" w:ascii="仿宋" w:hAnsi="仿宋" w:eastAsia="仿宋"/>
          <w:kern w:val="0"/>
          <w:sz w:val="32"/>
          <w:szCs w:val="32"/>
        </w:rPr>
        <w:t>等相关法规、制度，提高单位领导对全面预算管理的重视程度，增强财务人员的预算意识，坚持先有预算、后有支出，没有预算不得支出。</w:t>
      </w:r>
    </w:p>
    <w:p>
      <w:pPr>
        <w:keepNext w:val="0"/>
        <w:keepLines w:val="0"/>
        <w:pageBreakBefore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kern w:val="0"/>
          <w:sz w:val="32"/>
          <w:szCs w:val="32"/>
        </w:rPr>
      </w:pPr>
      <w:r>
        <w:rPr>
          <w:rFonts w:hint="eastAsia" w:ascii="仿宋" w:hAnsi="仿宋" w:eastAsia="仿宋"/>
          <w:kern w:val="0"/>
          <w:sz w:val="32"/>
          <w:szCs w:val="32"/>
        </w:rPr>
        <w:t>2.规范账务处理，提高财务信息质量。严格按照《中华人民共和国会计法》</w:t>
      </w:r>
      <w:bookmarkStart w:id="0" w:name="_GoBack"/>
      <w:bookmarkEnd w:id="0"/>
      <w:r>
        <w:rPr>
          <w:rFonts w:hint="eastAsia" w:ascii="仿宋" w:hAnsi="仿宋" w:eastAsia="仿宋"/>
          <w:kern w:val="0"/>
          <w:sz w:val="32"/>
          <w:szCs w:val="32"/>
        </w:rPr>
        <w:t>、《事业单位会计制度》、《事业单位财务规则》等规定执行财务核算，并结合实际情况，完整、准确地披露相关信息，尽可能地做到决算与预算相衔接。</w:t>
      </w:r>
    </w:p>
    <w:p>
      <w:pPr>
        <w:keepNext w:val="0"/>
        <w:keepLines w:val="0"/>
        <w:pageBreakBefore w:val="0"/>
        <w:tabs>
          <w:tab w:val="left" w:pos="720"/>
        </w:tabs>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楷体" w:hAnsi="楷体" w:eastAsia="楷体"/>
          <w:kern w:val="0"/>
          <w:sz w:val="32"/>
          <w:szCs w:val="32"/>
        </w:rPr>
      </w:pPr>
      <w:r>
        <w:rPr>
          <w:rFonts w:hint="eastAsia" w:ascii="仿宋" w:hAnsi="仿宋" w:eastAsia="仿宋"/>
          <w:kern w:val="0"/>
          <w:sz w:val="32"/>
          <w:szCs w:val="32"/>
        </w:rPr>
        <w:t>3、希望财政部门开展相关的业务工作培训，提高财务人员业务水平。</w:t>
      </w:r>
      <w:r>
        <w:rPr>
          <w:rFonts w:hint="eastAsia" w:ascii="楷体" w:hAnsi="楷体" w:eastAsia="楷体"/>
          <w:kern w:val="0"/>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九、绩效预算应用建议</w:t>
      </w:r>
    </w:p>
    <w:p>
      <w:pPr>
        <w:keepNext w:val="0"/>
        <w:keepLines w:val="0"/>
        <w:pageBreakBefore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kern w:val="0"/>
          <w:sz w:val="32"/>
          <w:szCs w:val="32"/>
          <w:lang w:eastAsia="zh-CN"/>
        </w:rPr>
      </w:pPr>
      <w:r>
        <w:rPr>
          <w:rFonts w:hint="eastAsia" w:ascii="仿宋" w:hAnsi="仿宋" w:eastAsia="仿宋"/>
          <w:kern w:val="0"/>
          <w:sz w:val="32"/>
          <w:szCs w:val="32"/>
        </w:rPr>
        <w:t>因部门整体支出的资金安排和使用上具有不可预见性，在预算绩效指标上还不够精确，编制范围不太全面，预算执行情况还有待进一步加强。</w:t>
      </w:r>
      <w:r>
        <w:rPr>
          <w:rFonts w:hint="eastAsia" w:ascii="仿宋" w:hAnsi="仿宋" w:eastAsia="仿宋"/>
          <w:kern w:val="0"/>
          <w:sz w:val="32"/>
          <w:szCs w:val="32"/>
          <w:lang w:eastAsia="zh-CN"/>
        </w:rPr>
        <w:t>安排对应的业务培训，规范业务流程。</w:t>
      </w:r>
    </w:p>
    <w:p>
      <w:pPr>
        <w:ind w:firstLine="640" w:firstLineChars="200"/>
        <w:rPr>
          <w:rFonts w:ascii="仿宋_GB2312" w:eastAsia="仿宋_GB2312"/>
          <w:sz w:val="32"/>
          <w:szCs w:val="32"/>
        </w:rPr>
      </w:pPr>
    </w:p>
    <w:p>
      <w:pPr>
        <w:rPr>
          <w:rFonts w:eastAsia="黑体"/>
          <w:sz w:val="32"/>
          <w:szCs w:val="32"/>
        </w:rPr>
      </w:pPr>
      <w:r>
        <w:rPr>
          <w:rFonts w:eastAsia="黑体"/>
          <w:sz w:val="32"/>
          <w:szCs w:val="32"/>
        </w:rPr>
        <w:br w:type="page"/>
      </w: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楷体_GB2312"/>
          <w:kern w:val="0"/>
          <w:sz w:val="24"/>
        </w:rPr>
        <w:t>（以2020年对2019年度部门整体支出绩效自评为例）</w:t>
      </w:r>
      <w:r>
        <w:rPr>
          <w:rFonts w:eastAsia="仿宋_GB2312"/>
          <w:kern w:val="0"/>
          <w:sz w:val="24"/>
        </w:rPr>
        <w:tab/>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20</w:t>
            </w:r>
            <w:r>
              <w:rPr>
                <w:rFonts w:eastAsia="仿宋_GB2312"/>
                <w:b/>
                <w:bCs/>
                <w:kern w:val="0"/>
                <w:szCs w:val="21"/>
              </w:rPr>
              <w:t>年实际在职人数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45</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42</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100%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201</w:t>
            </w:r>
            <w:r>
              <w:rPr>
                <w:rFonts w:hint="eastAsia" w:eastAsia="仿宋_GB2312"/>
                <w:b/>
                <w:bCs/>
                <w:kern w:val="0"/>
                <w:szCs w:val="21"/>
                <w:lang w:val="en-US" w:eastAsia="zh-CN"/>
              </w:rPr>
              <w:t>9</w:t>
            </w:r>
            <w:r>
              <w:rPr>
                <w:rFonts w:eastAsia="仿宋_GB2312"/>
                <w:b/>
                <w:bCs/>
                <w:kern w:val="0"/>
                <w:szCs w:val="21"/>
              </w:rPr>
              <w:t>年决算数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20</w:t>
            </w:r>
            <w:r>
              <w:rPr>
                <w:rFonts w:eastAsia="仿宋_GB2312"/>
                <w:b/>
                <w:bCs/>
                <w:kern w:val="0"/>
                <w:szCs w:val="21"/>
              </w:rPr>
              <w:t>年预算数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20</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5.79</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5.5</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3.87</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4.87</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2</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1.87</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4.87</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2</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1.87</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0.92</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3.5</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2</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2132.44</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109.6</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765.72</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53</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53</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eastAsia="仿宋_GB2312"/>
                <w:kern w:val="0"/>
                <w:szCs w:val="21"/>
              </w:rPr>
            </w:pP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20" w:firstLineChars="200"/>
              <w:jc w:val="left"/>
              <w:rPr>
                <w:rFonts w:hint="eastAsia" w:eastAsia="仿宋_GB2312"/>
                <w:kern w:val="0"/>
                <w:szCs w:val="21"/>
              </w:rPr>
            </w:pPr>
            <w:r>
              <w:rPr>
                <w:rFonts w:eastAsia="仿宋_GB2312"/>
                <w:kern w:val="0"/>
                <w:szCs w:val="21"/>
              </w:rPr>
              <w:t>3、省级专项资金</w:t>
            </w:r>
          </w:p>
          <w:p>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240" w:type="dxa"/>
            <w:gridSpan w:val="2"/>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eastAsia="仿宋_GB2312"/>
                <w:kern w:val="0"/>
                <w:szCs w:val="21"/>
              </w:rPr>
            </w:pPr>
            <w:r>
              <w:rPr>
                <w:rFonts w:eastAsia="仿宋_GB2312"/>
                <w:kern w:val="0"/>
                <w:szCs w:val="21"/>
              </w:rPr>
              <w:t>4、其他事业类发展资金</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both"/>
              <w:rPr>
                <w:rFonts w:hint="eastAsia" w:eastAsia="仿宋_GB2312"/>
                <w:kern w:val="0"/>
                <w:szCs w:val="21"/>
                <w:lang w:eastAsia="zh-CN"/>
              </w:rPr>
            </w:pPr>
            <w:r>
              <w:rPr>
                <w:rFonts w:hint="eastAsia" w:eastAsia="仿宋_GB2312"/>
                <w:kern w:val="0"/>
                <w:szCs w:val="21"/>
                <w:lang w:val="en-US" w:eastAsia="zh-CN"/>
              </w:rPr>
              <w:t>5、工程项目款</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2132.44</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56.6</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141.94</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76.6</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113.23</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11.42</w:t>
            </w:r>
            <w:r>
              <w:rPr>
                <w:rFonts w:eastAsia="仿宋_GB2312"/>
                <w:color w:val="FF0000"/>
                <w:kern w:val="0"/>
                <w:szCs w:val="21"/>
              </w:rPr>
              <w:t>　</w:t>
            </w:r>
          </w:p>
        </w:tc>
        <w:tc>
          <w:tcPr>
            <w:tcW w:w="2240"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8.5</w:t>
            </w:r>
            <w:r>
              <w:rPr>
                <w:rFonts w:eastAsia="仿宋_GB2312"/>
                <w:color w:val="FF0000"/>
                <w:kern w:val="0"/>
                <w:szCs w:val="21"/>
              </w:rPr>
              <w:t>　</w:t>
            </w:r>
          </w:p>
        </w:tc>
        <w:tc>
          <w:tcPr>
            <w:tcW w:w="1832"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9.78</w:t>
            </w:r>
            <w:r>
              <w:rPr>
                <w:rFonts w:eastAsia="仿宋_GB2312"/>
                <w:color w:val="FF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34.73</w:t>
            </w:r>
            <w:r>
              <w:rPr>
                <w:rFonts w:eastAsia="仿宋_GB2312"/>
                <w:color w:val="FF0000"/>
                <w:kern w:val="0"/>
                <w:szCs w:val="21"/>
              </w:rPr>
              <w:t>　</w:t>
            </w:r>
          </w:p>
        </w:tc>
        <w:tc>
          <w:tcPr>
            <w:tcW w:w="2240"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13</w:t>
            </w:r>
            <w:r>
              <w:rPr>
                <w:rFonts w:eastAsia="仿宋_GB2312"/>
                <w:color w:val="FF0000"/>
                <w:kern w:val="0"/>
                <w:szCs w:val="21"/>
              </w:rPr>
              <w:t>　</w:t>
            </w:r>
          </w:p>
        </w:tc>
        <w:tc>
          <w:tcPr>
            <w:tcW w:w="1832"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28.16</w:t>
            </w:r>
            <w:r>
              <w:rPr>
                <w:rFonts w:eastAsia="仿宋_GB2312"/>
                <w:color w:val="FF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6.2</w:t>
            </w:r>
            <w:r>
              <w:rPr>
                <w:rFonts w:eastAsia="仿宋_GB2312"/>
                <w:color w:val="FF0000"/>
                <w:kern w:val="0"/>
                <w:szCs w:val="21"/>
              </w:rPr>
              <w:t>　</w:t>
            </w:r>
          </w:p>
        </w:tc>
        <w:tc>
          <w:tcPr>
            <w:tcW w:w="2240"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2</w:t>
            </w:r>
            <w:r>
              <w:rPr>
                <w:rFonts w:eastAsia="仿宋_GB2312"/>
                <w:color w:val="FF0000"/>
                <w:kern w:val="0"/>
                <w:szCs w:val="21"/>
              </w:rPr>
              <w:t>　</w:t>
            </w:r>
          </w:p>
        </w:tc>
        <w:tc>
          <w:tcPr>
            <w:tcW w:w="1832" w:type="dxa"/>
            <w:gridSpan w:val="2"/>
            <w:noWrap w:val="0"/>
            <w:vAlign w:val="center"/>
          </w:tcPr>
          <w:p>
            <w:pPr>
              <w:widowControl/>
              <w:jc w:val="center"/>
              <w:rPr>
                <w:rFonts w:eastAsia="仿宋_GB2312"/>
                <w:color w:val="FF0000"/>
                <w:kern w:val="0"/>
                <w:szCs w:val="21"/>
              </w:rPr>
            </w:pPr>
            <w:r>
              <w:rPr>
                <w:rFonts w:hint="eastAsia" w:eastAsia="仿宋_GB2312"/>
                <w:color w:val="FF0000"/>
                <w:kern w:val="0"/>
                <w:szCs w:val="21"/>
                <w:lang w:val="en-US" w:eastAsia="zh-CN"/>
              </w:rPr>
              <w:t>4.77</w:t>
            </w:r>
            <w:r>
              <w:rPr>
                <w:rFonts w:eastAsia="仿宋_GB2312"/>
                <w:color w:val="FF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30</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楼堂馆所控制情况</w:t>
            </w:r>
            <w:r>
              <w:rPr>
                <w:rFonts w:eastAsia="仿宋_GB2312"/>
                <w:kern w:val="0"/>
                <w:szCs w:val="21"/>
              </w:rPr>
              <w:br w:type="textWrapping"/>
            </w:r>
            <w:r>
              <w:rPr>
                <w:rFonts w:eastAsia="仿宋_GB2312"/>
                <w:kern w:val="0"/>
                <w:szCs w:val="21"/>
              </w:rPr>
              <w:t>（20</w:t>
            </w:r>
            <w:r>
              <w:rPr>
                <w:rFonts w:hint="eastAsia" w:eastAsia="仿宋_GB2312"/>
                <w:kern w:val="0"/>
                <w:szCs w:val="21"/>
                <w:lang w:val="en-US" w:eastAsia="zh-CN"/>
              </w:rPr>
              <w:t>20</w:t>
            </w:r>
            <w:r>
              <w:rPr>
                <w:rFonts w:eastAsia="仿宋_GB2312"/>
                <w:kern w:val="0"/>
                <w:szCs w:val="21"/>
              </w:rPr>
              <w:t>年完工项目）</w:t>
            </w:r>
          </w:p>
        </w:tc>
        <w:tc>
          <w:tcPr>
            <w:tcW w:w="1189" w:type="dxa"/>
            <w:noWrap w:val="0"/>
            <w:vAlign w:val="center"/>
          </w:tcPr>
          <w:p>
            <w:pPr>
              <w:widowControl/>
              <w:spacing w:line="240" w:lineRule="exact"/>
              <w:jc w:val="center"/>
              <w:rPr>
                <w:rFonts w:eastAsia="仿宋_GB2312"/>
                <w:bCs/>
                <w:kern w:val="0"/>
                <w:szCs w:val="21"/>
              </w:rPr>
            </w:pPr>
            <w:r>
              <w:rPr>
                <w:rFonts w:eastAsia="仿宋_GB2312"/>
                <w:bCs/>
                <w:kern w:val="0"/>
                <w:szCs w:val="21"/>
              </w:rPr>
              <w:t>批复规模</w:t>
            </w:r>
            <w:r>
              <w:rPr>
                <w:rFonts w:eastAsia="仿宋_GB2312"/>
                <w:bCs/>
                <w:kern w:val="0"/>
                <w:szCs w:val="21"/>
              </w:rPr>
              <w:br w:type="textWrapping"/>
            </w: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849" w:type="dxa"/>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129" w:type="dxa"/>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111" w:type="dxa"/>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969" w:type="dxa"/>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863" w:type="dxa"/>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eastAsia="仿宋_GB2312"/>
                <w:kern w:val="0"/>
                <w:szCs w:val="21"/>
              </w:rPr>
            </w:pPr>
            <w:r>
              <w:rPr>
                <w:rFonts w:hint="eastAsia" w:eastAsia="仿宋_GB2312"/>
                <w:kern w:val="0"/>
                <w:szCs w:val="21"/>
                <w:lang w:eastAsia="zh-CN"/>
              </w:rPr>
              <w:t>办公用品、办公还耗材方面厉行节约；公务接待及差旅费严格按照规定执行；公务用车严格把控，严格管理。</w:t>
            </w:r>
            <w:r>
              <w:rPr>
                <w:rFonts w:eastAsia="仿宋_GB2312"/>
                <w:kern w:val="0"/>
                <w:szCs w:val="21"/>
              </w:rPr>
              <w:t>　</w:t>
            </w:r>
          </w:p>
        </w:tc>
      </w:tr>
    </w:tbl>
    <w:p>
      <w:pPr>
        <w:spacing w:line="360" w:lineRule="exact"/>
        <w:rPr>
          <w:rFonts w:eastAsia="黑体"/>
          <w:sz w:val="32"/>
          <w:szCs w:val="32"/>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4"/>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县</w:t>
            </w:r>
            <w:r>
              <w:rPr>
                <w:rFonts w:eastAsia="仿宋_GB2312"/>
                <w:color w:val="000000"/>
                <w:kern w:val="0"/>
                <w:szCs w:val="21"/>
              </w:rPr>
              <w:t>级预算部门名称</w:t>
            </w:r>
          </w:p>
        </w:tc>
        <w:tc>
          <w:tcPr>
            <w:tcW w:w="9243" w:type="dxa"/>
            <w:gridSpan w:val="9"/>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临武县住房和城乡建设局</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647" w:type="dxa"/>
            <w:gridSpan w:val="2"/>
            <w:noWrap w:val="0"/>
            <w:vAlign w:val="center"/>
          </w:tcPr>
          <w:p>
            <w:pPr>
              <w:jc w:val="center"/>
              <w:rPr>
                <w:rFonts w:eastAsia="仿宋_GB2312"/>
                <w:szCs w:val="21"/>
              </w:rPr>
            </w:pPr>
          </w:p>
        </w:tc>
        <w:tc>
          <w:tcPr>
            <w:tcW w:w="1114"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5" w:type="dxa"/>
            <w:gridSpan w:val="2"/>
            <w:noWrap w:val="0"/>
            <w:vAlign w:val="center"/>
          </w:tcPr>
          <w:p>
            <w:pPr>
              <w:jc w:val="center"/>
              <w:rPr>
                <w:rFonts w:eastAsia="仿宋_GB2312"/>
                <w:szCs w:val="21"/>
              </w:rPr>
            </w:pPr>
            <w:r>
              <w:rPr>
                <w:rFonts w:eastAsia="仿宋_GB2312"/>
                <w:szCs w:val="21"/>
              </w:rPr>
              <w:t>全年预算数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noWrap w:val="0"/>
            <w:vAlign w:val="center"/>
          </w:tcPr>
          <w:p>
            <w:pPr>
              <w:jc w:val="center"/>
              <w:rPr>
                <w:rFonts w:eastAsia="仿宋_GB2312"/>
                <w:szCs w:val="21"/>
              </w:rPr>
            </w:pPr>
            <w:r>
              <w:rPr>
                <w:rFonts w:eastAsia="仿宋_GB2312"/>
                <w:szCs w:val="21"/>
              </w:rPr>
              <w:t>分值</w:t>
            </w:r>
          </w:p>
        </w:tc>
        <w:tc>
          <w:tcPr>
            <w:tcW w:w="898" w:type="dxa"/>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647"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114" w:type="dxa"/>
            <w:noWrap w:val="0"/>
            <w:vAlign w:val="center"/>
          </w:tcPr>
          <w:p>
            <w:pPr>
              <w:jc w:val="center"/>
              <w:rPr>
                <w:rFonts w:hint="default" w:eastAsia="仿宋_GB2312"/>
                <w:szCs w:val="21"/>
                <w:lang w:val="en-US" w:eastAsia="zh-CN"/>
              </w:rPr>
            </w:pPr>
            <w:r>
              <w:rPr>
                <w:rFonts w:hint="eastAsia" w:eastAsia="仿宋_GB2312"/>
                <w:szCs w:val="21"/>
                <w:lang w:val="en-US" w:eastAsia="zh-CN"/>
              </w:rPr>
              <w:t>952.7</w:t>
            </w:r>
          </w:p>
        </w:tc>
        <w:tc>
          <w:tcPr>
            <w:tcW w:w="1295"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952.7</w:t>
            </w:r>
          </w:p>
        </w:tc>
        <w:tc>
          <w:tcPr>
            <w:tcW w:w="1134" w:type="dxa"/>
            <w:noWrap w:val="0"/>
            <w:vAlign w:val="center"/>
          </w:tcPr>
          <w:p>
            <w:pPr>
              <w:jc w:val="center"/>
              <w:rPr>
                <w:rFonts w:hint="default" w:eastAsia="仿宋_GB2312"/>
                <w:szCs w:val="21"/>
                <w:lang w:val="en-US" w:eastAsia="zh-CN"/>
              </w:rPr>
            </w:pPr>
            <w:r>
              <w:rPr>
                <w:rFonts w:hint="eastAsia" w:eastAsia="仿宋_GB2312"/>
                <w:szCs w:val="21"/>
                <w:lang w:val="en-US" w:eastAsia="zh-CN"/>
              </w:rPr>
              <w:t>952.7</w:t>
            </w:r>
          </w:p>
        </w:tc>
        <w:tc>
          <w:tcPr>
            <w:tcW w:w="709" w:type="dxa"/>
            <w:noWrap w:val="0"/>
            <w:vAlign w:val="center"/>
          </w:tcPr>
          <w:p>
            <w:pPr>
              <w:jc w:val="center"/>
              <w:rPr>
                <w:rFonts w:eastAsia="仿宋_GB2312"/>
                <w:szCs w:val="21"/>
              </w:rPr>
            </w:pPr>
            <w:r>
              <w:rPr>
                <w:rFonts w:eastAsia="仿宋_GB2312"/>
                <w:szCs w:val="21"/>
              </w:rPr>
              <w:t>10</w:t>
            </w:r>
          </w:p>
        </w:tc>
        <w:tc>
          <w:tcPr>
            <w:tcW w:w="898" w:type="dxa"/>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按收入性质分：</w:t>
            </w:r>
            <w:r>
              <w:rPr>
                <w:rFonts w:hint="eastAsia" w:eastAsia="仿宋_GB2312"/>
                <w:color w:val="000000"/>
                <w:kern w:val="0"/>
                <w:szCs w:val="21"/>
                <w:lang w:val="en-US" w:eastAsia="zh-CN"/>
              </w:rPr>
              <w:t>952.7</w:t>
            </w:r>
          </w:p>
        </w:tc>
        <w:tc>
          <w:tcPr>
            <w:tcW w:w="4187"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按支出性质分：</w:t>
            </w:r>
            <w:r>
              <w:rPr>
                <w:rFonts w:hint="eastAsia" w:eastAsia="仿宋_GB2312"/>
                <w:color w:val="000000"/>
                <w:kern w:val="0"/>
                <w:szCs w:val="21"/>
                <w:lang w:val="en-US" w:eastAsia="zh-CN"/>
              </w:rPr>
              <w:t>952.7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815.9</w:t>
            </w:r>
          </w:p>
        </w:tc>
        <w:tc>
          <w:tcPr>
            <w:tcW w:w="4187"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840" w:firstLineChars="400"/>
              <w:jc w:val="left"/>
              <w:rPr>
                <w:rFonts w:hint="default" w:eastAsia="仿宋_GB2312"/>
                <w:color w:val="000000"/>
                <w:kern w:val="0"/>
                <w:szCs w:val="21"/>
                <w:lang w:val="en-US" w:eastAsia="zh-CN"/>
              </w:rPr>
            </w:pPr>
            <w:r>
              <w:rPr>
                <w:rFonts w:eastAsia="仿宋_GB2312"/>
                <w:color w:val="000000"/>
                <w:kern w:val="0"/>
                <w:szCs w:val="21"/>
              </w:rPr>
              <w:t>政府性基金拨款：</w:t>
            </w:r>
            <w:r>
              <w:rPr>
                <w:rFonts w:hint="eastAsia" w:eastAsia="仿宋_GB2312"/>
                <w:color w:val="000000"/>
                <w:kern w:val="0"/>
                <w:szCs w:val="21"/>
                <w:lang w:val="en-US" w:eastAsia="zh-CN"/>
              </w:rPr>
              <w:t>136.8</w:t>
            </w:r>
          </w:p>
        </w:tc>
        <w:tc>
          <w:tcPr>
            <w:tcW w:w="4187" w:type="dxa"/>
            <w:gridSpan w:val="4"/>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246.4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纳入专户管理的非税收入拨款：</w:t>
            </w:r>
            <w:r>
              <w:rPr>
                <w:rFonts w:hint="eastAsia" w:eastAsia="仿宋_GB2312"/>
                <w:color w:val="000000"/>
                <w:kern w:val="0"/>
                <w:szCs w:val="21"/>
                <w:lang w:val="en-US" w:eastAsia="zh-CN"/>
              </w:rPr>
              <w:t>0</w:t>
            </w:r>
          </w:p>
        </w:tc>
        <w:tc>
          <w:tcPr>
            <w:tcW w:w="4187"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ind w:firstLine="1470" w:firstLineChars="700"/>
              <w:jc w:val="left"/>
              <w:rPr>
                <w:rFonts w:hint="eastAsia" w:eastAsia="仿宋_GB2312"/>
                <w:color w:val="000000"/>
                <w:kern w:val="0"/>
                <w:szCs w:val="21"/>
                <w:lang w:val="en-US" w:eastAsia="zh-CN"/>
              </w:rPr>
            </w:pPr>
            <w:r>
              <w:rPr>
                <w:rFonts w:eastAsia="仿宋_GB2312"/>
                <w:color w:val="000000"/>
                <w:kern w:val="0"/>
                <w:szCs w:val="21"/>
              </w:rPr>
              <w:t>其他资金：</w:t>
            </w:r>
            <w:r>
              <w:rPr>
                <w:rFonts w:hint="eastAsia" w:eastAsia="仿宋_GB2312"/>
                <w:color w:val="000000"/>
                <w:kern w:val="0"/>
                <w:szCs w:val="21"/>
                <w:lang w:val="en-US" w:eastAsia="zh-CN"/>
              </w:rPr>
              <w:t>0</w:t>
            </w:r>
          </w:p>
        </w:tc>
        <w:tc>
          <w:tcPr>
            <w:tcW w:w="4187"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5"/>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5"/>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机关正常运行，保障全年度工程质量安全，招投标规范，农村危房改造工作按时按量完成。</w:t>
            </w:r>
            <w:r>
              <w:rPr>
                <w:rFonts w:eastAsia="仿宋_GB2312"/>
                <w:color w:val="000000"/>
                <w:kern w:val="0"/>
                <w:szCs w:val="21"/>
              </w:rPr>
              <w:t>　　</w:t>
            </w:r>
          </w:p>
        </w:tc>
        <w:tc>
          <w:tcPr>
            <w:tcW w:w="4187"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机关正常运行，全年度无建设工程安全事故，规范招投标，农村危房改造工作按时按量完成。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52"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09"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left"/>
              <w:rPr>
                <w:rFonts w:eastAsia="仿宋_GB2312"/>
                <w:color w:val="000000"/>
                <w:kern w:val="0"/>
                <w:szCs w:val="21"/>
              </w:rPr>
            </w:pPr>
            <w:r>
              <w:rPr>
                <w:rFonts w:hint="eastAsia" w:ascii="仿宋_GB2312" w:eastAsia="仿宋_GB2312"/>
                <w:kern w:val="0"/>
                <w:szCs w:val="21"/>
                <w:lang w:val="en-US" w:eastAsia="zh-CN"/>
              </w:rPr>
              <w:t>完成人防任务、背街小巷等</w:t>
            </w:r>
          </w:p>
        </w:tc>
        <w:tc>
          <w:tcPr>
            <w:tcW w:w="1200"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kern w:val="0"/>
                <w:szCs w:val="21"/>
                <w:lang w:val="en-US" w:eastAsia="zh-CN"/>
              </w:rPr>
              <w:t>按照上级下达的任务</w:t>
            </w:r>
          </w:p>
        </w:tc>
        <w:tc>
          <w:tcPr>
            <w:tcW w:w="1134" w:type="dxa"/>
            <w:noWrap w:val="0"/>
            <w:vAlign w:val="center"/>
          </w:tcPr>
          <w:p>
            <w:pPr>
              <w:widowControl/>
              <w:jc w:val="left"/>
              <w:rPr>
                <w:rFonts w:hint="default" w:eastAsia="仿宋_GB2312"/>
                <w:color w:val="000000"/>
                <w:kern w:val="0"/>
                <w:szCs w:val="21"/>
                <w:lang w:val="en-US"/>
              </w:rPr>
            </w:pPr>
            <w:r>
              <w:rPr>
                <w:rFonts w:eastAsia="仿宋_GB2312"/>
                <w:color w:val="000000"/>
                <w:kern w:val="0"/>
                <w:szCs w:val="21"/>
              </w:rPr>
              <w:t>　</w:t>
            </w:r>
            <w:r>
              <w:rPr>
                <w:rFonts w:hint="eastAsia" w:ascii="仿宋_GB2312" w:eastAsia="仿宋_GB2312"/>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left"/>
              <w:rPr>
                <w:rFonts w:eastAsia="仿宋_GB2312"/>
                <w:color w:val="000000"/>
                <w:kern w:val="0"/>
                <w:szCs w:val="21"/>
              </w:rPr>
            </w:pPr>
            <w:r>
              <w:rPr>
                <w:rFonts w:hint="eastAsia" w:ascii="仿宋_GB2312" w:eastAsia="仿宋_GB2312"/>
                <w:kern w:val="0"/>
                <w:szCs w:val="21"/>
                <w:lang w:eastAsia="zh-CN"/>
              </w:rPr>
              <w:t>建设工程质量</w:t>
            </w:r>
          </w:p>
        </w:tc>
        <w:tc>
          <w:tcPr>
            <w:tcW w:w="1200"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kern w:val="0"/>
                <w:szCs w:val="21"/>
                <w:lang w:val="en-US" w:eastAsia="zh-CN"/>
              </w:rPr>
              <w:t>严格按照法律法规对工程项目质量进行监督管理</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1446"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left"/>
              <w:rPr>
                <w:rFonts w:eastAsia="仿宋_GB2312"/>
                <w:color w:val="000000"/>
                <w:kern w:val="0"/>
                <w:szCs w:val="21"/>
              </w:rPr>
            </w:pPr>
            <w:r>
              <w:rPr>
                <w:rFonts w:hint="eastAsia" w:ascii="仿宋_GB2312" w:eastAsia="仿宋_GB2312"/>
                <w:kern w:val="0"/>
                <w:szCs w:val="21"/>
                <w:lang w:val="en-US" w:eastAsia="zh-CN"/>
              </w:rPr>
              <w:t>2020年</w:t>
            </w:r>
          </w:p>
        </w:tc>
        <w:tc>
          <w:tcPr>
            <w:tcW w:w="1200"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kern w:val="0"/>
                <w:szCs w:val="21"/>
                <w:lang w:val="en-US" w:eastAsia="zh-CN"/>
              </w:rPr>
              <w:t>2020年积极完成上级下达任务</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ind w:firstLine="210" w:firstLineChars="100"/>
              <w:jc w:val="left"/>
              <w:rPr>
                <w:rFonts w:hint="eastAsia" w:eastAsia="仿宋_GB2312"/>
                <w:color w:val="000000"/>
                <w:kern w:val="0"/>
                <w:szCs w:val="21"/>
                <w:lang w:val="en-US" w:eastAsia="zh-CN"/>
              </w:rPr>
            </w:pPr>
            <w:r>
              <w:rPr>
                <w:rFonts w:hint="eastAsia" w:eastAsia="仿宋_GB2312"/>
                <w:color w:val="000000"/>
                <w:kern w:val="0"/>
                <w:szCs w:val="21"/>
                <w:lang w:val="en-US" w:eastAsia="zh-CN"/>
              </w:rPr>
              <w:t>8</w:t>
            </w:r>
          </w:p>
        </w:tc>
        <w:tc>
          <w:tcPr>
            <w:tcW w:w="1446"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eastAsia="zh-CN"/>
              </w:rPr>
              <w:t>因施工图纸审查经费缺口较大，为及时结账，希望财政加大对施工图纸项目的资金支持。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noWrap w:val="0"/>
            <w:vAlign w:val="center"/>
          </w:tcPr>
          <w:p>
            <w:pPr>
              <w:widowControl/>
              <w:jc w:val="left"/>
              <w:rPr>
                <w:rFonts w:eastAsia="仿宋_GB2312"/>
                <w:color w:val="000000"/>
                <w:kern w:val="0"/>
                <w:szCs w:val="21"/>
              </w:rPr>
            </w:pPr>
            <w:r>
              <w:rPr>
                <w:rFonts w:hint="eastAsia" w:ascii="仿宋_GB2312" w:eastAsia="仿宋_GB2312"/>
                <w:kern w:val="0"/>
                <w:szCs w:val="21"/>
                <w:lang w:eastAsia="zh-CN"/>
              </w:rPr>
              <w:t>各项目成本</w:t>
            </w:r>
          </w:p>
        </w:tc>
        <w:tc>
          <w:tcPr>
            <w:tcW w:w="1200"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kern w:val="0"/>
                <w:szCs w:val="21"/>
                <w:lang w:val="en-US" w:eastAsia="zh-CN"/>
              </w:rPr>
              <w:t>按照财政下达的项目经费，严格把控，专款专用</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15</w:t>
            </w:r>
          </w:p>
        </w:tc>
        <w:tc>
          <w:tcPr>
            <w:tcW w:w="898" w:type="dxa"/>
            <w:noWrap w:val="0"/>
            <w:vAlign w:val="center"/>
          </w:tcPr>
          <w:p>
            <w:pPr>
              <w:widowControl/>
              <w:jc w:val="left"/>
              <w:rPr>
                <w:rFonts w:hint="default"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115</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非税收入</w:t>
            </w:r>
          </w:p>
        </w:tc>
        <w:tc>
          <w:tcPr>
            <w:tcW w:w="1200" w:type="dxa"/>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按照法律法规征收非税项目</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rPr>
              <w:t>保障机关正常办公、生活秩序，更好为人民群众做好服务工作。</w:t>
            </w:r>
          </w:p>
        </w:tc>
        <w:tc>
          <w:tcPr>
            <w:tcW w:w="1200" w:type="dxa"/>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全县所有建设项目及涉及单位职责职能范围内工作</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污水处理率、城市排水率等</w:t>
            </w:r>
          </w:p>
        </w:tc>
        <w:tc>
          <w:tcPr>
            <w:tcW w:w="1200" w:type="dxa"/>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保障全县人民排污排水等工作，为人民创建良好的环境</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395" w:type="dxa"/>
            <w:vMerge w:val="continue"/>
            <w:noWrap w:val="0"/>
            <w:vAlign w:val="center"/>
          </w:tcPr>
          <w:p>
            <w:pPr>
              <w:widowControl/>
              <w:jc w:val="left"/>
              <w:rPr>
                <w:rFonts w:eastAsia="仿宋_GB2312"/>
                <w:color w:val="000000"/>
                <w:kern w:val="0"/>
                <w:szCs w:val="21"/>
              </w:rPr>
            </w:pP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09" w:type="dxa"/>
            <w:gridSpan w:val="2"/>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维持临武县经济建设有序可持续发展</w:t>
            </w:r>
          </w:p>
        </w:tc>
        <w:tc>
          <w:tcPr>
            <w:tcW w:w="1200" w:type="dxa"/>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全县人民</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395"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52"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09" w:type="dxa"/>
            <w:gridSpan w:val="2"/>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积极创建群众满意度</w:t>
            </w:r>
          </w:p>
        </w:tc>
        <w:tc>
          <w:tcPr>
            <w:tcW w:w="1200" w:type="dxa"/>
            <w:noWrap w:val="0"/>
            <w:vAlign w:val="center"/>
          </w:tcPr>
          <w:p>
            <w:pPr>
              <w:jc w:val="center"/>
              <w:rPr>
                <w:rFonts w:hint="eastAsia" w:ascii="仿宋_GB2312" w:eastAsia="仿宋_GB2312" w:hAnsiTheme="minorHAnsi" w:cstheme="minorBidi"/>
                <w:kern w:val="0"/>
                <w:sz w:val="21"/>
                <w:szCs w:val="21"/>
                <w:lang w:val="en-US" w:eastAsia="zh-CN" w:bidi="ar-SA"/>
              </w:rPr>
            </w:pPr>
            <w:r>
              <w:rPr>
                <w:rFonts w:hint="eastAsia" w:ascii="仿宋_GB2312" w:eastAsia="仿宋_GB2312"/>
                <w:kern w:val="0"/>
                <w:szCs w:val="21"/>
                <w:lang w:eastAsia="zh-CN"/>
              </w:rPr>
              <w:t>力争</w:t>
            </w:r>
            <w:r>
              <w:rPr>
                <w:rFonts w:hint="eastAsia" w:ascii="仿宋_GB2312" w:eastAsia="仿宋_GB2312"/>
                <w:kern w:val="0"/>
                <w:szCs w:val="21"/>
              </w:rPr>
              <w:t>达到</w:t>
            </w:r>
            <w:r>
              <w:rPr>
                <w:rFonts w:hint="eastAsia" w:ascii="仿宋_GB2312" w:eastAsia="仿宋_GB2312"/>
                <w:kern w:val="0"/>
                <w:szCs w:val="21"/>
                <w:lang w:val="en-US" w:eastAsia="zh-CN"/>
              </w:rPr>
              <w:t>100</w:t>
            </w:r>
            <w:r>
              <w:rPr>
                <w:rFonts w:hint="eastAsia" w:ascii="仿宋_GB2312" w:eastAsia="仿宋_GB2312"/>
                <w:kern w:val="0"/>
                <w:szCs w:val="21"/>
              </w:rPr>
              <w:t>%</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70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9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tabs>
          <w:tab w:val="left" w:pos="1333"/>
          <w:tab w:val="left" w:pos="3793"/>
          <w:tab w:val="left" w:pos="5853"/>
        </w:tabs>
        <w:ind w:left="-619" w:leftChars="-295" w:firstLine="0" w:firstLineChars="0"/>
        <w:jc w:val="left"/>
        <w:rPr>
          <w:rFonts w:hint="eastAsia" w:ascii="仿宋_GB2312" w:eastAsia="仿宋_GB2312"/>
          <w:kern w:val="0"/>
          <w:szCs w:val="21"/>
        </w:rPr>
      </w:pPr>
      <w:r>
        <w:rPr>
          <w:rFonts w:hint="eastAsia" w:ascii="仿宋_GB2312" w:eastAsia="仿宋_GB2312"/>
          <w:kern w:val="0"/>
          <w:szCs w:val="21"/>
        </w:rPr>
        <w:t xml:space="preserve">填表人：          联系电话：      </w:t>
      </w:r>
      <w:r>
        <w:rPr>
          <w:rFonts w:hint="eastAsia" w:ascii="仿宋_GB2312" w:eastAsia="仿宋_GB2312"/>
          <w:kern w:val="0"/>
          <w:szCs w:val="21"/>
          <w:lang w:val="en-US" w:eastAsia="zh-CN"/>
        </w:rPr>
        <w:t xml:space="preserve"> </w:t>
      </w:r>
      <w:r>
        <w:rPr>
          <w:rFonts w:hint="eastAsia" w:ascii="仿宋_GB2312" w:eastAsia="仿宋_GB2312"/>
          <w:kern w:val="0"/>
          <w:szCs w:val="21"/>
        </w:rPr>
        <w:t xml:space="preserve">    填报日期：       </w:t>
      </w:r>
      <w:r>
        <w:rPr>
          <w:rFonts w:hint="eastAsia" w:ascii="仿宋_GB2312" w:eastAsia="仿宋_GB2312"/>
          <w:kern w:val="0"/>
          <w:szCs w:val="21"/>
          <w:lang w:val="en-US" w:eastAsia="zh-CN"/>
        </w:rPr>
        <w:t xml:space="preserve">  </w:t>
      </w:r>
      <w:r>
        <w:rPr>
          <w:rFonts w:hint="eastAsia" w:ascii="仿宋_GB2312" w:eastAsia="仿宋_GB2312"/>
          <w:kern w:val="0"/>
          <w:szCs w:val="21"/>
        </w:rPr>
        <w:t xml:space="preserve">    </w:t>
      </w:r>
      <w:r>
        <w:rPr>
          <w:rFonts w:hint="eastAsia" w:ascii="仿宋_GB2312" w:eastAsia="仿宋_GB2312"/>
          <w:kern w:val="0"/>
          <w:szCs w:val="21"/>
          <w:lang w:val="en-US" w:eastAsia="zh-CN"/>
        </w:rPr>
        <w:t xml:space="preserve"> </w:t>
      </w:r>
      <w:r>
        <w:rPr>
          <w:rFonts w:hint="eastAsia" w:ascii="仿宋_GB2312" w:eastAsia="仿宋_GB2312"/>
          <w:kern w:val="0"/>
          <w:szCs w:val="21"/>
          <w:lang w:eastAsia="zh-CN"/>
        </w:rPr>
        <w:t>单位领导</w:t>
      </w:r>
      <w:r>
        <w:rPr>
          <w:rFonts w:hint="eastAsia" w:ascii="仿宋_GB2312" w:eastAsia="仿宋_GB2312"/>
          <w:kern w:val="0"/>
          <w:szCs w:val="21"/>
        </w:rPr>
        <w:t>签字：</w:t>
      </w:r>
    </w:p>
    <w:p>
      <w:pPr>
        <w:widowControl/>
        <w:ind w:left="-619" w:leftChars="-295" w:firstLine="0" w:firstLineChars="0"/>
        <w:jc w:val="left"/>
        <w:rPr>
          <w:rFonts w:eastAsia="黑体"/>
          <w:sz w:val="32"/>
          <w:szCs w:val="32"/>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ACB9A"/>
    <w:multiLevelType w:val="singleLevel"/>
    <w:tmpl w:val="4DEACB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OWMzYzVmZDllZTc5MWNmYzM3ZGZhZWQ2MGZkMTQifQ=="/>
  </w:docVars>
  <w:rsids>
    <w:rsidRoot w:val="5F68268A"/>
    <w:rsid w:val="02B00BF2"/>
    <w:rsid w:val="02BD4F31"/>
    <w:rsid w:val="076D2B7B"/>
    <w:rsid w:val="07C564FE"/>
    <w:rsid w:val="0B4264AB"/>
    <w:rsid w:val="0B95410C"/>
    <w:rsid w:val="0D264ABB"/>
    <w:rsid w:val="0DA25DA3"/>
    <w:rsid w:val="10053BB6"/>
    <w:rsid w:val="10A2484F"/>
    <w:rsid w:val="111E645B"/>
    <w:rsid w:val="119277B4"/>
    <w:rsid w:val="12A02372"/>
    <w:rsid w:val="148D45DD"/>
    <w:rsid w:val="16AD3AB0"/>
    <w:rsid w:val="19321282"/>
    <w:rsid w:val="194E1CDC"/>
    <w:rsid w:val="19C4703C"/>
    <w:rsid w:val="1A330175"/>
    <w:rsid w:val="1C611F68"/>
    <w:rsid w:val="1E82040A"/>
    <w:rsid w:val="1F310F16"/>
    <w:rsid w:val="1F442AC2"/>
    <w:rsid w:val="1F677AA0"/>
    <w:rsid w:val="20752F9D"/>
    <w:rsid w:val="215D2F8A"/>
    <w:rsid w:val="21CF22E5"/>
    <w:rsid w:val="226B2713"/>
    <w:rsid w:val="27BF62F9"/>
    <w:rsid w:val="28737331"/>
    <w:rsid w:val="29003D4D"/>
    <w:rsid w:val="2A0679E7"/>
    <w:rsid w:val="2B411812"/>
    <w:rsid w:val="2BCD37E2"/>
    <w:rsid w:val="2BF033FF"/>
    <w:rsid w:val="2D6169C1"/>
    <w:rsid w:val="30754E9D"/>
    <w:rsid w:val="3175446D"/>
    <w:rsid w:val="32562113"/>
    <w:rsid w:val="332D2E35"/>
    <w:rsid w:val="334B1289"/>
    <w:rsid w:val="343C52C7"/>
    <w:rsid w:val="34992139"/>
    <w:rsid w:val="34C0340C"/>
    <w:rsid w:val="362E494B"/>
    <w:rsid w:val="395C144E"/>
    <w:rsid w:val="3A411B4B"/>
    <w:rsid w:val="3C747491"/>
    <w:rsid w:val="3CEB392E"/>
    <w:rsid w:val="3D612C69"/>
    <w:rsid w:val="3DF52A4B"/>
    <w:rsid w:val="40010243"/>
    <w:rsid w:val="42321DF8"/>
    <w:rsid w:val="42616542"/>
    <w:rsid w:val="450A111E"/>
    <w:rsid w:val="47843D32"/>
    <w:rsid w:val="484A4394"/>
    <w:rsid w:val="4887199E"/>
    <w:rsid w:val="4AD05889"/>
    <w:rsid w:val="4B471E3D"/>
    <w:rsid w:val="4DBF1A03"/>
    <w:rsid w:val="4DEF2FE6"/>
    <w:rsid w:val="4E9C373B"/>
    <w:rsid w:val="4EE9009D"/>
    <w:rsid w:val="4FD31825"/>
    <w:rsid w:val="50AA1CAF"/>
    <w:rsid w:val="51B5393F"/>
    <w:rsid w:val="541F4BBC"/>
    <w:rsid w:val="54552ECD"/>
    <w:rsid w:val="548C4908"/>
    <w:rsid w:val="550A03B9"/>
    <w:rsid w:val="579A520F"/>
    <w:rsid w:val="5DED7DF0"/>
    <w:rsid w:val="5E636666"/>
    <w:rsid w:val="5E9E6884"/>
    <w:rsid w:val="5EBE2A91"/>
    <w:rsid w:val="5F68268A"/>
    <w:rsid w:val="60812B0E"/>
    <w:rsid w:val="61DD46A1"/>
    <w:rsid w:val="61F428A6"/>
    <w:rsid w:val="62C45904"/>
    <w:rsid w:val="634D7D78"/>
    <w:rsid w:val="65230FD0"/>
    <w:rsid w:val="656C33D6"/>
    <w:rsid w:val="662576A7"/>
    <w:rsid w:val="68273B04"/>
    <w:rsid w:val="68711956"/>
    <w:rsid w:val="6A1316DE"/>
    <w:rsid w:val="6A3C63F9"/>
    <w:rsid w:val="6C0A0063"/>
    <w:rsid w:val="6E3E342D"/>
    <w:rsid w:val="733E733C"/>
    <w:rsid w:val="73E61179"/>
    <w:rsid w:val="73F125E1"/>
    <w:rsid w:val="74DA7B50"/>
    <w:rsid w:val="74EE4920"/>
    <w:rsid w:val="752C566E"/>
    <w:rsid w:val="77417017"/>
    <w:rsid w:val="77596762"/>
    <w:rsid w:val="77E24469"/>
    <w:rsid w:val="78DE07B9"/>
    <w:rsid w:val="791D7E13"/>
    <w:rsid w:val="7939127B"/>
    <w:rsid w:val="79CC4B6D"/>
    <w:rsid w:val="7B737229"/>
    <w:rsid w:val="7B8049C4"/>
    <w:rsid w:val="7C0E19B5"/>
    <w:rsid w:val="7D4D68FE"/>
    <w:rsid w:val="7EB40E3E"/>
    <w:rsid w:val="7FCE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rPr>
      <w:rFonts w:eastAsia="宋体"/>
      <w:szCs w:val="22"/>
    </w:rPr>
  </w:style>
  <w:style w:type="paragraph" w:styleId="3">
    <w:name w:val="Body Text Indent 2"/>
    <w:basedOn w:val="1"/>
    <w:unhideWhenUsed/>
    <w:qFormat/>
    <w:uiPriority w:val="0"/>
    <w:pPr>
      <w:spacing w:beforeLines="0" w:afterLines="0" w:line="480" w:lineRule="auto"/>
      <w:ind w:left="420" w:leftChars="200"/>
    </w:pPr>
    <w:rPr>
      <w:rFonts w:hint="eastAsia"/>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7690</Words>
  <Characters>8405</Characters>
  <Lines>0</Lines>
  <Paragraphs>0</Paragraphs>
  <TotalTime>2</TotalTime>
  <ScaleCrop>false</ScaleCrop>
  <LinksUpToDate>false</LinksUpToDate>
  <CharactersWithSpaces>8683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2021-06-07T02:36:00Z</dcterms:created>
  <dc:creator>zj</dc:creator>
  <cp:lastModifiedBy>Administrator</cp:lastModifiedBy>
  <dcterms:modified xsi:type="dcterms:W3CDTF">2023-03-28T08:28:41Z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83918D2BF6A4407989267A87205A6909</vt:lpwstr>
  </property>
</Properties>
</file>