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wordWrap/>
        <w:topLinePunct w:val="0"/>
        <w:bidi w:val="0"/>
        <w:spacing w:line="600" w:lineRule="exact"/>
        <w:jc w:val="center"/>
        <w:textAlignment w:val="auto"/>
        <w:rPr>
          <w:rFonts w:hint="eastAsia" w:ascii="方正小标宋简体" w:hAnsi="宋体" w:eastAsia="方正小标宋简体" w:cs="宋体"/>
          <w:color w:val="000000"/>
          <w:kern w:val="0"/>
          <w:sz w:val="36"/>
          <w:szCs w:val="36"/>
          <w:highlight w:val="none"/>
        </w:rPr>
      </w:pPr>
    </w:p>
    <w:p>
      <w:pPr>
        <w:keepNext w:val="0"/>
        <w:keepLines w:val="0"/>
        <w:pageBreakBefore w:val="0"/>
        <w:widowControl/>
        <w:wordWrap/>
        <w:topLinePunct w:val="0"/>
        <w:bidi w:val="0"/>
        <w:spacing w:line="600" w:lineRule="exact"/>
        <w:jc w:val="center"/>
        <w:textAlignment w:val="auto"/>
        <w:rPr>
          <w:rFonts w:hint="eastAsia" w:ascii="方正小标宋简体" w:hAnsi="宋体" w:eastAsia="方正小标宋简体" w:cs="宋体"/>
          <w:color w:val="000000"/>
          <w:kern w:val="0"/>
          <w:sz w:val="36"/>
          <w:szCs w:val="36"/>
          <w:highlight w:val="none"/>
        </w:rPr>
      </w:pPr>
    </w:p>
    <w:p>
      <w:pPr>
        <w:keepNext w:val="0"/>
        <w:keepLines w:val="0"/>
        <w:pageBreakBefore w:val="0"/>
        <w:widowControl/>
        <w:wordWrap/>
        <w:topLinePunct w:val="0"/>
        <w:bidi w:val="0"/>
        <w:spacing w:line="600" w:lineRule="exact"/>
        <w:jc w:val="center"/>
        <w:textAlignment w:val="auto"/>
        <w:rPr>
          <w:rFonts w:hint="eastAsia" w:ascii="方正小标宋简体" w:hAnsi="宋体" w:eastAsia="方正小标宋简体" w:cs="宋体"/>
          <w:color w:val="000000"/>
          <w:kern w:val="0"/>
          <w:sz w:val="36"/>
          <w:szCs w:val="36"/>
          <w:highlight w:val="none"/>
        </w:rPr>
      </w:pPr>
    </w:p>
    <w:p>
      <w:pPr>
        <w:keepNext w:val="0"/>
        <w:keepLines w:val="0"/>
        <w:pageBreakBefore w:val="0"/>
        <w:widowControl/>
        <w:wordWrap/>
        <w:topLinePunct w:val="0"/>
        <w:bidi w:val="0"/>
        <w:spacing w:line="600" w:lineRule="exact"/>
        <w:jc w:val="center"/>
        <w:textAlignment w:val="auto"/>
        <w:rPr>
          <w:rFonts w:ascii="方正小标宋简体" w:hAnsi="宋体" w:eastAsia="方正小标宋简体" w:cs="宋体"/>
          <w:color w:val="000000"/>
          <w:kern w:val="0"/>
          <w:sz w:val="36"/>
          <w:szCs w:val="36"/>
          <w:highlight w:val="none"/>
        </w:rPr>
      </w:pPr>
      <w:r>
        <w:rPr>
          <w:rFonts w:hint="eastAsia" w:ascii="方正小标宋简体" w:hAnsi="宋体" w:eastAsia="方正小标宋简体" w:cs="宋体"/>
          <w:color w:val="000000"/>
          <w:kern w:val="0"/>
          <w:sz w:val="36"/>
          <w:szCs w:val="36"/>
          <w:highlight w:val="none"/>
        </w:rPr>
        <w:t>临武</w:t>
      </w:r>
      <w:r>
        <w:rPr>
          <w:rFonts w:hint="eastAsia" w:ascii="方正小标宋简体" w:eastAsia="方正小标宋简体"/>
          <w:sz w:val="36"/>
          <w:szCs w:val="36"/>
          <w:highlight w:val="none"/>
          <w:lang w:val="en-US" w:eastAsia="zh-CN"/>
        </w:rPr>
        <w:t>县香花镇广坪村青年水库饮用水水源保护区集中式饮用水水源地保护整治工作</w:t>
      </w:r>
      <w:r>
        <w:rPr>
          <w:rFonts w:hint="eastAsia" w:ascii="方正小标宋简体" w:hAnsi="宋体" w:eastAsia="方正小标宋简体" w:cs="宋体"/>
          <w:color w:val="000000"/>
          <w:kern w:val="0"/>
          <w:sz w:val="36"/>
          <w:szCs w:val="36"/>
          <w:highlight w:val="none"/>
        </w:rPr>
        <w:t>方案</w:t>
      </w:r>
    </w:p>
    <w:p>
      <w:pPr>
        <w:keepNext w:val="0"/>
        <w:keepLines w:val="0"/>
        <w:pageBreakBefore w:val="0"/>
        <w:widowControl w:val="0"/>
        <w:kinsoku/>
        <w:wordWrap/>
        <w:overflowPunct/>
        <w:topLinePunct w:val="0"/>
        <w:autoSpaceDE/>
        <w:autoSpaceDN/>
        <w:bidi w:val="0"/>
        <w:adjustRightInd w:val="0"/>
        <w:snapToGrid w:val="0"/>
        <w:spacing w:line="320" w:lineRule="exact"/>
        <w:ind w:firstLine="640" w:firstLineChars="200"/>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val="0"/>
        <w:wordWrap/>
        <w:topLinePunct w:val="0"/>
        <w:bidi w:val="0"/>
        <w:adjustRightInd w:val="0"/>
        <w:snapToGrid w:val="0"/>
        <w:spacing w:line="600" w:lineRule="exact"/>
        <w:ind w:firstLine="640" w:firstLineChars="200"/>
        <w:jc w:val="both"/>
        <w:textAlignment w:val="auto"/>
        <w:rPr>
          <w:rFonts w:ascii="仿宋_GB2312" w:hAnsi="仿宋" w:eastAsia="仿宋_GB2312" w:cs="仿宋_GB2312"/>
          <w:color w:val="000000"/>
          <w:sz w:val="32"/>
          <w:szCs w:val="32"/>
          <w:highlight w:val="none"/>
        </w:rPr>
      </w:pPr>
      <w:r>
        <w:rPr>
          <w:rFonts w:hint="default" w:ascii="Times New Roman" w:hAnsi="Times New Roman" w:eastAsia="仿宋_GB2312" w:cs="Times New Roman"/>
          <w:sz w:val="32"/>
          <w:szCs w:val="32"/>
          <w:highlight w:val="none"/>
          <w:lang w:val="en-US" w:eastAsia="zh-CN"/>
        </w:rPr>
        <w:t>根据湖南省人民政府办公厅《湖南省打好发展“六仗”总体方案》（湘政办发〔2023〕2号）和生态环境部、水利部《关于推进乡镇及以下集中式饮用水水源地生态环境保护工作的指导意见》（环水体函〔2019〕92号）（以下简称《指导意见》）以及湖南省生态环境厅《关于开展2023年湖南省农村千人以上饮用水水源地生态环境问题专项整治的通知》（湘环发〔2023〕9号）等有关文件要求</w:t>
      </w:r>
      <w:r>
        <w:rPr>
          <w:rFonts w:hint="eastAsia" w:ascii="仿宋_GB2312" w:hAnsi="宋体" w:eastAsia="仿宋_GB2312" w:cs="宋体"/>
          <w:color w:val="000000"/>
          <w:kern w:val="0"/>
          <w:sz w:val="32"/>
          <w:szCs w:val="32"/>
          <w:highlight w:val="none"/>
        </w:rPr>
        <w:t>，全面推进“千人</w:t>
      </w:r>
      <w:r>
        <w:rPr>
          <w:rFonts w:hint="eastAsia" w:ascii="仿宋_GB2312" w:hAnsi="宋体" w:eastAsia="仿宋_GB2312" w:cs="宋体"/>
          <w:color w:val="000000"/>
          <w:kern w:val="0"/>
          <w:sz w:val="32"/>
          <w:szCs w:val="32"/>
          <w:highlight w:val="none"/>
          <w:lang w:val="en-US" w:eastAsia="zh-CN"/>
        </w:rPr>
        <w:t>以上</w:t>
      </w:r>
      <w:r>
        <w:rPr>
          <w:rFonts w:hint="eastAsia" w:ascii="仿宋_GB2312" w:hAnsi="宋体" w:eastAsia="仿宋_GB2312" w:cs="宋体"/>
          <w:color w:val="000000"/>
          <w:kern w:val="0"/>
          <w:sz w:val="32"/>
          <w:szCs w:val="32"/>
          <w:highlight w:val="none"/>
        </w:rPr>
        <w:t>”集中式饮用水水源地规范化建设，强化地表水环境管理，</w:t>
      </w:r>
      <w:r>
        <w:rPr>
          <w:rFonts w:hint="eastAsia" w:ascii="仿宋_GB2312" w:hAnsi="宋体" w:eastAsia="仿宋_GB2312" w:cs="宋体"/>
          <w:color w:val="000000"/>
          <w:kern w:val="0"/>
          <w:sz w:val="32"/>
          <w:szCs w:val="32"/>
          <w:highlight w:val="none"/>
          <w:lang w:val="en-US" w:eastAsia="zh-CN"/>
        </w:rPr>
        <w:t>加强</w:t>
      </w:r>
      <w:r>
        <w:rPr>
          <w:rFonts w:hint="eastAsia" w:ascii="仿宋_GB2312" w:hAnsi="宋体" w:eastAsia="仿宋_GB2312" w:cs="宋体"/>
          <w:color w:val="000000"/>
          <w:kern w:val="0"/>
          <w:sz w:val="32"/>
          <w:szCs w:val="32"/>
          <w:highlight w:val="none"/>
        </w:rPr>
        <w:t>污染</w:t>
      </w:r>
      <w:r>
        <w:rPr>
          <w:rFonts w:hint="eastAsia" w:ascii="仿宋_GB2312" w:hAnsi="宋体" w:eastAsia="仿宋_GB2312" w:cs="宋体"/>
          <w:color w:val="000000"/>
          <w:kern w:val="0"/>
          <w:sz w:val="32"/>
          <w:szCs w:val="32"/>
          <w:highlight w:val="none"/>
          <w:lang w:val="en-US" w:eastAsia="zh-CN"/>
        </w:rPr>
        <w:t>防治</w:t>
      </w:r>
      <w:r>
        <w:rPr>
          <w:rFonts w:hint="eastAsia" w:ascii="仿宋_GB2312" w:hAnsi="宋体" w:eastAsia="仿宋_GB2312" w:cs="宋体"/>
          <w:color w:val="000000"/>
          <w:kern w:val="0"/>
          <w:sz w:val="32"/>
          <w:szCs w:val="32"/>
          <w:highlight w:val="none"/>
        </w:rPr>
        <w:t>，保护水源，结合我县实际制定本方案。</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561"/>
        <w:jc w:val="left"/>
        <w:textAlignment w:val="auto"/>
        <w:rPr>
          <w:rFonts w:hint="eastAsia" w:ascii="仿宋_GB2312" w:hAnsi="宋体" w:eastAsia="仿宋_GB2312" w:cs="宋体"/>
          <w:color w:val="000000"/>
          <w:kern w:val="0"/>
          <w:sz w:val="32"/>
          <w:szCs w:val="32"/>
          <w:highlight w:val="none"/>
        </w:rPr>
      </w:pPr>
      <w:r>
        <w:rPr>
          <w:rFonts w:hint="eastAsia" w:ascii="黑体" w:hAnsi="黑体" w:eastAsia="黑体" w:cs="黑体"/>
          <w:color w:val="000000"/>
          <w:kern w:val="0"/>
          <w:sz w:val="32"/>
          <w:szCs w:val="32"/>
          <w:highlight w:val="none"/>
        </w:rPr>
        <w:t>一、指导思想</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561"/>
        <w:jc w:val="both"/>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认真贯彻习近平总书记重要指示精神，坚持生态优先、绿色发展、突出问题导向，加大环境保护执法力度，集中力量解决损害群众健康的突出环境问题；全面完成整治任务，确保饮用水源安全，维护社会和谐稳定，促进社会经济发展。</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jc w:val="left"/>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二、工作目标</w:t>
      </w:r>
    </w:p>
    <w:p>
      <w:pPr>
        <w:keepNext w:val="0"/>
        <w:keepLines w:val="0"/>
        <w:pageBreakBefore w:val="0"/>
        <w:widowControl/>
        <w:wordWrap/>
        <w:topLinePunct w:val="0"/>
        <w:bidi w:val="0"/>
        <w:spacing w:line="600" w:lineRule="exact"/>
        <w:ind w:firstLine="645"/>
        <w:jc w:val="left"/>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以保障</w:t>
      </w:r>
      <w:r>
        <w:rPr>
          <w:rFonts w:hint="eastAsia" w:ascii="仿宋_GB2312" w:hAnsi="宋体" w:eastAsia="仿宋_GB2312" w:cs="宋体"/>
          <w:color w:val="000000"/>
          <w:kern w:val="0"/>
          <w:sz w:val="32"/>
          <w:szCs w:val="32"/>
          <w:highlight w:val="none"/>
          <w:lang w:val="en-US" w:eastAsia="zh-CN"/>
        </w:rPr>
        <w:t>临武县</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饮用水水源质量为核心，以强化环境执法为抓手，聚焦饮用水水源地突出环境问题，全面推进设立水源保护区边界标志工作、整治水源地保护区内环境违法</w:t>
      </w:r>
      <w:r>
        <w:rPr>
          <w:rFonts w:hint="eastAsia" w:ascii="仿宋_GB2312" w:hAnsi="宋体" w:eastAsia="仿宋_GB2312" w:cs="宋体"/>
          <w:color w:val="000000"/>
          <w:kern w:val="0"/>
          <w:sz w:val="32"/>
          <w:szCs w:val="32"/>
          <w:highlight w:val="none"/>
          <w:lang w:val="en-US" w:eastAsia="zh-CN"/>
        </w:rPr>
        <w:t>行为</w:t>
      </w:r>
      <w:r>
        <w:rPr>
          <w:rFonts w:hint="eastAsia" w:ascii="仿宋_GB2312" w:hAnsi="宋体" w:eastAsia="仿宋_GB2312" w:cs="宋体"/>
          <w:color w:val="000000"/>
          <w:kern w:val="0"/>
          <w:sz w:val="32"/>
          <w:szCs w:val="32"/>
          <w:highlight w:val="none"/>
        </w:rPr>
        <w:t>，全面提升水源地环境风险防范能力，确保饮用水水源水质安全。</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jc w:val="left"/>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三、工作任务</w:t>
      </w:r>
    </w:p>
    <w:p>
      <w:pPr>
        <w:keepNext w:val="0"/>
        <w:keepLines w:val="0"/>
        <w:pageBreakBefore w:val="0"/>
        <w:widowControl/>
        <w:wordWrap/>
        <w:topLinePunct w:val="0"/>
        <w:bidi w:val="0"/>
        <w:spacing w:line="600" w:lineRule="exact"/>
        <w:jc w:val="left"/>
        <w:textAlignment w:val="auto"/>
        <w:rPr>
          <w:rFonts w:hint="eastAsia"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（一）成立整治工作领导小组</w:t>
      </w:r>
    </w:p>
    <w:p>
      <w:pPr>
        <w:keepNext w:val="0"/>
        <w:keepLines w:val="0"/>
        <w:pageBreakBefore w:val="0"/>
        <w:widowControl/>
        <w:wordWrap/>
        <w:topLinePunct w:val="0"/>
        <w:bidi w:val="0"/>
        <w:spacing w:line="600" w:lineRule="exact"/>
        <w:jc w:val="left"/>
        <w:textAlignment w:val="auto"/>
        <w:rPr>
          <w:rFonts w:hint="eastAsia" w:eastAsia="仿宋_GB2312"/>
          <w:sz w:val="32"/>
          <w:szCs w:val="32"/>
          <w:highlight w:val="none"/>
        </w:rPr>
      </w:pPr>
      <w:r>
        <w:rPr>
          <w:rFonts w:hint="eastAsia" w:eastAsia="仿宋_GB2312"/>
          <w:sz w:val="32"/>
          <w:szCs w:val="32"/>
          <w:highlight w:val="none"/>
        </w:rPr>
        <w:t xml:space="preserve">组  长： 郭飞   市生态环境局临武分局党组书记、局长        </w:t>
      </w:r>
    </w:p>
    <w:p>
      <w:pPr>
        <w:keepNext w:val="0"/>
        <w:keepLines w:val="0"/>
        <w:pageBreakBefore w:val="0"/>
        <w:widowControl/>
        <w:wordWrap/>
        <w:topLinePunct w:val="0"/>
        <w:bidi w:val="0"/>
        <w:spacing w:line="600" w:lineRule="exact"/>
        <w:jc w:val="left"/>
        <w:textAlignment w:val="auto"/>
        <w:rPr>
          <w:rFonts w:hint="eastAsia" w:eastAsia="仿宋_GB2312"/>
          <w:sz w:val="32"/>
          <w:szCs w:val="32"/>
          <w:highlight w:val="none"/>
        </w:rPr>
      </w:pPr>
      <w:r>
        <w:rPr>
          <w:rFonts w:hint="eastAsia" w:eastAsia="仿宋_GB2312"/>
          <w:sz w:val="32"/>
          <w:szCs w:val="32"/>
          <w:highlight w:val="none"/>
        </w:rPr>
        <w:t>副组长：黄崇标  市生态环境局临武分局副局长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黄瑞云  市生态环境局临武分局副局长</w:t>
      </w:r>
    </w:p>
    <w:p>
      <w:pPr>
        <w:keepNext w:val="0"/>
        <w:keepLines w:val="0"/>
        <w:pageBreakBefore w:val="0"/>
        <w:widowControl/>
        <w:wordWrap/>
        <w:topLinePunct w:val="0"/>
        <w:bidi w:val="0"/>
        <w:spacing w:line="600" w:lineRule="exact"/>
        <w:jc w:val="left"/>
        <w:textAlignment w:val="auto"/>
        <w:rPr>
          <w:rFonts w:hint="eastAsia" w:eastAsia="仿宋_GB2312"/>
          <w:sz w:val="32"/>
          <w:szCs w:val="32"/>
          <w:highlight w:val="none"/>
        </w:rPr>
      </w:pPr>
      <w:r>
        <w:rPr>
          <w:rFonts w:hint="eastAsia" w:eastAsia="仿宋_GB2312"/>
          <w:sz w:val="32"/>
          <w:szCs w:val="32"/>
          <w:highlight w:val="none"/>
        </w:rPr>
        <w:t>成  员：段日红  交通运输局副局长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 xml:space="preserve">蒋  雄  水利局工管站站长   </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黄  斌  县自然资源局营林股股长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唐祥龙  市生态环境局临武分局水股股长</w:t>
      </w:r>
    </w:p>
    <w:p>
      <w:pPr>
        <w:keepNext w:val="0"/>
        <w:keepLines w:val="0"/>
        <w:pageBreakBefore w:val="0"/>
        <w:widowControl/>
        <w:wordWrap/>
        <w:topLinePunct w:val="0"/>
        <w:bidi w:val="0"/>
        <w:spacing w:line="600" w:lineRule="exact"/>
        <w:ind w:leftChars="600"/>
        <w:jc w:val="left"/>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唐国军  市生态环境局临武分局有色中队队长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李  伟  临武县文化旅游广电体育局副科干部</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李建祝  农业农村局种业和种植业管理股长</w:t>
      </w:r>
    </w:p>
    <w:p>
      <w:pPr>
        <w:keepNext w:val="0"/>
        <w:keepLines w:val="0"/>
        <w:pageBreakBefore w:val="0"/>
        <w:widowControl/>
        <w:wordWrap/>
        <w:topLinePunct w:val="0"/>
        <w:bidi w:val="0"/>
        <w:spacing w:line="600" w:lineRule="exact"/>
        <w:ind w:leftChars="600"/>
        <w:jc w:val="left"/>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陈  雄  香花镇镇长</w:t>
      </w:r>
    </w:p>
    <w:p>
      <w:pPr>
        <w:keepNext w:val="0"/>
        <w:keepLines w:val="0"/>
        <w:pageBreakBefore w:val="0"/>
        <w:widowControl/>
        <w:wordWrap/>
        <w:topLinePunct w:val="0"/>
        <w:bidi w:val="0"/>
        <w:spacing w:line="600" w:lineRule="exact"/>
        <w:jc w:val="left"/>
        <w:textAlignment w:val="auto"/>
        <w:rPr>
          <w:rFonts w:hint="eastAsia"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（二）具体工作任务</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在保护区边界设立明确的地理界标和明显的警示标</w:t>
      </w:r>
      <w:r>
        <w:rPr>
          <w:rFonts w:hint="eastAsia" w:ascii="仿宋_GB2312" w:hAnsi="宋体" w:eastAsia="仿宋_GB2312" w:cs="宋体"/>
          <w:color w:val="000000"/>
          <w:kern w:val="0"/>
          <w:sz w:val="32"/>
          <w:szCs w:val="32"/>
          <w:highlight w:val="none"/>
          <w:lang w:val="en-US" w:eastAsia="zh-CN"/>
        </w:rPr>
        <w:t>识</w:t>
      </w:r>
      <w:r>
        <w:rPr>
          <w:rFonts w:hint="eastAsia" w:ascii="仿宋_GB2312" w:hAnsi="宋体" w:eastAsia="仿宋_GB2312" w:cs="宋体"/>
          <w:color w:val="000000"/>
          <w:kern w:val="0"/>
          <w:sz w:val="32"/>
          <w:szCs w:val="32"/>
          <w:highlight w:val="none"/>
        </w:rPr>
        <w:t>，在一级保护区及周边人</w:t>
      </w:r>
      <w:r>
        <w:rPr>
          <w:rFonts w:hint="eastAsia" w:ascii="仿宋_GB2312" w:hAnsi="宋体" w:eastAsia="仿宋_GB2312" w:cs="宋体"/>
          <w:color w:val="000000"/>
          <w:kern w:val="0"/>
          <w:sz w:val="32"/>
          <w:szCs w:val="32"/>
          <w:highlight w:val="none"/>
          <w:lang w:val="en-US" w:eastAsia="zh-CN"/>
        </w:rPr>
        <w:t>群</w:t>
      </w:r>
      <w:r>
        <w:rPr>
          <w:rFonts w:hint="eastAsia" w:ascii="仿宋_GB2312" w:hAnsi="宋体" w:eastAsia="仿宋_GB2312" w:cs="宋体"/>
          <w:color w:val="000000"/>
          <w:kern w:val="0"/>
          <w:sz w:val="32"/>
          <w:szCs w:val="32"/>
          <w:highlight w:val="none"/>
        </w:rPr>
        <w:t>活动频繁的区域设置隔离防护设施等</w:t>
      </w:r>
      <w:r>
        <w:rPr>
          <w:rFonts w:hint="eastAsia" w:ascii="仿宋_GB2312" w:hAnsi="宋体" w:eastAsia="仿宋_GB2312" w:cs="宋体"/>
          <w:b/>
          <w:bCs/>
          <w:color w:val="000000"/>
          <w:kern w:val="0"/>
          <w:sz w:val="32"/>
          <w:szCs w:val="32"/>
          <w:highlight w:val="none"/>
        </w:rPr>
        <w:t>（责任单位：</w:t>
      </w:r>
      <w:r>
        <w:rPr>
          <w:rFonts w:hint="eastAsia" w:ascii="仿宋_GB2312" w:hAnsi="宋体" w:eastAsia="仿宋_GB2312" w:cs="宋体"/>
          <w:b/>
          <w:bCs/>
          <w:color w:val="000000"/>
          <w:kern w:val="0"/>
          <w:sz w:val="32"/>
          <w:szCs w:val="32"/>
          <w:highlight w:val="none"/>
          <w:lang w:val="en-US" w:eastAsia="zh-CN"/>
        </w:rPr>
        <w:t>香花镇人民政府。配合单位：</w:t>
      </w:r>
      <w:r>
        <w:rPr>
          <w:rFonts w:eastAsia="仿宋_GB2312"/>
          <w:b/>
          <w:bCs/>
          <w:sz w:val="32"/>
          <w:szCs w:val="32"/>
          <w:highlight w:val="none"/>
        </w:rPr>
        <w:t>县水利局</w:t>
      </w:r>
      <w:r>
        <w:rPr>
          <w:rFonts w:hint="eastAsia" w:eastAsia="仿宋_GB2312"/>
          <w:b/>
          <w:bCs/>
          <w:sz w:val="32"/>
          <w:szCs w:val="32"/>
          <w:highlight w:val="none"/>
        </w:rPr>
        <w:t>、市生态环境局临武分局，</w:t>
      </w:r>
      <w:r>
        <w:rPr>
          <w:rFonts w:hint="eastAsia" w:ascii="仿宋_GB2312" w:hAnsi="宋体" w:eastAsia="仿宋_GB2312" w:cs="宋体"/>
          <w:b/>
          <w:bCs/>
          <w:color w:val="000000"/>
          <w:kern w:val="0"/>
          <w:sz w:val="32"/>
          <w:szCs w:val="32"/>
          <w:highlight w:val="none"/>
        </w:rPr>
        <w:t>完成时限：2</w:t>
      </w:r>
      <w:r>
        <w:rPr>
          <w:rFonts w:ascii="仿宋_GB2312" w:hAnsi="宋体" w:eastAsia="仿宋_GB2312" w:cs="宋体"/>
          <w:b/>
          <w:bCs/>
          <w:color w:val="000000"/>
          <w:kern w:val="0"/>
          <w:sz w:val="32"/>
          <w:szCs w:val="32"/>
          <w:highlight w:val="none"/>
        </w:rPr>
        <w:t>02</w:t>
      </w:r>
      <w:r>
        <w:rPr>
          <w:rFonts w:hint="eastAsia" w:ascii="仿宋_GB2312" w:hAnsi="宋体" w:eastAsia="仿宋_GB2312" w:cs="宋体"/>
          <w:b/>
          <w:bCs/>
          <w:color w:val="000000"/>
          <w:kern w:val="0"/>
          <w:sz w:val="32"/>
          <w:szCs w:val="32"/>
          <w:highlight w:val="none"/>
          <w:lang w:val="en-US" w:eastAsia="zh-CN"/>
        </w:rPr>
        <w:t>3</w:t>
      </w:r>
      <w:r>
        <w:rPr>
          <w:rFonts w:hint="eastAsia" w:ascii="仿宋_GB2312" w:hAnsi="宋体" w:eastAsia="仿宋_GB2312" w:cs="宋体"/>
          <w:b/>
          <w:bCs/>
          <w:color w:val="000000"/>
          <w:kern w:val="0"/>
          <w:sz w:val="32"/>
          <w:szCs w:val="32"/>
          <w:highlight w:val="none"/>
        </w:rPr>
        <w:t>年</w:t>
      </w:r>
      <w:r>
        <w:rPr>
          <w:rFonts w:hint="eastAsia" w:ascii="仿宋_GB2312" w:hAnsi="宋体" w:eastAsia="仿宋_GB2312" w:cs="宋体"/>
          <w:b/>
          <w:bCs/>
          <w:color w:val="000000"/>
          <w:kern w:val="0"/>
          <w:sz w:val="32"/>
          <w:szCs w:val="32"/>
          <w:highlight w:val="none"/>
          <w:lang w:val="en-US" w:eastAsia="zh-CN"/>
        </w:rPr>
        <w:t>9</w:t>
      </w:r>
      <w:r>
        <w:rPr>
          <w:rFonts w:hint="eastAsia" w:ascii="仿宋_GB2312" w:hAnsi="宋体" w:eastAsia="仿宋_GB2312" w:cs="宋体"/>
          <w:b/>
          <w:bCs/>
          <w:color w:val="000000"/>
          <w:kern w:val="0"/>
          <w:sz w:val="32"/>
          <w:szCs w:val="32"/>
          <w:highlight w:val="none"/>
        </w:rPr>
        <w:t>月3</w:t>
      </w:r>
      <w:r>
        <w:rPr>
          <w:rFonts w:ascii="仿宋_GB2312" w:hAnsi="宋体" w:eastAsia="仿宋_GB2312" w:cs="宋体"/>
          <w:b/>
          <w:bCs/>
          <w:color w:val="000000"/>
          <w:kern w:val="0"/>
          <w:sz w:val="32"/>
          <w:szCs w:val="32"/>
          <w:highlight w:val="none"/>
        </w:rPr>
        <w:t>0</w:t>
      </w:r>
      <w:r>
        <w:rPr>
          <w:rFonts w:hint="eastAsia" w:ascii="仿宋_GB2312" w:hAnsi="宋体" w:eastAsia="仿宋_GB2312" w:cs="宋体"/>
          <w:b/>
          <w:bCs/>
          <w:color w:val="000000"/>
          <w:kern w:val="0"/>
          <w:sz w:val="32"/>
          <w:szCs w:val="32"/>
          <w:highlight w:val="none"/>
        </w:rPr>
        <w:t>日）</w:t>
      </w:r>
      <w:r>
        <w:rPr>
          <w:rFonts w:hint="eastAsia" w:ascii="仿宋_GB2312" w:hAnsi="宋体" w:eastAsia="仿宋_GB2312" w:cs="宋体"/>
          <w:color w:val="000000"/>
          <w:kern w:val="0"/>
          <w:sz w:val="32"/>
          <w:szCs w:val="32"/>
          <w:highlight w:val="none"/>
        </w:rPr>
        <w:t>。</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jc w:val="left"/>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四、工作要求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amp;quot"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（一）强化组织领导，明确责任分工。乡镇人民政府是“千</w:t>
      </w:r>
      <w:r>
        <w:rPr>
          <w:rFonts w:hint="eastAsia" w:ascii="仿宋_GB2312" w:hAnsi="宋体" w:eastAsia="仿宋_GB2312" w:cs="宋体"/>
          <w:color w:val="000000"/>
          <w:kern w:val="0"/>
          <w:sz w:val="32"/>
          <w:szCs w:val="32"/>
          <w:highlight w:val="none"/>
          <w:lang w:val="en-US" w:eastAsia="zh-CN"/>
        </w:rPr>
        <w:t>人以上</w:t>
      </w:r>
      <w:r>
        <w:rPr>
          <w:rFonts w:hint="eastAsia" w:ascii="仿宋_GB2312" w:hAnsi="宋体" w:eastAsia="仿宋_GB2312" w:cs="宋体"/>
          <w:color w:val="000000"/>
          <w:kern w:val="0"/>
          <w:sz w:val="32"/>
          <w:szCs w:val="32"/>
          <w:highlight w:val="none"/>
        </w:rPr>
        <w:t>”饮用水水源地保护工作的责任主体，对本辖区“千</w:t>
      </w:r>
      <w:r>
        <w:rPr>
          <w:rFonts w:hint="eastAsia" w:ascii="仿宋_GB2312" w:hAnsi="宋体" w:eastAsia="仿宋_GB2312" w:cs="宋体"/>
          <w:color w:val="000000"/>
          <w:kern w:val="0"/>
          <w:sz w:val="32"/>
          <w:szCs w:val="32"/>
          <w:highlight w:val="none"/>
          <w:lang w:val="en-US" w:eastAsia="zh-CN"/>
        </w:rPr>
        <w:t>人以上</w:t>
      </w:r>
      <w:r>
        <w:rPr>
          <w:rFonts w:hint="eastAsia" w:ascii="仿宋_GB2312" w:hAnsi="宋体" w:eastAsia="仿宋_GB2312" w:cs="宋体"/>
          <w:color w:val="000000"/>
          <w:kern w:val="0"/>
          <w:sz w:val="32"/>
          <w:szCs w:val="32"/>
          <w:highlight w:val="none"/>
        </w:rPr>
        <w:t>”的饮用水水源地排查整治工作负总责、抓落实。压实乡镇人民政府主体责任，进一步明确和细化责任分工，按要求组织完成排查整治。县水利局、市生态环境局临武分局负责做好组织、督促和指导工作。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amp;quot"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（二）</w:t>
      </w:r>
      <w:r>
        <w:rPr>
          <w:rFonts w:ascii="仿宋_GB2312" w:hAnsi="宋体" w:eastAsia="仿宋_GB2312" w:cs="宋体"/>
          <w:color w:val="000000"/>
          <w:kern w:val="0"/>
          <w:sz w:val="32"/>
          <w:szCs w:val="32"/>
          <w:highlight w:val="none"/>
        </w:rPr>
        <w:t xml:space="preserve"> </w:t>
      </w:r>
      <w:r>
        <w:rPr>
          <w:rFonts w:hint="eastAsia" w:ascii="仿宋_GB2312" w:hAnsi="宋体" w:eastAsia="仿宋_GB2312" w:cs="宋体"/>
          <w:color w:val="000000"/>
          <w:kern w:val="0"/>
          <w:sz w:val="32"/>
          <w:szCs w:val="32"/>
          <w:highlight w:val="none"/>
        </w:rPr>
        <w:t>举一反三，推动其他“</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val="en-US" w:eastAsia="zh-CN"/>
        </w:rPr>
        <w:t>饮用水</w:t>
      </w:r>
      <w:r>
        <w:rPr>
          <w:rFonts w:hint="eastAsia" w:ascii="仿宋_GB2312" w:hAnsi="宋体" w:eastAsia="仿宋_GB2312" w:cs="宋体"/>
          <w:color w:val="000000"/>
          <w:kern w:val="0"/>
          <w:sz w:val="32"/>
          <w:szCs w:val="32"/>
          <w:highlight w:val="none"/>
        </w:rPr>
        <w:t>水源地规范化建设。在完成饮用水水源保护区标识标牌</w:t>
      </w:r>
      <w:r>
        <w:rPr>
          <w:rFonts w:hint="eastAsia" w:ascii="仿宋_GB2312" w:hAnsi="宋体" w:eastAsia="仿宋_GB2312" w:cs="宋体"/>
          <w:color w:val="000000"/>
          <w:kern w:val="0"/>
          <w:sz w:val="32"/>
          <w:szCs w:val="32"/>
          <w:highlight w:val="none"/>
          <w:lang w:eastAsia="zh-CN"/>
        </w:rPr>
        <w:t>规范化</w:t>
      </w:r>
      <w:r>
        <w:rPr>
          <w:rFonts w:hint="eastAsia" w:ascii="仿宋_GB2312" w:hAnsi="宋体" w:eastAsia="仿宋_GB2312" w:cs="宋体"/>
          <w:color w:val="000000"/>
          <w:kern w:val="0"/>
          <w:sz w:val="32"/>
          <w:szCs w:val="32"/>
          <w:highlight w:val="none"/>
        </w:rPr>
        <w:t>建设的基础上，大力推进其他“</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val="en-US" w:eastAsia="zh-CN"/>
        </w:rPr>
        <w:t>饮用水</w:t>
      </w:r>
      <w:r>
        <w:rPr>
          <w:rFonts w:hint="eastAsia" w:ascii="仿宋_GB2312" w:hAnsi="宋体" w:eastAsia="仿宋_GB2312" w:cs="宋体"/>
          <w:color w:val="000000"/>
          <w:kern w:val="0"/>
          <w:sz w:val="32"/>
          <w:szCs w:val="32"/>
          <w:highlight w:val="none"/>
        </w:rPr>
        <w:t>水源地标识标牌、宣传牌的</w:t>
      </w:r>
      <w:r>
        <w:rPr>
          <w:rFonts w:hint="eastAsia" w:ascii="仿宋_GB2312" w:hAnsi="宋体" w:eastAsia="仿宋_GB2312" w:cs="宋体"/>
          <w:color w:val="000000"/>
          <w:kern w:val="0"/>
          <w:sz w:val="32"/>
          <w:szCs w:val="32"/>
          <w:highlight w:val="none"/>
          <w:lang w:eastAsia="zh-CN"/>
        </w:rPr>
        <w:t>规范化</w:t>
      </w:r>
      <w:r>
        <w:rPr>
          <w:rFonts w:hint="eastAsia" w:ascii="仿宋_GB2312" w:hAnsi="宋体" w:eastAsia="仿宋_GB2312" w:cs="宋体"/>
          <w:color w:val="000000"/>
          <w:kern w:val="0"/>
          <w:sz w:val="32"/>
          <w:szCs w:val="32"/>
          <w:highlight w:val="none"/>
        </w:rPr>
        <w:t>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（三）强化信息公开，接受社会监督。建立信息公开制度，通过县级主要媒体和政府网站公开问题清单和整治</w:t>
      </w:r>
      <w:r>
        <w:rPr>
          <w:rFonts w:hint="eastAsia" w:ascii="仿宋_GB2312" w:hAnsi="宋体" w:eastAsia="仿宋_GB2312" w:cs="宋体"/>
          <w:color w:val="000000"/>
          <w:kern w:val="0"/>
          <w:sz w:val="32"/>
          <w:szCs w:val="32"/>
          <w:highlight w:val="none"/>
          <w:lang w:eastAsia="zh-CN"/>
        </w:rPr>
        <w:t>开展</w:t>
      </w:r>
      <w:r>
        <w:rPr>
          <w:rFonts w:hint="eastAsia" w:ascii="仿宋_GB2312" w:hAnsi="宋体" w:eastAsia="仿宋_GB2312" w:cs="宋体"/>
          <w:color w:val="000000"/>
          <w:kern w:val="0"/>
          <w:sz w:val="32"/>
          <w:szCs w:val="32"/>
          <w:highlight w:val="none"/>
        </w:rPr>
        <w:t>情况，通报“</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”饮用水水源地环境专项行动进展和成效，以公开推动监督，以监督保障落实。进一步完善公众参与监督机制，推动“</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”饮用水水源地保护工作转变为社会参与、共同监督的全民行动。</w:t>
      </w:r>
    </w:p>
    <w:p>
      <w:pPr>
        <w:pStyle w:val="4"/>
        <w:keepNext w:val="0"/>
        <w:keepLines w:val="0"/>
        <w:pageBreakBefore w:val="0"/>
        <w:topLinePunct w:val="0"/>
        <w:bidi w:val="0"/>
        <w:spacing w:line="600" w:lineRule="exact"/>
        <w:textAlignment w:val="auto"/>
        <w:rPr>
          <w:rFonts w:ascii="仿宋_GB2312" w:hAnsi="宋体" w:eastAsia="仿宋_GB2312" w:cs="宋体"/>
          <w:color w:val="000000"/>
          <w:kern w:val="0"/>
          <w:sz w:val="32"/>
          <w:szCs w:val="32"/>
          <w:highlight w:val="none"/>
        </w:rPr>
      </w:pPr>
    </w:p>
    <w:p>
      <w:pPr>
        <w:keepNext w:val="0"/>
        <w:keepLines w:val="0"/>
        <w:pageBreakBefore w:val="0"/>
        <w:widowControl/>
        <w:wordWrap w:val="0"/>
        <w:topLinePunct w:val="0"/>
        <w:bidi w:val="0"/>
        <w:spacing w:line="600" w:lineRule="exact"/>
        <w:jc w:val="right"/>
        <w:textAlignment w:val="auto"/>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临武县生态环</w:t>
      </w:r>
      <w:bookmarkStart w:id="0" w:name="_GoBack"/>
      <w:bookmarkEnd w:id="0"/>
      <w:r>
        <w:rPr>
          <w:rFonts w:hint="eastAsia" w:ascii="仿宋_GB2312" w:hAnsi="宋体" w:eastAsia="仿宋_GB2312" w:cs="宋体"/>
          <w:color w:val="000000"/>
          <w:kern w:val="0"/>
          <w:sz w:val="32"/>
          <w:szCs w:val="32"/>
          <w:highlight w:val="none"/>
          <w:lang w:val="en-US" w:eastAsia="zh-CN"/>
        </w:rPr>
        <w:t xml:space="preserve">境保护委员会办公室  </w:t>
      </w:r>
    </w:p>
    <w:p>
      <w:pPr>
        <w:keepNext w:val="0"/>
        <w:keepLines w:val="0"/>
        <w:pageBreakBefore w:val="0"/>
        <w:widowControl/>
        <w:wordWrap w:val="0"/>
        <w:topLinePunct w:val="0"/>
        <w:bidi w:val="0"/>
        <w:spacing w:line="600" w:lineRule="exact"/>
        <w:jc w:val="right"/>
        <w:textAlignment w:val="auto"/>
        <w:rPr>
          <w:rFonts w:hint="default" w:ascii="仿宋_GB2312" w:eastAsia="仿宋_GB2312"/>
          <w:sz w:val="32"/>
          <w:szCs w:val="32"/>
          <w:highlight w:val="none"/>
          <w:lang w:val="en-US"/>
        </w:rPr>
      </w:pP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val="en-US" w:eastAsia="zh-CN"/>
        </w:rPr>
        <w:t xml:space="preserve">2月28日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mp;quot">
    <w:altName w:val="MingLiU"/>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08571BD9"/>
    <w:rsid w:val="052E5BC1"/>
    <w:rsid w:val="0857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3">
    <w:name w:val="index 5"/>
    <w:next w:val="1"/>
    <w:qFormat/>
    <w:uiPriority w:val="0"/>
    <w:pPr>
      <w:widowControl w:val="0"/>
      <w:ind w:left="1680"/>
      <w:jc w:val="both"/>
    </w:pPr>
    <w:rPr>
      <w:rFonts w:ascii="Calibri" w:hAnsi="Calibri" w:eastAsia="微软雅黑" w:cs="宋体"/>
      <w:kern w:val="2"/>
      <w:sz w:val="21"/>
      <w:szCs w:val="24"/>
      <w:lang w:val="en-US" w:eastAsia="zh-CN" w:bidi="ar-SA"/>
    </w:rPr>
  </w:style>
  <w:style w:type="paragraph" w:styleId="4">
    <w:name w:val="footer"/>
    <w:basedOn w:val="1"/>
    <w:next w:val="3"/>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1200</Words>
  <Characters>1221</Characters>
  <Lines>0</Lines>
  <Paragraphs>0</Paragraphs>
  <TotalTime>1</TotalTime>
  <ScaleCrop>false</ScaleCrop>
  <LinksUpToDate>false</LinksUpToDate>
  <CharactersWithSpaces>1280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2023-05-22T08:06:00Z</dcterms:created>
  <dc:creator>杨慧敏</dc:creator>
  <cp:lastModifiedBy>空城旧梦</cp:lastModifiedBy>
  <dcterms:modified xsi:type="dcterms:W3CDTF">2023-06-05T06:45:36Z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6B9926652BBD4E9D9B149750094B3573</vt:lpwstr>
  </property>
</Properties>
</file>