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eastAsia="zh-CN"/>
        </w:rPr>
        <w:t>临武县发展和改革</w:t>
      </w:r>
      <w:r>
        <w:rPr>
          <w:rFonts w:hint="eastAsia" w:asciiTheme="majorEastAsia" w:hAnsiTheme="majorEastAsia" w:eastAsiaTheme="majorEastAsia"/>
          <w:b/>
          <w:sz w:val="36"/>
          <w:szCs w:val="36"/>
        </w:rPr>
        <w:t>局</w:t>
      </w:r>
      <w:r>
        <w:rPr>
          <w:rFonts w:hint="eastAsia" w:asciiTheme="majorEastAsia" w:hAnsiTheme="majorEastAsia" w:eastAsiaTheme="majorEastAsia"/>
          <w:b/>
          <w:sz w:val="36"/>
          <w:szCs w:val="36"/>
          <w:lang w:eastAsia="zh-CN"/>
        </w:rPr>
        <w:t>2021</w:t>
      </w:r>
      <w:r>
        <w:rPr>
          <w:rFonts w:hint="eastAsia" w:asciiTheme="majorEastAsia" w:hAnsiTheme="majorEastAsia" w:eastAsiaTheme="majorEastAsia"/>
          <w:b/>
          <w:sz w:val="36"/>
          <w:szCs w:val="36"/>
        </w:rPr>
        <w:t>年度部门整体支出绩效</w:t>
      </w:r>
    </w:p>
    <w:p>
      <w:pPr>
        <w:jc w:val="center"/>
        <w:rPr>
          <w:rFonts w:ascii="仿宋_GB2312" w:eastAsia="仿宋_GB2312"/>
          <w:sz w:val="32"/>
          <w:szCs w:val="32"/>
        </w:rPr>
      </w:pPr>
      <w:r>
        <w:rPr>
          <w:rFonts w:hint="eastAsia" w:asciiTheme="majorEastAsia" w:hAnsiTheme="majorEastAsia" w:eastAsiaTheme="majorEastAsia"/>
          <w:b/>
          <w:sz w:val="36"/>
          <w:szCs w:val="36"/>
          <w:lang w:eastAsia="zh-CN"/>
        </w:rPr>
        <w:t>自评</w:t>
      </w:r>
      <w:r>
        <w:rPr>
          <w:rFonts w:hint="eastAsia" w:asciiTheme="majorEastAsia" w:hAnsiTheme="majorEastAsia" w:eastAsiaTheme="majorEastAsia"/>
          <w:b/>
          <w:sz w:val="36"/>
          <w:szCs w:val="36"/>
        </w:rPr>
        <w:t>报告</w:t>
      </w:r>
    </w:p>
    <w:p>
      <w:pPr>
        <w:ind w:firstLine="640" w:firstLineChars="200"/>
        <w:rPr>
          <w:rFonts w:ascii="仿宋_GB2312" w:eastAsia="仿宋_GB2312"/>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我单位特对2021</w:t>
      </w:r>
      <w:r>
        <w:rPr>
          <w:rFonts w:hint="eastAsia" w:ascii="仿宋_GB2312" w:eastAsia="仿宋_GB2312"/>
          <w:sz w:val="32"/>
          <w:szCs w:val="32"/>
        </w:rPr>
        <w:t>年度部门整体支出进行了绩效评价，现将有关情况报告如下：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eastAsia="仿宋_GB2312" w:cs="仿宋_GB2312"/>
          <w:sz w:val="32"/>
          <w:szCs w:val="32"/>
          <w:lang w:eastAsia="zh-CN"/>
        </w:rPr>
      </w:pPr>
      <w:r>
        <w:rPr>
          <w:rFonts w:hint="eastAsia" w:ascii="仿宋" w:hAnsi="仿宋" w:eastAsia="仿宋" w:cs="仿宋"/>
          <w:sz w:val="30"/>
          <w:szCs w:val="30"/>
          <w:shd w:val="clear" w:fill="FFFFFF"/>
        </w:rPr>
        <w:t>临武县发展和改革局设有</w:t>
      </w:r>
      <w:r>
        <w:rPr>
          <w:rFonts w:hint="eastAsia" w:ascii="仿宋" w:hAnsi="仿宋" w:eastAsia="仿宋" w:cs="仿宋"/>
          <w:sz w:val="30"/>
          <w:szCs w:val="30"/>
          <w:shd w:val="clear" w:fill="FFFFFF"/>
          <w:lang w:val="en-US" w:eastAsia="zh-CN"/>
        </w:rPr>
        <w:t>11</w:t>
      </w:r>
      <w:r>
        <w:rPr>
          <w:rFonts w:hint="eastAsia" w:ascii="仿宋" w:hAnsi="仿宋" w:eastAsia="仿宋" w:cs="仿宋"/>
          <w:sz w:val="30"/>
          <w:szCs w:val="30"/>
          <w:shd w:val="clear" w:fill="FFFFFF"/>
        </w:rPr>
        <w:t>个</w:t>
      </w:r>
      <w:r>
        <w:rPr>
          <w:rFonts w:hint="eastAsia" w:ascii="仿宋" w:hAnsi="仿宋" w:eastAsia="仿宋" w:cs="仿宋"/>
          <w:sz w:val="30"/>
          <w:szCs w:val="30"/>
          <w:shd w:val="clear" w:fill="FFFFFF"/>
          <w:lang w:val="en-US" w:eastAsia="zh-CN"/>
        </w:rPr>
        <w:t>内设</w:t>
      </w:r>
      <w:r>
        <w:rPr>
          <w:rFonts w:hint="eastAsia" w:ascii="仿宋" w:hAnsi="仿宋" w:eastAsia="仿宋" w:cs="仿宋"/>
          <w:sz w:val="30"/>
          <w:szCs w:val="30"/>
          <w:shd w:val="clear" w:fill="FFFFFF"/>
        </w:rPr>
        <w:t>机构，包括办公室、</w:t>
      </w:r>
      <w:r>
        <w:rPr>
          <w:rFonts w:hint="eastAsia" w:eastAsia="仿宋_GB2312" w:cs="仿宋_GB2312"/>
          <w:sz w:val="32"/>
          <w:szCs w:val="32"/>
        </w:rPr>
        <w:t>综合股（县国民经济动员办公室）</w:t>
      </w:r>
      <w:r>
        <w:rPr>
          <w:rFonts w:hint="eastAsia" w:ascii="仿宋" w:hAnsi="仿宋" w:eastAsia="仿宋" w:cs="仿宋"/>
          <w:sz w:val="30"/>
          <w:szCs w:val="30"/>
          <w:shd w:val="clear" w:fill="FFFFFF"/>
        </w:rPr>
        <w:t>、</w:t>
      </w:r>
      <w:r>
        <w:rPr>
          <w:rFonts w:hint="eastAsia" w:ascii="Times New Roman" w:hAnsi="Times New Roman" w:eastAsia="仿宋_GB2312" w:cs="仿宋_GB2312"/>
          <w:sz w:val="32"/>
          <w:szCs w:val="32"/>
        </w:rPr>
        <w:t>优化经济发展环境股（法规股、招投标办）</w:t>
      </w:r>
      <w:r>
        <w:rPr>
          <w:rFonts w:hint="eastAsia" w:ascii="仿宋" w:hAnsi="仿宋" w:eastAsia="仿宋" w:cs="仿宋"/>
          <w:sz w:val="30"/>
          <w:szCs w:val="30"/>
          <w:shd w:val="clear" w:fill="FFFFFF"/>
        </w:rPr>
        <w:t>、</w:t>
      </w:r>
      <w:r>
        <w:rPr>
          <w:rFonts w:hint="eastAsia" w:eastAsia="仿宋_GB2312" w:cs="仿宋_GB2312"/>
          <w:sz w:val="32"/>
          <w:szCs w:val="32"/>
        </w:rPr>
        <w:t>投资管理和评估督导股</w:t>
      </w:r>
      <w:r>
        <w:rPr>
          <w:rFonts w:hint="eastAsia" w:eastAsia="仿宋_GB2312" w:cs="仿宋_GB2312"/>
          <w:sz w:val="32"/>
          <w:szCs w:val="32"/>
          <w:lang w:eastAsia="zh-CN"/>
        </w:rPr>
        <w:t>、</w:t>
      </w:r>
      <w:r>
        <w:rPr>
          <w:rFonts w:hint="eastAsia" w:ascii="仿宋_GB2312" w:eastAsia="仿宋_GB2312"/>
          <w:sz w:val="32"/>
          <w:szCs w:val="32"/>
        </w:rPr>
        <w:t>行政审批股（互联网+监督）</w:t>
      </w:r>
      <w:r>
        <w:rPr>
          <w:rFonts w:hint="eastAsia" w:ascii="仿宋" w:hAnsi="仿宋" w:eastAsia="仿宋" w:cs="仿宋"/>
          <w:sz w:val="30"/>
          <w:szCs w:val="30"/>
          <w:shd w:val="clear" w:fill="FFFFFF"/>
        </w:rPr>
        <w:t>、</w:t>
      </w:r>
      <w:r>
        <w:rPr>
          <w:rFonts w:hint="eastAsia" w:eastAsia="仿宋_GB2312" w:cs="仿宋_GB2312"/>
          <w:sz w:val="32"/>
          <w:szCs w:val="32"/>
        </w:rPr>
        <w:t>农村经济股（易地搬迁、以工代赈办、指导粮食行业发展股）</w:t>
      </w:r>
      <w:r>
        <w:rPr>
          <w:rFonts w:hint="eastAsia" w:eastAsia="仿宋_GB2312" w:cs="仿宋_GB2312"/>
          <w:sz w:val="32"/>
          <w:szCs w:val="32"/>
          <w:lang w:eastAsia="zh-CN"/>
        </w:rPr>
        <w:t>、</w:t>
      </w:r>
      <w:r>
        <w:rPr>
          <w:rFonts w:hint="eastAsia" w:ascii="Times New Roman" w:hAnsi="Times New Roman" w:eastAsia="仿宋_GB2312" w:cs="Times New Roman"/>
          <w:spacing w:val="-4"/>
          <w:sz w:val="32"/>
          <w:szCs w:val="32"/>
        </w:rPr>
        <w:t>服务业和基础产业股（工业和高技术产业股）</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仿宋_GB2312"/>
          <w:sz w:val="32"/>
          <w:szCs w:val="32"/>
        </w:rPr>
        <w:t>社会发展和地区经济股</w:t>
      </w:r>
      <w:r>
        <w:rPr>
          <w:rFonts w:hint="eastAsia" w:ascii="Times New Roman" w:hAnsi="Times New Roman" w:eastAsia="仿宋_GB2312" w:cs="仿宋_GB2312"/>
          <w:sz w:val="32"/>
          <w:szCs w:val="32"/>
          <w:lang w:eastAsia="zh-CN"/>
        </w:rPr>
        <w:t>、</w:t>
      </w:r>
      <w:r>
        <w:rPr>
          <w:rFonts w:hint="eastAsia" w:eastAsia="仿宋_GB2312" w:cs="仿宋_GB2312"/>
          <w:sz w:val="32"/>
          <w:szCs w:val="32"/>
        </w:rPr>
        <w:t>资源环境股（能源股）</w:t>
      </w:r>
      <w:r>
        <w:rPr>
          <w:rFonts w:hint="eastAsia" w:eastAsia="仿宋_GB2312" w:cs="仿宋_GB2312"/>
          <w:sz w:val="32"/>
          <w:szCs w:val="32"/>
          <w:lang w:eastAsia="zh-CN"/>
        </w:rPr>
        <w:t>、</w:t>
      </w:r>
      <w:r>
        <w:rPr>
          <w:rFonts w:hint="eastAsia" w:eastAsia="仿宋_GB2312" w:cs="仿宋_GB2312"/>
          <w:sz w:val="32"/>
          <w:szCs w:val="32"/>
        </w:rPr>
        <w:t>物价和行政事业收费管理股</w:t>
      </w:r>
      <w:r>
        <w:rPr>
          <w:rFonts w:hint="eastAsia" w:eastAsia="仿宋_GB2312" w:cs="仿宋_GB2312"/>
          <w:sz w:val="32"/>
          <w:szCs w:val="32"/>
          <w:lang w:eastAsia="zh-CN"/>
        </w:rPr>
        <w:t>、</w:t>
      </w:r>
      <w:r>
        <w:rPr>
          <w:rFonts w:eastAsia="仿宋_GB2312" w:cs="仿宋_GB2312"/>
          <w:sz w:val="32"/>
          <w:szCs w:val="32"/>
        </w:rPr>
        <w:t>粮</w:t>
      </w:r>
      <w:r>
        <w:rPr>
          <w:rFonts w:hint="eastAsia" w:eastAsia="仿宋_GB2312" w:cs="仿宋_GB2312"/>
          <w:sz w:val="32"/>
          <w:szCs w:val="32"/>
        </w:rPr>
        <w:t>食和</w:t>
      </w:r>
      <w:r>
        <w:rPr>
          <w:rFonts w:eastAsia="仿宋_GB2312" w:cs="仿宋_GB2312"/>
          <w:sz w:val="32"/>
          <w:szCs w:val="32"/>
        </w:rPr>
        <w:t>物资储备</w:t>
      </w:r>
      <w:r>
        <w:rPr>
          <w:rFonts w:hint="eastAsia" w:eastAsia="仿宋_GB2312" w:cs="仿宋_GB2312"/>
          <w:sz w:val="32"/>
          <w:szCs w:val="32"/>
        </w:rPr>
        <w:t>管理股</w:t>
      </w:r>
      <w:r>
        <w:rPr>
          <w:rFonts w:hint="eastAsia" w:eastAsia="仿宋_GB2312" w:cs="仿宋_GB2312"/>
          <w:sz w:val="32"/>
          <w:szCs w:val="32"/>
          <w:lang w:eastAsia="zh-CN"/>
        </w:rPr>
        <w:t>。</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_GB2312" w:eastAsia="仿宋_GB2312"/>
          <w:b/>
          <w:sz w:val="32"/>
          <w:szCs w:val="32"/>
        </w:rPr>
      </w:pPr>
      <w:r>
        <w:rPr>
          <w:rFonts w:hint="eastAsia" w:eastAsia="仿宋_GB2312" w:cs="仿宋_GB2312"/>
          <w:sz w:val="32"/>
          <w:szCs w:val="32"/>
          <w:lang w:val="en-US" w:eastAsia="zh-CN"/>
        </w:rPr>
        <w:t>临武县发展和改革局现实有编制48个，其中行政编制12个，事业编制31个，自筹编制（财政未统发）5个。含临武县价格成本调查队的2个全拨编制和2个自筹（财政未统发）编制；临武县粮食和物资储备管理局3个自筹（财政未统发）编制。实有在职人数55人，其中行政编制26人，事业编制25人，自筹（财政未统发）编制5人。退休人员65人，临聘人员5人。</w:t>
      </w:r>
    </w:p>
    <w:p>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）拟订并组织实施全县国民经济和社会发展战略、中长</w:t>
      </w:r>
      <w:r>
        <w:rPr>
          <w:rFonts w:hint="eastAsia" w:ascii="仿宋" w:hAnsi="仿宋" w:eastAsia="仿宋" w:cs="仿宋"/>
          <w:spacing w:val="2"/>
          <w:sz w:val="30"/>
          <w:szCs w:val="30"/>
        </w:rPr>
        <w:t>期规划和年度计划，统筹协调相关总体规划、区域规划与专项规划；提出全县国民经济发展、价格总水平调控和优化重大经济结构的目标、政策，提出综合运用各种经济手段和政策的建议，受县政府委托向县人民代表大会提交国民经济和社会发展计划报告。</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研究分析全县宏观经济运行、总量平衡、经济安全和总体产业安全等重要问题并提出宏观调控政策建议，协调解决经济运行中的重大问题。组织开展重大战略规划、重大政策、重大工程等评估指导，提出相关调整建议。</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）汇</w:t>
      </w:r>
      <w:r>
        <w:rPr>
          <w:rFonts w:hint="eastAsia" w:ascii="仿宋" w:hAnsi="仿宋" w:eastAsia="仿宋" w:cs="仿宋"/>
          <w:spacing w:val="-6"/>
          <w:sz w:val="30"/>
          <w:szCs w:val="30"/>
        </w:rPr>
        <w:t>总社会资金总体运行情况，参与制定财政、金融、土地政策并综合分析政策执行效果。会同有关部门完善宏观调控协调机制，统筹推进产业、创业等投资基金的发展和制度建设。</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指导推进和综合协调全县经济体制改革，研究全县经济体制改革和对外开放重大问题，组织拟订综合性经济体制改革方案，协调有关专项改革方案。会同有关部门搞好专项改革之间的衔接。指导经济体制改革试点和改革试验区工作，组织推进“两型”社会建设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拟订全县固定资产投资总规模和投资结构的调控目标、政策及措施。负责中央、省、市财政性建设资金项目的申报。提出财政性建设资金和专项建设资金安排意见，指导和监督政策性贷款的使用方向。规划全县重大建设项目和生产力布局，按规定权限审批、核准、审核、备案跨地区、跨行业、跨领域和涉及综合平衡、重大布局的重大建设项目、外资项目、境外投资项目。研究提出全县利用外资和境外投资的战略、规划、总量平衡和结构优化的目标和政策。指导和监督国外贷款建设资金的使用，引导民间投资方向。研究提出县重点建设项目计划。</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组织拟订综合性产业政策，负责协调第一、二、三产业发展的重大问题并衔接平衡相关发展规划和重大政策，负责统筹交通运输体系发展规划与国民经济和社会发展规划的衔接平衡；协调农业和农村经济社会发展的重大问题。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贯彻落实国家中部崛起、长江经济带开发建设的政策措施。研究分析县域经济和城镇化发展情况，组织编制区域规划并协调实施。拟订促进老少边穷地区加快发展的战略、规划和重大政策，拟订并组织实施全县易地扶贫搬迁和以工代赈规划和计划。会同有关部门研究拟订全县城镇化发展战略和重大政策措施；制定开发区发展规划和政策。负责开发区设立、调区、扩区审核、申报以及发展情况调度、统计、考核等工作，协调开发区发展有关矛盾和问题。统筹协调区域合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）承担重要商品总量平衡和宏观调控，编制重要农产品、工业品和原材料进出口总量平衡计划并监督执行，根据经济运行情况对计划进行调整。</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负责社会发展与国民经济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10</w:t>
      </w:r>
      <w:r>
        <w:rPr>
          <w:rFonts w:hint="eastAsia" w:ascii="仿宋" w:hAnsi="仿宋" w:eastAsia="仿宋" w:cs="仿宋"/>
          <w:sz w:val="30"/>
          <w:szCs w:val="30"/>
        </w:rPr>
        <w:t>）研究分析经济社会与资源、环境协调发展的重大问题，研究提出能源消费总量控制目标的建议，牵头拟订能源消费总量控制工作方案并组织实施。负责节能降耗的综合协调工作，组织拟订发展循环经济、能源资源节约和综合利用规划、政策并协调实施。负责全县节能监察、考核的组织、指导、协</w:t>
      </w:r>
      <w:r>
        <w:rPr>
          <w:rFonts w:hint="eastAsia" w:ascii="仿宋" w:hAnsi="仿宋" w:eastAsia="仿宋" w:cs="仿宋"/>
          <w:spacing w:val="-6"/>
          <w:sz w:val="30"/>
          <w:szCs w:val="30"/>
        </w:rPr>
        <w:t>调。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p>
    <w:p>
      <w:pPr>
        <w:pStyle w:val="3"/>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11</w:t>
      </w:r>
      <w:r>
        <w:rPr>
          <w:rFonts w:hint="eastAsia" w:ascii="仿宋" w:hAnsi="仿宋" w:eastAsia="仿宋" w:cs="仿宋"/>
          <w:sz w:val="30"/>
          <w:szCs w:val="30"/>
        </w:rPr>
        <w:t>）拟订并组织实施全县能源发展战略、规划和政策，推进全县能源体制改革。组织拟订并实施煤炭、石油、天然气、电力、新能源和再生能源产业政策，组织实施相关产业（煤炭除外）标准，指导、协调农村能源发展。研究提出煤炭资源合理开发利用意见并指导实施，组织实施煤炭产业结构调整，统筹协调煤炭物流规划布局。会同有关部门负责全县煤矿生产能力监管的指导工作，协调有关部门推进煤气层开发、淘汰煤炭落后产能工作。承担能源预测预警和相关信息发布，负责全县石油、天然气储备管理和管道保护相关工作。组织、指导推进能源科技进步。拟订并监督实施电力普遍服务政策。</w:t>
      </w:r>
    </w:p>
    <w:p>
      <w:pPr>
        <w:pStyle w:val="3"/>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12</w:t>
      </w:r>
      <w:r>
        <w:rPr>
          <w:rFonts w:hint="eastAsia" w:ascii="仿宋" w:hAnsi="仿宋" w:eastAsia="仿宋" w:cs="仿宋"/>
          <w:sz w:val="30"/>
          <w:szCs w:val="30"/>
        </w:rPr>
        <w:t>）编制和执行全县价格改革规划，拟订并组织实施价格政策。监测、分析市场价格形势，组织实施价格总水平调控。管理国家、省市列名管理的商品和服务价格，监管实行市场调节价的商品和服务价格，承担行政事业性收费管理工作。组织实施价格调节基金政策，依法对重大自然灾害和特殊时期实施临时价格干预措施，负责价格公共服务工作。承担涉案物品价格鉴证管理工作。负责价格成本调查和监审工作。</w:t>
      </w:r>
    </w:p>
    <w:p>
      <w:pPr>
        <w:pStyle w:val="3"/>
        <w:spacing w:line="552" w:lineRule="exact"/>
        <w:ind w:firstLine="600" w:firstLineChars="200"/>
        <w:rPr>
          <w:rFonts w:hint="eastAsia" w:ascii="仿宋" w:hAnsi="仿宋" w:eastAsia="仿宋" w:cs="仿宋"/>
          <w:spacing w:val="-6"/>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13</w:t>
      </w:r>
      <w:r>
        <w:rPr>
          <w:rFonts w:hint="eastAsia" w:ascii="仿宋" w:hAnsi="仿宋" w:eastAsia="仿宋" w:cs="仿宋"/>
          <w:sz w:val="30"/>
          <w:szCs w:val="30"/>
        </w:rPr>
        <w:t>）</w:t>
      </w:r>
      <w:r>
        <w:rPr>
          <w:rFonts w:hint="eastAsia" w:ascii="仿宋" w:hAnsi="仿宋" w:eastAsia="仿宋" w:cs="仿宋"/>
          <w:spacing w:val="-6"/>
          <w:sz w:val="30"/>
          <w:szCs w:val="30"/>
        </w:rPr>
        <w:t>承担全县优化经济发展环境的职责，牵头落实国家和省、市有关鼓励市场主体投资、保护投资者权益、促进市场公平竞争、维护市场正常秩序的政务、法制、商务、信用等环境，优化重点项目建设环境，承担治理工程建设领域突出问题有关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14</w:t>
      </w:r>
      <w:r>
        <w:rPr>
          <w:rFonts w:hint="eastAsia" w:ascii="仿宋" w:hAnsi="仿宋" w:eastAsia="仿宋" w:cs="仿宋"/>
          <w:sz w:val="30"/>
          <w:szCs w:val="30"/>
        </w:rPr>
        <w:t>）</w:t>
      </w:r>
      <w:r>
        <w:rPr>
          <w:rFonts w:hint="eastAsia" w:ascii="仿宋" w:hAnsi="仿宋" w:eastAsia="仿宋" w:cs="仿宋"/>
          <w:spacing w:val="-6"/>
          <w:sz w:val="30"/>
          <w:szCs w:val="30"/>
        </w:rPr>
        <w:t>研究制定推进社会信用体系建设的规划、规范性文件、政策措施，统筹推进统一的信用信息平台建设，促进信用信息资源的整合与运用，协调社会信用体系建设的重大问题。</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15</w:t>
      </w:r>
      <w:r>
        <w:rPr>
          <w:rFonts w:hint="eastAsia" w:ascii="仿宋" w:hAnsi="仿宋" w:eastAsia="仿宋" w:cs="仿宋"/>
          <w:sz w:val="30"/>
          <w:szCs w:val="30"/>
        </w:rPr>
        <w:t>）研究拟订推进经济建设与国防建设协调发展的战略和规划，协调有关重大问题。组织编制全县国民经济动员和装备动员规划、计划，并组织实施有关工作。</w:t>
      </w:r>
    </w:p>
    <w:p>
      <w:pPr>
        <w:spacing w:line="55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16</w:t>
      </w:r>
      <w:r>
        <w:rPr>
          <w:rFonts w:hint="eastAsia" w:ascii="仿宋" w:hAnsi="仿宋" w:eastAsia="仿宋" w:cs="仿宋"/>
          <w:sz w:val="30"/>
          <w:szCs w:val="30"/>
        </w:rPr>
        <w:t>）指导、协调、管理、监督全县招投标工作。负责政府投资项目代建制实施的指导、协调和监督管理。指导工程咨询业发展。</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17</w:t>
      </w:r>
      <w:r>
        <w:rPr>
          <w:rFonts w:hint="eastAsia" w:ascii="仿宋" w:hAnsi="仿宋" w:eastAsia="仿宋" w:cs="仿宋"/>
          <w:sz w:val="30"/>
          <w:szCs w:val="30"/>
        </w:rPr>
        <w:t>）研究提出全县粮食宏观调控及粮食流通的中长期规划，拟订全县粮食市场体系建设与发展规划。拟订重要战略物资和</w:t>
      </w:r>
      <w:r>
        <w:rPr>
          <w:rFonts w:hint="eastAsia" w:ascii="仿宋" w:hAnsi="仿宋" w:eastAsia="仿宋" w:cs="仿宋"/>
          <w:sz w:val="30"/>
          <w:szCs w:val="30"/>
          <w:lang w:eastAsia="zh-CN"/>
        </w:rPr>
        <w:t>应急储备物资</w:t>
      </w:r>
      <w:r>
        <w:rPr>
          <w:rFonts w:hint="eastAsia" w:ascii="仿宋" w:hAnsi="仿宋" w:eastAsia="仿宋" w:cs="仿宋"/>
          <w:sz w:val="30"/>
          <w:szCs w:val="30"/>
        </w:rPr>
        <w:t>的储备规划，负责组织全县战略和</w:t>
      </w:r>
      <w:r>
        <w:rPr>
          <w:rFonts w:hint="eastAsia" w:ascii="仿宋" w:hAnsi="仿宋" w:eastAsia="仿宋" w:cs="仿宋"/>
          <w:sz w:val="30"/>
          <w:szCs w:val="30"/>
          <w:lang w:eastAsia="zh-CN"/>
        </w:rPr>
        <w:t>应急储备物资</w:t>
      </w:r>
      <w:r>
        <w:rPr>
          <w:rFonts w:hint="eastAsia" w:ascii="仿宋" w:hAnsi="仿宋" w:eastAsia="仿宋" w:cs="仿宋"/>
          <w:sz w:val="30"/>
          <w:szCs w:val="30"/>
        </w:rPr>
        <w:t>的收储、动用、轮换和管理，负责管理粮食、棉花、食糖等重要物资和商品的县级储备。负责地方粮食等</w:t>
      </w:r>
      <w:r>
        <w:rPr>
          <w:rFonts w:hint="eastAsia" w:ascii="仿宋" w:hAnsi="仿宋" w:eastAsia="仿宋" w:cs="仿宋"/>
          <w:sz w:val="30"/>
          <w:szCs w:val="30"/>
          <w:lang w:eastAsia="zh-CN"/>
        </w:rPr>
        <w:t>物资储备</w:t>
      </w:r>
      <w:r>
        <w:rPr>
          <w:rFonts w:hint="eastAsia" w:ascii="仿宋" w:hAnsi="仿宋" w:eastAsia="仿宋" w:cs="仿宋"/>
          <w:sz w:val="30"/>
          <w:szCs w:val="30"/>
        </w:rPr>
        <w:t>基础设施和管理，负责粮食流通、加工行业发展的指导和管理。研究拟订全县</w:t>
      </w:r>
      <w:r>
        <w:rPr>
          <w:rFonts w:hint="eastAsia" w:ascii="仿宋" w:hAnsi="仿宋" w:eastAsia="仿宋" w:cs="仿宋"/>
          <w:kern w:val="0"/>
          <w:sz w:val="30"/>
          <w:szCs w:val="30"/>
        </w:rPr>
        <w:t>粮食、</w:t>
      </w:r>
      <w:r>
        <w:rPr>
          <w:rFonts w:hint="eastAsia" w:ascii="仿宋" w:hAnsi="仿宋" w:eastAsia="仿宋" w:cs="仿宋"/>
          <w:sz w:val="30"/>
          <w:szCs w:val="30"/>
        </w:rPr>
        <w:t>重要消费品、救灾物资</w:t>
      </w:r>
      <w:r>
        <w:rPr>
          <w:rFonts w:hint="eastAsia" w:ascii="仿宋" w:hAnsi="仿宋" w:eastAsia="仿宋" w:cs="仿宋"/>
          <w:kern w:val="0"/>
          <w:sz w:val="30"/>
          <w:szCs w:val="30"/>
        </w:rPr>
        <w:t>储备管理</w:t>
      </w:r>
      <w:r>
        <w:rPr>
          <w:rFonts w:hint="eastAsia" w:ascii="仿宋" w:hAnsi="仿宋" w:eastAsia="仿宋" w:cs="仿宋"/>
          <w:sz w:val="30"/>
          <w:szCs w:val="30"/>
        </w:rPr>
        <w:t>的有关规章制度，协调解决有关重大问题。</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18</w:t>
      </w:r>
      <w:r>
        <w:rPr>
          <w:rFonts w:hint="eastAsia" w:ascii="仿宋" w:hAnsi="仿宋" w:eastAsia="仿宋" w:cs="仿宋"/>
          <w:sz w:val="30"/>
          <w:szCs w:val="30"/>
        </w:rPr>
        <w:t>）负责本行业领域安全生产监督管理和食品安全有关监督管理。</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19</w:t>
      </w:r>
      <w:r>
        <w:rPr>
          <w:rFonts w:hint="eastAsia" w:ascii="仿宋" w:hAnsi="仿宋" w:eastAsia="仿宋" w:cs="仿宋"/>
          <w:sz w:val="30"/>
          <w:szCs w:val="30"/>
        </w:rPr>
        <w:t>）完成县委、县政府交办的其他工作。</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20</w:t>
      </w:r>
      <w:r>
        <w:rPr>
          <w:rFonts w:hint="eastAsia" w:ascii="仿宋" w:hAnsi="仿宋" w:eastAsia="仿宋" w:cs="仿宋"/>
          <w:sz w:val="30"/>
          <w:szCs w:val="30"/>
        </w:rPr>
        <w:t>）职能转变</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1. 强化拟订全县重大发展战略、统一规划体系的职能，完善相关规划制度，做好规划统筹，精简规划数量，提高规划质量，更好发挥重大发展战略、规划导向作用。</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2. 完善宏观调控体系，创新调控方式，构建发展规划、财政、金融等政策协调和工作协同机制，强化经济监测预测预警能力，建立健全重大问题研究和政策储备工作机制，增强宏观调控前瞻性、针对性、协同性。</w:t>
      </w:r>
    </w:p>
    <w:p>
      <w:pPr>
        <w:spacing w:line="552" w:lineRule="exact"/>
        <w:ind w:firstLine="641"/>
        <w:rPr>
          <w:rFonts w:hint="eastAsia" w:ascii="仿宋" w:hAnsi="仿宋" w:eastAsia="仿宋" w:cs="仿宋"/>
          <w:b/>
          <w:bCs/>
          <w:sz w:val="30"/>
          <w:szCs w:val="30"/>
        </w:rPr>
      </w:pPr>
      <w:r>
        <w:rPr>
          <w:rFonts w:hint="eastAsia" w:ascii="仿宋" w:hAnsi="仿宋" w:eastAsia="仿宋" w:cs="仿宋"/>
          <w:sz w:val="30"/>
          <w:szCs w:val="30"/>
        </w:rPr>
        <w:t>3. 深</w:t>
      </w:r>
      <w:r>
        <w:rPr>
          <w:rFonts w:hint="eastAsia" w:ascii="仿宋" w:hAnsi="仿宋" w:eastAsia="仿宋" w:cs="仿宋"/>
          <w:spacing w:val="-6"/>
          <w:sz w:val="30"/>
          <w:szCs w:val="30"/>
        </w:rPr>
        <w:t>入推进简政放权，全面实施市场准入负面清单制度。深化投融资体制改革，最大限度减少项目审批、核准范围。深化价格改革，及时提出修订调减政府定价目录的建议，健全反映市场供求的定价机制。加快推进政府监管和公共信用信息共享。</w:t>
      </w:r>
    </w:p>
    <w:p>
      <w:pPr>
        <w:spacing w:line="552" w:lineRule="exact"/>
        <w:ind w:firstLine="641"/>
        <w:rPr>
          <w:rFonts w:hint="eastAsia" w:ascii="仿宋" w:hAnsi="仿宋" w:eastAsia="仿宋" w:cs="仿宋"/>
          <w:b w:val="0"/>
          <w:bCs w:val="0"/>
          <w:sz w:val="30"/>
          <w:szCs w:val="30"/>
        </w:rPr>
      </w:pP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）关于职责调整</w:t>
      </w:r>
    </w:p>
    <w:p>
      <w:pPr>
        <w:spacing w:line="552" w:lineRule="exact"/>
        <w:ind w:firstLine="641"/>
        <w:rPr>
          <w:rFonts w:hint="eastAsia" w:ascii="仿宋" w:hAnsi="仿宋" w:eastAsia="仿宋" w:cs="仿宋"/>
          <w:b w:val="0"/>
          <w:bCs w:val="0"/>
          <w:sz w:val="30"/>
          <w:szCs w:val="30"/>
        </w:rPr>
      </w:pPr>
      <w:r>
        <w:rPr>
          <w:rFonts w:hint="eastAsia" w:ascii="仿宋" w:hAnsi="仿宋" w:eastAsia="仿宋" w:cs="仿宋"/>
          <w:b w:val="0"/>
          <w:bCs w:val="0"/>
          <w:sz w:val="30"/>
          <w:szCs w:val="30"/>
        </w:rPr>
        <w:t>1. 划出的职能</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①将县发改局重大项目稽察职责划入县审计局。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②将县发改局价格监督检查与反垄断执法职责划入县市场监督管理局。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③将县发改局农业投资项目管理职责划入县农业农村局。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④将县发改局应对气候变化和减排职责划入郴州市生态环境局临武分局。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⑤将县发改局药品和医疗服务价格管理职责划入县医疗保障局。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⑥将县发改局组织编制并实施主体功能区规划职责划入县自然资源局。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2. 划入的职能</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①将原县农业局（县委农村工作办公室、县粮食局）的粮食管理职责划入县发改局。</w:t>
      </w:r>
    </w:p>
    <w:p>
      <w:pPr>
        <w:spacing w:line="552" w:lineRule="exact"/>
        <w:ind w:firstLine="641"/>
        <w:rPr>
          <w:rFonts w:hint="eastAsia" w:ascii="仿宋" w:hAnsi="仿宋" w:eastAsia="仿宋" w:cs="仿宋"/>
          <w:spacing w:val="-6"/>
          <w:sz w:val="30"/>
          <w:szCs w:val="30"/>
        </w:rPr>
      </w:pPr>
      <w:r>
        <w:rPr>
          <w:rFonts w:hint="eastAsia" w:ascii="仿宋" w:hAnsi="仿宋" w:eastAsia="仿宋" w:cs="仿宋"/>
          <w:sz w:val="30"/>
          <w:szCs w:val="30"/>
        </w:rPr>
        <w:t>②将</w:t>
      </w:r>
      <w:r>
        <w:rPr>
          <w:rFonts w:hint="eastAsia" w:ascii="仿宋" w:hAnsi="仿宋" w:eastAsia="仿宋" w:cs="仿宋"/>
          <w:spacing w:val="-6"/>
          <w:sz w:val="30"/>
          <w:szCs w:val="30"/>
        </w:rPr>
        <w:t>原县经济和科技商务局重要消费品储备、开发区相关管理和电力行政执法工作职责划入县发改局。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③将县民政局救灾物资储备职责划入县发改局。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④将原县直其他部门负责的物资储备相关管理职责划入县发改局。</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22</w:t>
      </w:r>
      <w:r>
        <w:rPr>
          <w:rFonts w:hint="eastAsia" w:ascii="仿宋" w:hAnsi="仿宋" w:eastAsia="仿宋" w:cs="仿宋"/>
          <w:sz w:val="30"/>
          <w:szCs w:val="30"/>
        </w:rPr>
        <w:t>）有关职责分工</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①与县科技和工业信息化局（县商务局）有关职责分工。县发改局会同县科技和工业信息化局（县商务局）配合省市发改委、省市商务局协助国家有关部委承担外商投资安全审查相关工作。县发改局负责提出外商投资产业指导目录，并与县科技和工业信息化局（县商务局）联合发布。县发改局负责组织制订并实施开发区发展规划和政策措施；负责开发区设立、调区、扩区审核、申报以及发展情况调度、统计、考核等工作，协调开发区发展有关矛盾和问题。县科技和工业信息化局负责参与</w:t>
      </w:r>
      <w:r>
        <w:rPr>
          <w:rFonts w:hint="eastAsia" w:ascii="仿宋" w:hAnsi="仿宋" w:eastAsia="仿宋" w:cs="仿宋"/>
          <w:sz w:val="30"/>
          <w:szCs w:val="30"/>
          <w:lang w:eastAsia="zh-CN"/>
        </w:rPr>
        <w:t>制定</w:t>
      </w:r>
      <w:r>
        <w:rPr>
          <w:rFonts w:hint="eastAsia" w:ascii="仿宋" w:hAnsi="仿宋" w:eastAsia="仿宋" w:cs="仿宋"/>
          <w:sz w:val="30"/>
          <w:szCs w:val="30"/>
        </w:rPr>
        <w:t>并实施开发区发展规划和政策措施，指导和推进开发区相关产业合理布局、项目进园和集群发展。</w:t>
      </w:r>
    </w:p>
    <w:p>
      <w:pPr>
        <w:spacing w:line="552" w:lineRule="exact"/>
        <w:ind w:firstLine="641"/>
        <w:rPr>
          <w:rFonts w:hint="eastAsia" w:ascii="仿宋" w:hAnsi="仿宋" w:eastAsia="仿宋" w:cs="仿宋"/>
          <w:spacing w:val="-4"/>
          <w:sz w:val="30"/>
          <w:szCs w:val="30"/>
        </w:rPr>
      </w:pPr>
      <w:r>
        <w:rPr>
          <w:rFonts w:hint="eastAsia" w:ascii="仿宋" w:hAnsi="仿宋" w:eastAsia="仿宋" w:cs="仿宋"/>
          <w:sz w:val="30"/>
          <w:szCs w:val="30"/>
        </w:rPr>
        <w:t>②与县卫生健康局有关职责分工。县发改局负责组织监测和评估人口变动情况及趋势影响，建立人口预测预报制度，开展重</w:t>
      </w:r>
      <w:r>
        <w:rPr>
          <w:rFonts w:hint="eastAsia" w:ascii="仿宋" w:hAnsi="仿宋" w:eastAsia="仿宋" w:cs="仿宋"/>
          <w:spacing w:val="-4"/>
          <w:sz w:val="30"/>
          <w:szCs w:val="30"/>
        </w:rPr>
        <w:t>大决策人口影响评估，完善重大人口政策咨询机制，研究提出全县人口发展战略，拟订人口发展规划和人口政策，研究提出人口与经济、社会、资源、环境协调可持续发展，以及统筹促进人口长期均衡发展的政策建议。县卫生健康局负责开展人口监测预警工作，研究提出与生育相关的人口数量、素质、结构、分布方面的政策建议，促进生育政策和相关经济社会政策配套衔接，参与制订人口发展规划和政策，落实县人口发展规划中的有关任务。</w:t>
      </w:r>
    </w:p>
    <w:p>
      <w:pPr>
        <w:spacing w:line="552" w:lineRule="exact"/>
        <w:ind w:firstLine="641"/>
        <w:rPr>
          <w:rFonts w:hint="eastAsia" w:ascii="仿宋" w:hAnsi="仿宋" w:eastAsia="仿宋" w:cs="仿宋"/>
          <w:sz w:val="30"/>
          <w:szCs w:val="30"/>
        </w:rPr>
      </w:pPr>
      <w:r>
        <w:rPr>
          <w:rFonts w:hint="eastAsia" w:ascii="仿宋" w:hAnsi="仿宋" w:eastAsia="仿宋" w:cs="仿宋"/>
          <w:sz w:val="30"/>
          <w:szCs w:val="30"/>
        </w:rPr>
        <w:t>③与县应急管理局有关职责分工。县发改局根据县级救灾物资储备规划、品种目录和标准、年度购置计划，负责中央、省市级下达和县级救灾物资的收储、轮换和日常管理，根据县应急管理局的动用指令按程序组织调出。县应急管理局负责提出县级救灾物资的储备需求，负责按权限提出中央、省市级下达和县级救灾物资的动用决策，组织编制县级救灾物资储备规划、品种目录和标准，确定年度购置计划，根据需要下达动用指令。</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hint="eastAsia" w:ascii="仿宋_GB2312" w:eastAsia="仿宋_GB2312"/>
          <w:b/>
          <w:sz w:val="32"/>
          <w:szCs w:val="32"/>
        </w:rPr>
      </w:pPr>
      <w:r>
        <w:rPr>
          <w:rFonts w:hint="eastAsia" w:ascii="仿宋_GB2312" w:eastAsia="仿宋_GB2312"/>
          <w:b/>
          <w:sz w:val="32"/>
          <w:szCs w:val="32"/>
        </w:rPr>
        <w:t>（一） </w:t>
      </w:r>
      <w:r>
        <w:rPr>
          <w:rFonts w:hint="eastAsia" w:ascii="仿宋_GB2312" w:eastAsia="仿宋_GB2312"/>
          <w:b/>
          <w:sz w:val="32"/>
          <w:szCs w:val="32"/>
          <w:lang w:eastAsia="zh-CN"/>
        </w:rPr>
        <w:t>2021</w:t>
      </w:r>
      <w:r>
        <w:rPr>
          <w:rFonts w:hint="eastAsia" w:ascii="仿宋_GB2312" w:eastAsia="仿宋_GB2312"/>
          <w:b/>
          <w:sz w:val="32"/>
          <w:szCs w:val="32"/>
        </w:rPr>
        <w:t>年部门预算情况</w:t>
      </w:r>
    </w:p>
    <w:p>
      <w:pPr>
        <w:spacing w:line="552" w:lineRule="exact"/>
        <w:ind w:firstLine="641"/>
        <w:rPr>
          <w:rFonts w:hint="eastAsia" w:ascii="仿宋" w:hAnsi="仿宋" w:eastAsia="仿宋" w:cs="仿宋"/>
          <w:spacing w:val="-6"/>
          <w:sz w:val="30"/>
          <w:szCs w:val="30"/>
          <w:lang w:val="en-US" w:eastAsia="zh-CN"/>
        </w:rPr>
      </w:pPr>
      <w:r>
        <w:rPr>
          <w:rFonts w:hint="eastAsia" w:ascii="仿宋" w:hAnsi="仿宋" w:eastAsia="仿宋" w:cs="仿宋"/>
          <w:spacing w:val="-6"/>
          <w:sz w:val="30"/>
          <w:szCs w:val="30"/>
          <w:lang w:val="en-US" w:eastAsia="zh-CN"/>
        </w:rPr>
        <w:t>2021年，本部门年初预算收入967.30万元，比上年减少97.70万元，减少9.17%，</w:t>
      </w:r>
      <w:r>
        <w:rPr>
          <w:rFonts w:hint="eastAsia" w:ascii="仿宋" w:hAnsi="仿宋" w:eastAsia="仿宋" w:cs="仿宋"/>
          <w:spacing w:val="-6"/>
          <w:sz w:val="30"/>
          <w:szCs w:val="30"/>
          <w:lang w:val="zh-CN" w:eastAsia="zh-CN"/>
        </w:rPr>
        <w:t>增减变化的主要原因是</w:t>
      </w:r>
      <w:r>
        <w:rPr>
          <w:rFonts w:hint="eastAsia" w:ascii="仿宋" w:hAnsi="仿宋" w:eastAsia="仿宋" w:cs="仿宋"/>
          <w:spacing w:val="-6"/>
          <w:sz w:val="30"/>
          <w:szCs w:val="30"/>
          <w:lang w:val="en-US" w:eastAsia="zh-CN"/>
        </w:rPr>
        <w:t>：运转经费厉行节俭，相应减少；项目经费粮食和物资储备库建设项目资金2020年资金已基本拨付到位，2021年度项目资金收入大幅减少。其中：一般公共预算财政拨款收入年初预算844.60万元，比上年减少220.40万元；年度执行中因单位人数变动及单位事权调整，预算跟随调整情况，主要变化是：收入调整预算数为863.85万元，本年度增加公开招聘人员，调整了部门人员经费。</w:t>
      </w:r>
    </w:p>
    <w:p>
      <w:pPr>
        <w:spacing w:line="552" w:lineRule="exact"/>
        <w:ind w:firstLine="641"/>
        <w:rPr>
          <w:rFonts w:hint="default" w:eastAsia="仿宋_GB2312" w:cs="仿宋_GB2312" w:asciiTheme="minorHAnsi" w:hAnsiTheme="minorHAnsi"/>
          <w:color w:val="auto"/>
          <w:kern w:val="2"/>
          <w:sz w:val="32"/>
          <w:szCs w:val="32"/>
          <w:lang w:val="en-US" w:eastAsia="zh-CN" w:bidi="ar-SA"/>
        </w:rPr>
      </w:pPr>
      <w:r>
        <w:rPr>
          <w:rFonts w:hint="eastAsia" w:ascii="仿宋" w:hAnsi="仿宋" w:eastAsia="仿宋" w:cs="仿宋"/>
          <w:spacing w:val="-6"/>
          <w:sz w:val="30"/>
          <w:szCs w:val="30"/>
          <w:lang w:val="en-US" w:eastAsia="zh-CN"/>
        </w:rPr>
        <w:t>2021年，本部门年初预算支出967.30万元，比上年减少97.70万元，减少9.17%，</w:t>
      </w:r>
      <w:r>
        <w:rPr>
          <w:rFonts w:hint="eastAsia" w:ascii="仿宋" w:hAnsi="仿宋" w:eastAsia="仿宋" w:cs="仿宋"/>
          <w:spacing w:val="-6"/>
          <w:sz w:val="30"/>
          <w:szCs w:val="30"/>
          <w:lang w:val="zh-CN" w:eastAsia="zh-CN"/>
        </w:rPr>
        <w:t>增减变化的主要原因是</w:t>
      </w:r>
      <w:r>
        <w:rPr>
          <w:rFonts w:hint="eastAsia" w:ascii="仿宋" w:hAnsi="仿宋" w:eastAsia="仿宋" w:cs="仿宋"/>
          <w:spacing w:val="-6"/>
          <w:sz w:val="30"/>
          <w:szCs w:val="30"/>
          <w:lang w:val="en-US" w:eastAsia="zh-CN"/>
        </w:rPr>
        <w:t>：厉行节俭，运转支出减少；项目经费粮食和物资储备库建设项目资金2020年资金已基本拨付到位，2021年度项目资金支出大幅减少。其中：基本</w:t>
      </w:r>
      <w:r>
        <w:rPr>
          <w:rFonts w:hint="eastAsia" w:ascii="仿宋" w:hAnsi="仿宋" w:eastAsia="仿宋" w:cs="仿宋"/>
          <w:spacing w:val="-6"/>
          <w:sz w:val="30"/>
          <w:szCs w:val="30"/>
          <w:lang w:val="zh-CN" w:eastAsia="zh-CN"/>
        </w:rPr>
        <w:t>支出</w:t>
      </w:r>
      <w:r>
        <w:rPr>
          <w:rFonts w:hint="eastAsia" w:ascii="仿宋" w:hAnsi="仿宋" w:eastAsia="仿宋" w:cs="仿宋"/>
          <w:spacing w:val="-6"/>
          <w:sz w:val="30"/>
          <w:szCs w:val="30"/>
          <w:lang w:val="en-US" w:eastAsia="zh-CN"/>
        </w:rPr>
        <w:t>年初预算640.60万元，比上年减少42.40万元，减少6.21%；项目支出年初预算326.70万元，比上年减少55.20万元，减少14.48%。年度执行中因单位人数变动及单位事权调整，预算跟随调整情况</w:t>
      </w:r>
      <w:r>
        <w:rPr>
          <w:rFonts w:hint="eastAsia" w:eastAsia="仿宋_GB2312" w:cs="仿宋_GB2312" w:asciiTheme="minorHAnsi" w:hAnsiTheme="minorHAnsi"/>
          <w:color w:val="auto"/>
          <w:kern w:val="2"/>
          <w:sz w:val="32"/>
          <w:szCs w:val="32"/>
          <w:lang w:val="en-US" w:eastAsia="zh-CN" w:bidi="ar-SA"/>
        </w:rPr>
        <w:t>。</w:t>
      </w:r>
    </w:p>
    <w:p>
      <w:pPr>
        <w:ind w:firstLine="643" w:firstLineChars="200"/>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2021</w:t>
      </w:r>
      <w:r>
        <w:rPr>
          <w:rFonts w:hint="eastAsia" w:ascii="仿宋_GB2312" w:eastAsia="仿宋_GB2312"/>
          <w:b/>
          <w:sz w:val="32"/>
          <w:szCs w:val="32"/>
        </w:rPr>
        <w:t>年度部门决算情况</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1、全年收入情况</w:t>
      </w:r>
    </w:p>
    <w:p>
      <w:pPr>
        <w:spacing w:line="552" w:lineRule="exact"/>
        <w:ind w:firstLine="641"/>
        <w:rPr>
          <w:rFonts w:hint="eastAsia" w:ascii="仿宋" w:hAnsi="仿宋" w:eastAsia="仿宋" w:cs="仿宋"/>
          <w:spacing w:val="-6"/>
          <w:sz w:val="30"/>
          <w:szCs w:val="30"/>
          <w:lang w:val="en-US" w:eastAsia="zh-CN"/>
        </w:rPr>
      </w:pPr>
      <w:r>
        <w:rPr>
          <w:rFonts w:hint="eastAsia" w:ascii="仿宋" w:hAnsi="仿宋" w:eastAsia="仿宋" w:cs="仿宋"/>
          <w:spacing w:val="-6"/>
          <w:sz w:val="30"/>
          <w:szCs w:val="30"/>
          <w:lang w:val="en-US" w:eastAsia="zh-CN"/>
        </w:rPr>
        <w:t>2021年收入实际完成863.85万元，比上年减少287.33万元，减少24.96%。主要是因为运转经费厉行节俭，相应减少；项目经费粮食和物资储备库建设项目资金2020年资金已基本拨付到位，2021年度项目资金收入大幅减少。其中：一般公共预算财政拨款收入完成863.85万元，收入与上年相比，减少394.80万元，减少31.37%，主要是因为厉行节俭，运转支出减少；项目经费粮食和物资储备库建设项目资金2020年资金已基本拨付到位，2021年度项目资金支出大幅减少。</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2、全年支出情况</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ascii="仿宋" w:hAnsi="仿宋" w:eastAsia="仿宋" w:cs="仿宋"/>
          <w:spacing w:val="-6"/>
          <w:sz w:val="30"/>
          <w:szCs w:val="30"/>
          <w:lang w:val="en-US" w:eastAsia="zh-CN"/>
        </w:rPr>
        <w:t>2021年，本部门支出863.85万元，减少225.70万元，增长24.39%；</w:t>
      </w:r>
      <w:r>
        <w:rPr>
          <w:rFonts w:hint="eastAsia" w:ascii="仿宋" w:hAnsi="仿宋" w:eastAsia="仿宋" w:cs="仿宋"/>
          <w:spacing w:val="-6"/>
          <w:sz w:val="30"/>
          <w:szCs w:val="30"/>
          <w:lang w:val="zh-CN" w:eastAsia="zh-CN"/>
        </w:rPr>
        <w:t>变化的主要原因</w:t>
      </w:r>
      <w:r>
        <w:rPr>
          <w:rFonts w:hint="eastAsia" w:ascii="仿宋" w:hAnsi="仿宋" w:eastAsia="仿宋" w:cs="仿宋"/>
          <w:spacing w:val="-6"/>
          <w:sz w:val="30"/>
          <w:szCs w:val="30"/>
          <w:lang w:val="en-US" w:eastAsia="zh-CN"/>
        </w:rPr>
        <w:t>：原粮食局、重点办人员转隶到发改局，增加了人员工资和相关运转支出；新增以工代赈、“十四五”规划编制和三个推进年项目、粮食储备库支出，项目支出增加其中：基本支出完成642.11万元，比上年减少99.65万元，</w:t>
      </w:r>
      <w:bookmarkStart w:id="0" w:name="_GoBack"/>
      <w:bookmarkEnd w:id="0"/>
      <w:r>
        <w:rPr>
          <w:rFonts w:hint="eastAsia" w:ascii="仿宋" w:hAnsi="仿宋" w:eastAsia="仿宋" w:cs="仿宋"/>
          <w:spacing w:val="-6"/>
          <w:sz w:val="30"/>
          <w:szCs w:val="30"/>
          <w:lang w:val="en-US" w:eastAsia="zh-CN"/>
        </w:rPr>
        <w:t>减少13.42%，</w:t>
      </w:r>
      <w:r>
        <w:rPr>
          <w:rFonts w:hint="eastAsia" w:ascii="仿宋" w:hAnsi="仿宋" w:eastAsia="仿宋" w:cs="仿宋"/>
          <w:spacing w:val="-6"/>
          <w:sz w:val="30"/>
          <w:szCs w:val="30"/>
          <w:lang w:val="zh-CN" w:eastAsia="zh-CN"/>
        </w:rPr>
        <w:t>变化的主要原因：</w:t>
      </w:r>
      <w:r>
        <w:rPr>
          <w:rFonts w:hint="eastAsia" w:ascii="仿宋" w:hAnsi="仿宋" w:eastAsia="仿宋" w:cs="仿宋"/>
          <w:spacing w:val="-6"/>
          <w:sz w:val="30"/>
          <w:szCs w:val="30"/>
          <w:lang w:val="en-US" w:eastAsia="zh-CN"/>
        </w:rPr>
        <w:t>运转经费厉行节俭，相应减少。项目支出221.75万元，比上年减少187.76万元，减少45.85%；</w:t>
      </w:r>
      <w:r>
        <w:rPr>
          <w:rFonts w:hint="eastAsia" w:ascii="仿宋" w:hAnsi="仿宋" w:eastAsia="仿宋" w:cs="仿宋"/>
          <w:spacing w:val="-6"/>
          <w:sz w:val="30"/>
          <w:szCs w:val="30"/>
          <w:lang w:val="zh-CN" w:eastAsia="zh-CN"/>
        </w:rPr>
        <w:t>变化的主要原因：</w:t>
      </w:r>
      <w:r>
        <w:rPr>
          <w:rFonts w:hint="eastAsia" w:ascii="仿宋" w:hAnsi="仿宋" w:eastAsia="仿宋" w:cs="仿宋"/>
          <w:spacing w:val="-6"/>
          <w:sz w:val="30"/>
          <w:szCs w:val="30"/>
          <w:lang w:val="en-US" w:eastAsia="zh-CN"/>
        </w:rPr>
        <w:t>粮食和物资储备库建设项目资金2020年资金已基本拨付到位，2021年度项目资金支出大幅减少。</w:t>
      </w:r>
      <w:r>
        <w:rPr>
          <w:rFonts w:hint="eastAsia" w:ascii="仿宋" w:hAnsi="仿宋" w:eastAsia="仿宋" w:cs="仿宋"/>
          <w:spacing w:val="-6"/>
          <w:sz w:val="30"/>
          <w:szCs w:val="30"/>
          <w:lang w:val="zh-CN" w:eastAsia="zh-CN"/>
        </w:rPr>
        <w:t>人员经费</w:t>
      </w:r>
      <w:r>
        <w:rPr>
          <w:rFonts w:hint="eastAsia" w:ascii="仿宋" w:hAnsi="仿宋" w:eastAsia="仿宋" w:cs="仿宋"/>
          <w:spacing w:val="-6"/>
          <w:sz w:val="30"/>
          <w:szCs w:val="30"/>
          <w:lang w:val="en-US" w:eastAsia="zh-CN"/>
        </w:rPr>
        <w:t>完成567.17万元，比上年减少90.40万元，减少13.71%，</w:t>
      </w:r>
      <w:r>
        <w:rPr>
          <w:rFonts w:hint="eastAsia" w:ascii="仿宋" w:hAnsi="仿宋" w:eastAsia="仿宋" w:cs="仿宋"/>
          <w:spacing w:val="-6"/>
          <w:sz w:val="30"/>
          <w:szCs w:val="30"/>
          <w:lang w:val="zh-CN" w:eastAsia="zh-CN"/>
        </w:rPr>
        <w:t>变化的主要原因：</w:t>
      </w:r>
      <w:r>
        <w:rPr>
          <w:rFonts w:hint="eastAsia" w:ascii="仿宋" w:hAnsi="仿宋" w:eastAsia="仿宋" w:cs="仿宋"/>
          <w:spacing w:val="-6"/>
          <w:sz w:val="30"/>
          <w:szCs w:val="30"/>
          <w:lang w:val="en-US" w:eastAsia="zh-CN"/>
        </w:rPr>
        <w:t>严格八项规定，厉行节俭；公用</w:t>
      </w:r>
      <w:r>
        <w:rPr>
          <w:rFonts w:hint="eastAsia" w:ascii="仿宋" w:hAnsi="仿宋" w:eastAsia="仿宋" w:cs="仿宋"/>
          <w:spacing w:val="-6"/>
          <w:sz w:val="30"/>
          <w:szCs w:val="30"/>
          <w:lang w:val="zh-CN" w:eastAsia="zh-CN"/>
        </w:rPr>
        <w:t>经费</w:t>
      </w:r>
      <w:r>
        <w:rPr>
          <w:rFonts w:hint="eastAsia" w:ascii="仿宋" w:hAnsi="仿宋" w:eastAsia="仿宋" w:cs="仿宋"/>
          <w:spacing w:val="-6"/>
          <w:sz w:val="30"/>
          <w:szCs w:val="30"/>
          <w:lang w:val="en-US" w:eastAsia="zh-CN"/>
        </w:rPr>
        <w:t>完成72.94万元，比上年减9.16万元，下降11.16%，</w:t>
      </w:r>
      <w:r>
        <w:rPr>
          <w:rFonts w:hint="eastAsia" w:ascii="仿宋" w:hAnsi="仿宋" w:eastAsia="仿宋" w:cs="仿宋"/>
          <w:spacing w:val="-6"/>
          <w:sz w:val="30"/>
          <w:szCs w:val="30"/>
          <w:lang w:val="zh-CN" w:eastAsia="zh-CN"/>
        </w:rPr>
        <w:t>变化的主要原因：</w:t>
      </w:r>
      <w:r>
        <w:rPr>
          <w:rFonts w:hint="eastAsia" w:ascii="仿宋" w:hAnsi="仿宋" w:eastAsia="仿宋" w:cs="仿宋"/>
          <w:spacing w:val="-6"/>
          <w:sz w:val="30"/>
          <w:szCs w:val="30"/>
          <w:lang w:val="en-US" w:eastAsia="zh-CN"/>
        </w:rPr>
        <w:t>公用经费压减</w:t>
      </w:r>
      <w:r>
        <w:rPr>
          <w:rFonts w:hint="eastAsia" w:ascii="仿宋" w:hAnsi="仿宋" w:eastAsia="仿宋" w:cs="仿宋"/>
          <w:spacing w:val="-6"/>
          <w:sz w:val="30"/>
          <w:szCs w:val="30"/>
          <w:lang w:val="zh-CN" w:eastAsia="zh-CN"/>
        </w:rPr>
        <w:t>。</w:t>
      </w:r>
    </w:p>
    <w:p>
      <w:pPr>
        <w:spacing w:line="360" w:lineRule="auto"/>
        <w:ind w:firstLine="640"/>
        <w:rPr>
          <w:rFonts w:hint="eastAsia" w:eastAsia="仿宋_GB2312" w:cs="仿宋_GB2312" w:asciiTheme="minorHAnsi" w:hAnsiTheme="minorHAnsi"/>
          <w:color w:val="auto"/>
          <w:kern w:val="2"/>
          <w:sz w:val="32"/>
          <w:szCs w:val="32"/>
          <w:lang w:val="en-US" w:eastAsia="zh-CN" w:bidi="ar-SA"/>
        </w:rPr>
      </w:pPr>
      <w:r>
        <w:rPr>
          <w:rFonts w:hint="eastAsia" w:eastAsia="仿宋_GB2312" w:cs="仿宋_GB2312" w:asciiTheme="minorHAnsi" w:hAnsiTheme="minorHAnsi"/>
          <w:color w:val="auto"/>
          <w:kern w:val="2"/>
          <w:sz w:val="32"/>
          <w:szCs w:val="32"/>
          <w:lang w:val="en-US" w:eastAsia="zh-CN" w:bidi="ar-SA"/>
        </w:rPr>
        <w:t>3、结转结余情况</w:t>
      </w:r>
    </w:p>
    <w:p>
      <w:pPr>
        <w:spacing w:line="360" w:lineRule="auto"/>
        <w:ind w:firstLine="640"/>
        <w:rPr>
          <w:rFonts w:hint="default" w:eastAsia="仿宋_GB2312" w:cs="仿宋_GB2312" w:asciiTheme="minorHAnsi" w:hAnsiTheme="minorHAnsi"/>
          <w:color w:val="auto"/>
          <w:kern w:val="2"/>
          <w:sz w:val="32"/>
          <w:szCs w:val="32"/>
          <w:lang w:val="en-US" w:eastAsia="zh-CN" w:bidi="ar-SA"/>
        </w:rPr>
      </w:pPr>
      <w:r>
        <w:rPr>
          <w:rFonts w:hint="eastAsia" w:eastAsia="仿宋_GB2312" w:cs="仿宋_GB2312"/>
          <w:color w:val="auto"/>
          <w:kern w:val="2"/>
          <w:sz w:val="32"/>
          <w:szCs w:val="32"/>
          <w:lang w:val="en-US" w:eastAsia="zh-CN" w:bidi="ar-SA"/>
        </w:rPr>
        <w:t>2021</w:t>
      </w:r>
      <w:r>
        <w:rPr>
          <w:rFonts w:hint="eastAsia" w:eastAsia="仿宋_GB2312" w:cs="仿宋_GB2312" w:asciiTheme="minorHAnsi" w:hAnsiTheme="minorHAnsi"/>
          <w:color w:val="auto"/>
          <w:kern w:val="2"/>
          <w:sz w:val="32"/>
          <w:szCs w:val="32"/>
          <w:lang w:val="en-US" w:eastAsia="zh-CN" w:bidi="ar-SA"/>
        </w:rPr>
        <w:t>年，本单位</w:t>
      </w:r>
      <w:r>
        <w:rPr>
          <w:rFonts w:hint="eastAsia" w:eastAsia="仿宋_GB2312" w:cs="仿宋_GB2312"/>
          <w:color w:val="auto"/>
          <w:kern w:val="2"/>
          <w:sz w:val="32"/>
          <w:szCs w:val="32"/>
          <w:lang w:val="en-US" w:eastAsia="zh-CN" w:bidi="ar-SA"/>
        </w:rPr>
        <w:t>无年末资金结转和结余</w:t>
      </w:r>
      <w:r>
        <w:rPr>
          <w:rFonts w:hint="eastAsia" w:eastAsia="仿宋_GB2312" w:cs="仿宋_GB2312" w:asciiTheme="minorHAnsi" w:hAnsiTheme="minorHAnsi"/>
          <w:color w:val="auto"/>
          <w:kern w:val="2"/>
          <w:sz w:val="32"/>
          <w:szCs w:val="32"/>
          <w:lang w:val="zh-CN" w:eastAsia="zh-CN" w:bidi="ar-SA"/>
        </w:rPr>
        <w:t>。</w:t>
      </w: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pStyle w:val="8"/>
        <w:ind w:firstLine="720" w:firstLineChars="250"/>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“三公”经费财政拨款支出预算为11.50万元，支出决算为6.07万元，完成预算的98.9%，其中：</w:t>
      </w:r>
    </w:p>
    <w:p>
      <w:pPr>
        <w:pStyle w:val="8"/>
        <w:ind w:firstLine="720" w:firstLineChars="250"/>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因公出国（境）费支出预算为0.00万元，支出决算为0.00万元，完成预算的100%。</w:t>
      </w:r>
    </w:p>
    <w:p>
      <w:pPr>
        <w:pStyle w:val="8"/>
        <w:ind w:firstLine="720" w:firstLineChars="250"/>
        <w:rPr>
          <w:rFonts w:hint="default"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公务接待费支出年初预算为9.50万元，支出决算为4.77万元，完成预算的29.34%，决算数小于年初预算数的主要原因局机关经费紧张，相当大部分的账务到2022年度才结。与上年相比减少11.49万元，减少70.66%,减少的主要原因是2021年度局机关经费紧张，相当大部分的账务到2022年度才结；2020年度公务接待的决算数据包含了2019年未结到2020年才结的账。</w:t>
      </w:r>
    </w:p>
    <w:p>
      <w:pPr>
        <w:pStyle w:val="8"/>
        <w:ind w:firstLine="576" w:firstLineChars="200"/>
        <w:rPr>
          <w:rFonts w:hint="default"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公务用车购置费及运行维护费支出预算为2.00万元，支出决算为1.30万元，完成预算的65.00%，决算数小于预算数的主要原因是厉行节俭，与上年相比减少0.49万元，减少37.69%,减少的主要原因是厉行节俭，2021年度的账务全部为本年度账。</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目标1：经济运行总体稳健</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目标2：各类资金争取有力</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 xml:space="preserve">目标3：重点项目推进有序 </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目标4：粮食安全落到实处</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目标5：保供稳价取得实效</w:t>
      </w:r>
    </w:p>
    <w:p>
      <w:pPr>
        <w:widowControl/>
        <w:jc w:val="left"/>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 xml:space="preserve">目标6：营商环境改善明显  </w:t>
      </w:r>
    </w:p>
    <w:p>
      <w:pPr>
        <w:widowControl/>
        <w:jc w:val="left"/>
        <w:rPr>
          <w:rFonts w:hint="default"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目标7：信用体系建设初见成效</w:t>
      </w:r>
    </w:p>
    <w:p>
      <w:pPr>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2021</w:t>
      </w:r>
      <w:r>
        <w:rPr>
          <w:rFonts w:hint="eastAsia" w:ascii="仿宋_GB2312" w:eastAsia="仿宋_GB2312"/>
          <w:b/>
          <w:sz w:val="32"/>
          <w:szCs w:val="32"/>
        </w:rPr>
        <w:t>年部门绩效目标</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1、2021年财政安排价格认证业务经费4.00万元，用于受理国家司法、行政、仲裁机构等委托，办理刑事、民事和经济案件及经济纠纷中涉案物品价值的估价鉴证；依法接受税务机关委托，对涉税财物进行价格认定；受理社会经济活动中价格行为合理、合法性鉴证和价格鉴定；开展有关物价信息的调查收集、整理和上报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2、2021年财政安排项目前期经费及项目编制、调度、实施、监督等工作经费38.00万元，主要开展政府性投资项目的调度、实施指导、监督和组织专家进行项目建设的后评价、综合验收等工作；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3、2021年财政安排节能降耗工作经费2.00万元，主要用于开展节能法律、法规和标准的宣传和培训，对用能单位培训，以及开展执法检查，完成全县固定资产投资项目节能评估，对县直单位、乡镇GDP能耗考核，迎接市对县考核；</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4、2021年财政安排早中晚稻国家最低收购价收购工作经费3.00万元，主要用于早中晚稻收购经费支出；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5、2021年财政安排优化环境发展工作经费3.00万元，主要用于组织实施有关优化经济发展环境的政策措施，协调有关部门构建优化经济发展环境的长效机制，受理危害经济发展环境的投诉举报、督察督办严重危害经济发展环境的案件，组织开展有关经济发展环境的专项治理，承担县优化经济发展环境领导小组办公室的日常工作；</w:t>
      </w:r>
    </w:p>
    <w:p>
      <w:pPr>
        <w:pStyle w:val="4"/>
        <w:keepNext w:val="0"/>
        <w:keepLines w:val="0"/>
        <w:pageBreakBefore w:val="0"/>
        <w:widowControl/>
        <w:numPr>
          <w:ilvl w:val="0"/>
          <w:numId w:val="2"/>
        </w:numPr>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易地扶贫搬迁专项工作经费5.00万元，主要用于全县易地扶贫搬迁工作，迎国检、搬迁户后续产业扶持；</w:t>
      </w:r>
    </w:p>
    <w:p>
      <w:pPr>
        <w:pStyle w:val="4"/>
        <w:keepNext w:val="0"/>
        <w:keepLines w:val="0"/>
        <w:pageBreakBefore w:val="0"/>
        <w:widowControl/>
        <w:numPr>
          <w:ilvl w:val="0"/>
          <w:numId w:val="2"/>
        </w:numPr>
        <w:suppressLineNumbers w:val="0"/>
        <w:kinsoku/>
        <w:wordWrap w:val="0"/>
        <w:overflowPunct/>
        <w:topLinePunct w:val="0"/>
        <w:autoSpaceDE/>
        <w:autoSpaceDN/>
        <w:bidi w:val="0"/>
        <w:adjustRightInd/>
        <w:snapToGrid/>
        <w:spacing w:before="0" w:beforeAutospacing="0" w:after="0" w:afterAutospacing="0" w:line="500" w:lineRule="exact"/>
        <w:ind w:right="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2021年财政安排县“三个推进年”及产业项目活动专项经费20.00万元，主要用于产业项目建设年活动被纳入市委、市政府对各县市区和市直单位年度综合绩效考核,需要产业项目建设年活动协调推进领导小组办公室每月对项目进行调度、总结、资料制作、与省市产业办对接等；</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8、2021年财政安排改制人员补贴资金8.00万元，主要用于粮食系统改制人员补贴经费支出；</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9、2021年财政安排县级储备粮储备费用和利息242.70万元，主要用于县级储备粮储备、收购粮食贷款利息及轮换费用。</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00" w:lineRule="exact"/>
        <w:ind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临武县发展和改革局2021年的专项资金在使用过程中严格按照要求，实行专款专用，不挪用不占用；严格按照财政规定实行报账程序；积极地完成上级下达的指标，按时按量地完成任务。</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五、绩效评价指标分析情况</w:t>
      </w:r>
      <w:r>
        <w:rPr>
          <w:rFonts w:hint="eastAsia" w:ascii="黑体" w:hAnsi="黑体" w:eastAsia="黑体"/>
          <w:sz w:val="32"/>
          <w:szCs w:val="32"/>
          <w:lang w:eastAsia="zh-CN"/>
        </w:rPr>
        <w:t>及</w:t>
      </w:r>
      <w:r>
        <w:rPr>
          <w:rFonts w:hint="eastAsia" w:ascii="黑体" w:hAnsi="黑体" w:eastAsia="黑体"/>
          <w:sz w:val="32"/>
          <w:szCs w:val="32"/>
        </w:rPr>
        <w:t>综合评价情况</w:t>
      </w:r>
      <w:r>
        <w:rPr>
          <w:rFonts w:hint="eastAsia" w:ascii="黑体" w:hAnsi="黑体" w:eastAsia="黑体"/>
          <w:sz w:val="32"/>
          <w:szCs w:val="32"/>
          <w:lang w:eastAsia="zh-CN"/>
        </w:rPr>
        <w:t>和</w:t>
      </w:r>
      <w:r>
        <w:rPr>
          <w:rFonts w:hint="eastAsia" w:ascii="黑体" w:hAnsi="黑体" w:eastAsia="黑体"/>
          <w:sz w:val="32"/>
          <w:szCs w:val="32"/>
        </w:rPr>
        <w:t>评价结论</w:t>
      </w:r>
    </w:p>
    <w:p>
      <w:pPr>
        <w:spacing w:line="600" w:lineRule="exact"/>
        <w:ind w:firstLine="576" w:firstLineChars="200"/>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2021年，局领导班子紧紧围绕稳调控、争资金、推项目、优环境、稳物价、保粮安、强信用等发改主线工作认真研究，精心部署，狠抓落实，较好地完成了各项既定目标任务。一是经济运行总体稳健。全年实现地区生产总值163.66亿元，同比增长9%；完成固定资产投资171.96亿元，同比增长9.6%，与全市平均水平持平，居全市第6位。二是各类资金争取有力。2021年全县各部门争取到位资金22.97亿元。其中争取中省发改口资金15255万元，债券方面，专项债共获得资金3.81亿元，一般债获得1.11亿元，两项合计4.92亿元，与去年相比增长31.6%。三是重点项目推进有序。2021年我县实施县级重点建设项目88个，总投资507.17亿元，年度计划投资115.96亿元，重点项目1-12月份完成投资138.12亿元，占年度计划目标任务的119.1%。市级重点建设项目34个，总投资337.05亿元，年计划投资84.12亿元，1-12月完成投资153.35亿元，占年计划目标任务的182.32%。全年组织开展5000万以上重大产业项目集中开（竣）工活动3次，集中开工项目20个，竣工项目6个。四是粮食安全落到实处。严格按照上级要求，党政同责任落实粮食安全省长责任制，制定出台了《临武县2021年度落实粮食安全省长责任制考核工作方案》，积极调度各成员单位逐一落实好各项考核指标任务，在郴州市落实粮食安全省长责任制考核中我县被评为优秀单位。五是保供稳价取得实效。持续加强教育收费监管，规范了学校收费；深入基层价格调研，先后开展了工业园区大工业用电情况调研、农村安全饮水工程供水价格有关情况的调研、中小学校内课后服务调研、全县幼儿园收费情况调研；强化企业“减费”服务，规范了转供电环节加价行为，转供电电价一般工商业及其他用电价格基本控制在了省发改委规定的0.853元/千瓦时以内，切实降低了企业用能成本。六是营商环境改善明显。我局始终坚持“营商环境是高质量发展的生命线”这一理念，深入开展“思想大解放、服务大提质、效率大提升、环境大优化”活动，从企业和群众所需、所忧、所盼出发，着力破解营商环境痛点、难点、堵点问题，临武县产业开发区获评全省2021年营商环境评价排名前十园区，优化营商环境工作进入全省优秀等次，企业和办事群众的获得感、满意度显著提高。七是信用体系建设初见成效。常态化推动各单位按规定将 “双公示”信息和其他信用信息报送至郴州市信用信息共享平台；推动麦市镇下辖的瓦石村、清塘村、上庄村、琶溪村、坪山村等5个村被评为2021年市级农村信用建设示范村；重点推进企业对接入驻“中经惠企（郴州）平台”工作，截至2021年底，全县有560多家企业入驻平台，企业入驻率排全市第二；开展了3.15诚信月宣传活动和6.14诚信日宣传活动，加深了市民对诚信建设的认识；首次将信用工作纳入全县绩效考核，印发了《临武县社会信用体系建设工作考核实施细则（试行）》。在市对县信用工作考核中排名中等偏上。</w:t>
      </w:r>
    </w:p>
    <w:p>
      <w:pPr>
        <w:ind w:firstLine="640" w:firstLineChars="200"/>
        <w:rPr>
          <w:rFonts w:ascii="黑体" w:hAnsi="黑体" w:eastAsia="黑体"/>
          <w:bCs/>
          <w:sz w:val="32"/>
          <w:szCs w:val="32"/>
        </w:rPr>
      </w:pPr>
      <w:r>
        <w:rPr>
          <w:rFonts w:hint="eastAsia" w:ascii="黑体" w:hAnsi="黑体" w:eastAsia="黑体"/>
          <w:sz w:val="32"/>
          <w:szCs w:val="32"/>
        </w:rPr>
        <w:t>六、</w:t>
      </w:r>
      <w:r>
        <w:rPr>
          <w:rFonts w:hint="eastAsia" w:ascii="黑体" w:hAnsi="黑体" w:eastAsia="黑体"/>
          <w:bCs/>
          <w:sz w:val="32"/>
          <w:szCs w:val="32"/>
        </w:rPr>
        <w:t>存在的问题</w:t>
      </w:r>
    </w:p>
    <w:p>
      <w:pPr>
        <w:spacing w:line="600" w:lineRule="exact"/>
        <w:ind w:firstLine="576" w:firstLineChars="200"/>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回顾一年来的工作，虽然各方面都取得了一定的成绩，但应清醒地看到在实际工作中存在的问题和不足：一是当前发改工作任务繁重，局人员编制、经费不足，一些管理工作做得不够深入细致，离上级管理要求还存在一定差距；二是在争资立项工作方面，专项转移支付大幅减少，通过比对，去年我县专项转移支付为3.74亿元；政策性资金争取短板突出，争资没有像山水林田湖草这样的大项目大政策支撑很难有大资金；受项目储备和前期的制约，项目系统性推进整体不畅，部分单位对政策缺乏敏感度，对本行业未来发展支持方向不清，谋划包装项目不切合实际，直接导致项目开发率、转化率、争取率下降，项目储备不足。三是在项目建设上，仍然存在要素保障不足、项目推进不畅、征拆难度大、部门协调工作对接难度大等问题。四是在粮食储备工作上，还存在成品粮储备管理有短板、粮食加工龙头企业规模小、粮食质检体系不完善、产后服务体系建设规模小、智能粮库系统的应用、管理不足等问题。五是在信用体系建设方，工作基础薄弱，对信用建设理念缺乏应有的理解，各部门重视不够，人员、经费等方面投入不够，工作开展起来举步维艰。</w:t>
      </w:r>
    </w:p>
    <w:p>
      <w:pPr>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财务管理方面的</w:t>
      </w:r>
      <w:r>
        <w:rPr>
          <w:rFonts w:hint="eastAsia" w:ascii="黑体" w:hAnsi="黑体" w:eastAsia="黑体"/>
          <w:sz w:val="32"/>
          <w:szCs w:val="32"/>
        </w:rPr>
        <w:t>改进措施和</w:t>
      </w:r>
      <w:r>
        <w:rPr>
          <w:rFonts w:hint="eastAsia" w:ascii="黑体" w:hAnsi="黑体" w:eastAsia="黑体"/>
          <w:bCs/>
          <w:sz w:val="32"/>
          <w:szCs w:val="32"/>
        </w:rPr>
        <w:t>建议</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（一）科学合理编制预算，严格执行预算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2"/>
          <w:sz w:val="30"/>
          <w:szCs w:val="30"/>
          <w:lang w:val="en-US" w:eastAsia="zh-CN" w:bidi="ar-SA"/>
        </w:rPr>
        <w:t>按照新《中华人民共和国预算法》及其实施条例的相关规定，按本部门的发展规划，结合上一年度预算执行情况和本年度预算收支变化因素，科学合理地编制本年预算方案，避免预算支出与实际执行出现较大偏差情况。</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（二）规范账务处理，提高财务信息质量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2"/>
          <w:sz w:val="30"/>
          <w:szCs w:val="30"/>
          <w:lang w:val="en-US" w:eastAsia="zh-CN" w:bidi="ar-SA"/>
        </w:rPr>
        <w:t>严格按照《中华人民共和国会计法》、《事业单位会计制度》、《事业单位财务规则》等规定执行财务核算，并结合实际情况，完整、准确地披露相关信息，尽可能地做到决算与预算相衔接。</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（三）完善管理制度，进一步加强资产管理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进一步贯彻落实中央八项规定和湖南省委“九条规定”，建立本单位“三公经费”等公务支出管理制度及厉行节约制度，加强经费审批和控制，规范支出标准和范围并严格执行。严格按照《固定资产管理办法》的规定加强固定资产管理，及时登记、加强资产卡片管理，年终前对各类实物资产进行全面盘点，确保账账、账实相符。</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（四）加强新会计制度和新预算法学习培训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加强新《中华人民共和国预算法》和《行政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pPr>
        <w:ind w:firstLine="640" w:firstLineChars="200"/>
        <w:rPr>
          <w:rFonts w:ascii="黑体" w:hAnsi="黑体" w:eastAsia="黑体"/>
          <w:sz w:val="32"/>
          <w:szCs w:val="32"/>
        </w:rPr>
      </w:pPr>
      <w:r>
        <w:rPr>
          <w:rFonts w:hint="eastAsia" w:ascii="黑体" w:hAnsi="黑体" w:eastAsia="黑体"/>
          <w:sz w:val="32"/>
          <w:szCs w:val="32"/>
        </w:rPr>
        <w:t>九、绩效预算应用建议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6" w:firstLineChars="200"/>
        <w:jc w:val="both"/>
        <w:textAlignment w:val="auto"/>
        <w:rPr>
          <w:rFonts w:hint="eastAsia" w:ascii="仿宋" w:hAnsi="仿宋" w:eastAsia="仿宋" w:cs="仿宋"/>
          <w:color w:val="auto"/>
          <w:spacing w:val="-6"/>
          <w:kern w:val="2"/>
          <w:sz w:val="30"/>
          <w:szCs w:val="30"/>
          <w:lang w:val="en-US" w:eastAsia="zh-CN" w:bidi="ar-SA"/>
        </w:rPr>
      </w:pPr>
      <w:r>
        <w:rPr>
          <w:rFonts w:hint="eastAsia" w:ascii="仿宋" w:hAnsi="仿宋" w:eastAsia="仿宋" w:cs="仿宋"/>
          <w:color w:val="auto"/>
          <w:spacing w:val="-6"/>
          <w:kern w:val="2"/>
          <w:sz w:val="30"/>
          <w:szCs w:val="30"/>
          <w:lang w:val="en-US" w:eastAsia="zh-CN" w:bidi="ar-SA"/>
        </w:rPr>
        <w:t>因部门整体支出的资金安排和使用上具有不可预见性，在预算绩效指标上还不够精确，编制范围不太全面，预算执行情况还有待进一步加强。安排对应的业务培训，规范业务流程。</w:t>
      </w:r>
    </w:p>
    <w:p>
      <w:pPr>
        <w:pStyle w:val="2"/>
        <w:ind w:left="0" w:leftChars="0" w:firstLine="0" w:firstLineChars="0"/>
        <w:rPr>
          <w:rFonts w:eastAsia="方正小标宋_GBK"/>
          <w:kern w:val="0"/>
          <w:sz w:val="36"/>
          <w:szCs w:val="36"/>
        </w:rPr>
      </w:pP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楷体_GB2312"/>
          <w:kern w:val="0"/>
          <w:sz w:val="24"/>
        </w:rPr>
        <w:t>（以</w:t>
      </w:r>
      <w:r>
        <w:rPr>
          <w:rFonts w:hint="eastAsia" w:eastAsia="楷体_GB2312"/>
          <w:kern w:val="0"/>
          <w:sz w:val="24"/>
          <w:lang w:eastAsia="zh-CN"/>
        </w:rPr>
        <w:t>2021</w:t>
      </w:r>
      <w:r>
        <w:rPr>
          <w:rFonts w:eastAsia="楷体_GB2312"/>
          <w:kern w:val="0"/>
          <w:sz w:val="24"/>
        </w:rPr>
        <w:t>年对20</w:t>
      </w:r>
      <w:r>
        <w:rPr>
          <w:rFonts w:hint="eastAsia" w:eastAsia="楷体_GB2312"/>
          <w:kern w:val="0"/>
          <w:sz w:val="24"/>
          <w:lang w:val="en-US" w:eastAsia="zh-CN"/>
        </w:rPr>
        <w:t>20</w:t>
      </w:r>
      <w:r>
        <w:rPr>
          <w:rFonts w:eastAsia="楷体_GB2312"/>
          <w:kern w:val="0"/>
          <w:sz w:val="24"/>
        </w:rPr>
        <w:t>年度部门整体支出绩效自评为例）</w:t>
      </w:r>
      <w:r>
        <w:rPr>
          <w:rFonts w:eastAsia="仿宋_GB2312"/>
          <w:kern w:val="0"/>
          <w:sz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hint="eastAsia" w:eastAsia="仿宋_GB2312"/>
                <w:b/>
                <w:bCs/>
                <w:kern w:val="0"/>
                <w:szCs w:val="21"/>
                <w:lang w:val="en-US" w:eastAsia="zh-CN"/>
              </w:rPr>
              <w:t>2021</w:t>
            </w:r>
            <w:r>
              <w:rPr>
                <w:rFonts w:eastAsia="仿宋_GB2312"/>
                <w:b/>
                <w:bCs/>
                <w:kern w:val="0"/>
                <w:szCs w:val="21"/>
              </w:rPr>
              <w:t>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48</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55</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年决算数</w:t>
            </w:r>
          </w:p>
        </w:tc>
        <w:tc>
          <w:tcPr>
            <w:tcW w:w="2240" w:type="dxa"/>
            <w:gridSpan w:val="2"/>
            <w:noWrap w:val="0"/>
            <w:vAlign w:val="center"/>
          </w:tcPr>
          <w:p>
            <w:pPr>
              <w:widowControl/>
              <w:jc w:val="center"/>
              <w:rPr>
                <w:rFonts w:eastAsia="仿宋_GB2312"/>
                <w:b/>
                <w:bCs/>
                <w:kern w:val="0"/>
                <w:szCs w:val="21"/>
              </w:rPr>
            </w:pPr>
            <w:r>
              <w:rPr>
                <w:rFonts w:hint="eastAsia" w:eastAsia="仿宋_GB2312"/>
                <w:b/>
                <w:bCs/>
                <w:kern w:val="0"/>
                <w:szCs w:val="21"/>
                <w:lang w:eastAsia="zh-CN"/>
              </w:rPr>
              <w:t>2021</w:t>
            </w:r>
            <w:r>
              <w:rPr>
                <w:rFonts w:eastAsia="仿宋_GB2312"/>
                <w:b/>
                <w:bCs/>
                <w:kern w:val="0"/>
                <w:szCs w:val="21"/>
              </w:rPr>
              <w:t>年预算数</w:t>
            </w:r>
          </w:p>
        </w:tc>
        <w:tc>
          <w:tcPr>
            <w:tcW w:w="1832" w:type="dxa"/>
            <w:gridSpan w:val="2"/>
            <w:noWrap w:val="0"/>
            <w:vAlign w:val="center"/>
          </w:tcPr>
          <w:p>
            <w:pPr>
              <w:widowControl/>
              <w:jc w:val="center"/>
              <w:rPr>
                <w:rFonts w:eastAsia="仿宋_GB2312"/>
                <w:b/>
                <w:bCs/>
                <w:kern w:val="0"/>
                <w:szCs w:val="21"/>
              </w:rPr>
            </w:pPr>
            <w:r>
              <w:rPr>
                <w:rFonts w:hint="eastAsia" w:eastAsia="仿宋_GB2312"/>
                <w:b/>
                <w:bCs/>
                <w:kern w:val="0"/>
                <w:szCs w:val="21"/>
                <w:lang w:eastAsia="zh-CN"/>
              </w:rPr>
              <w:t>2021</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18.05</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11.50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1.79</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2.00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eastAsia="仿宋_GB2312"/>
                <w:kern w:val="0"/>
                <w:szCs w:val="21"/>
              </w:rPr>
              <w:t>　</w:t>
            </w:r>
            <w:r>
              <w:rPr>
                <w:rFonts w:hint="eastAsia" w:eastAsia="仿宋_GB2312"/>
                <w:kern w:val="0"/>
                <w:szCs w:val="21"/>
                <w:lang w:val="en-US" w:eastAsia="zh-CN"/>
              </w:rPr>
              <w:t>1.79</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2.00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eastAsia="仿宋_GB2312"/>
                <w:kern w:val="0"/>
                <w:szCs w:val="21"/>
              </w:rPr>
              <w:t>　</w:t>
            </w:r>
            <w:r>
              <w:rPr>
                <w:rFonts w:hint="eastAsia" w:eastAsia="仿宋_GB2312"/>
                <w:kern w:val="0"/>
                <w:szCs w:val="21"/>
                <w:lang w:val="en-US" w:eastAsia="zh-CN"/>
              </w:rPr>
              <w:t>0.00</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eastAsia="仿宋_GB2312"/>
                <w:kern w:val="0"/>
                <w:szCs w:val="21"/>
              </w:rPr>
              <w:t>　</w:t>
            </w:r>
            <w:r>
              <w:rPr>
                <w:rFonts w:hint="eastAsia" w:eastAsia="仿宋_GB2312"/>
                <w:kern w:val="0"/>
                <w:szCs w:val="21"/>
                <w:lang w:val="en-US" w:eastAsia="zh-CN"/>
              </w:rPr>
              <w:t>16.26</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9.50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409.51</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326.70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221.75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308.31</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76.00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221.75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0.30</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1.00</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hint="eastAsia" w:eastAsia="仿宋_GB2312"/>
                <w:kern w:val="0"/>
                <w:szCs w:val="21"/>
                <w:lang w:val="en-US" w:eastAsia="zh-CN"/>
              </w:rPr>
            </w:pPr>
            <w:r>
              <w:rPr>
                <w:rFonts w:hint="eastAsia" w:eastAsia="仿宋_GB2312"/>
                <w:kern w:val="0"/>
                <w:szCs w:val="21"/>
                <w:lang w:val="en-US" w:eastAsia="zh-CN"/>
              </w:rPr>
              <w:t>5、对企业改制人员的补助</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8.00</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8.00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82.10</w:t>
            </w:r>
          </w:p>
        </w:tc>
        <w:tc>
          <w:tcPr>
            <w:tcW w:w="2240"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68.90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4.52</w:t>
            </w:r>
            <w:r>
              <w:rPr>
                <w:rFonts w:eastAsia="仿宋_GB2312"/>
                <w:color w:val="auto"/>
                <w:kern w:val="0"/>
                <w:szCs w:val="21"/>
              </w:rPr>
              <w:t>　</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eastAsia="仿宋_GB2312"/>
                <w:color w:val="auto"/>
                <w:kern w:val="0"/>
                <w:szCs w:val="21"/>
              </w:rPr>
              <w:t>　</w:t>
            </w:r>
            <w:r>
              <w:rPr>
                <w:rFonts w:hint="eastAsia" w:eastAsia="仿宋_GB2312"/>
                <w:color w:val="auto"/>
                <w:kern w:val="0"/>
                <w:szCs w:val="21"/>
                <w:lang w:val="en-US" w:eastAsia="zh-CN"/>
              </w:rPr>
              <w:t>2.70</w:t>
            </w:r>
          </w:p>
        </w:tc>
        <w:tc>
          <w:tcPr>
            <w:tcW w:w="1832" w:type="dxa"/>
            <w:gridSpan w:val="2"/>
            <w:noWrap w:val="0"/>
            <w:vAlign w:val="center"/>
          </w:tcPr>
          <w:p>
            <w:pPr>
              <w:widowControl/>
              <w:jc w:val="center"/>
              <w:rPr>
                <w:rFonts w:hint="default" w:eastAsia="仿宋_GB2312"/>
                <w:color w:val="auto"/>
                <w:kern w:val="0"/>
                <w:szCs w:val="21"/>
                <w:lang w:val="en-US"/>
              </w:rPr>
            </w:pPr>
            <w:r>
              <w:rPr>
                <w:rFonts w:hint="eastAsia" w:eastAsia="仿宋_GB2312"/>
                <w:color w:val="auto"/>
                <w:kern w:val="0"/>
                <w:szCs w:val="21"/>
                <w:lang w:val="en-US" w:eastAsia="zh-CN"/>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0.2</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1.70</w:t>
            </w:r>
          </w:p>
        </w:tc>
        <w:tc>
          <w:tcPr>
            <w:tcW w:w="1832" w:type="dxa"/>
            <w:gridSpan w:val="2"/>
            <w:noWrap w:val="0"/>
            <w:vAlign w:val="center"/>
          </w:tcPr>
          <w:p>
            <w:pPr>
              <w:widowControl/>
              <w:jc w:val="center"/>
              <w:rPr>
                <w:rFonts w:hint="default" w:eastAsia="仿宋_GB2312"/>
                <w:color w:val="auto"/>
                <w:kern w:val="0"/>
                <w:szCs w:val="21"/>
                <w:lang w:val="en-US"/>
              </w:rPr>
            </w:pPr>
            <w:r>
              <w:rPr>
                <w:rFonts w:hint="eastAsia" w:eastAsia="仿宋_GB2312"/>
                <w:color w:val="auto"/>
                <w:kern w:val="0"/>
                <w:szCs w:val="21"/>
                <w:lang w:val="en-US" w:eastAsia="zh-CN"/>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hint="default" w:eastAsia="仿宋_GB2312" w:asciiTheme="minorHAnsi" w:hAnsiTheme="minorHAnsi" w:cstheme="minorBidi"/>
                <w:color w:val="auto"/>
                <w:kern w:val="0"/>
                <w:sz w:val="21"/>
                <w:szCs w:val="21"/>
                <w:lang w:val="en-US" w:eastAsia="zh-CN" w:bidi="ar-SA"/>
              </w:rPr>
            </w:pPr>
            <w:r>
              <w:rPr>
                <w:rFonts w:hint="eastAsia" w:eastAsia="仿宋_GB2312"/>
                <w:color w:val="auto"/>
                <w:kern w:val="0"/>
                <w:szCs w:val="21"/>
                <w:lang w:val="en-US" w:eastAsia="zh-CN"/>
              </w:rPr>
              <w:t>0.00</w:t>
            </w:r>
          </w:p>
        </w:tc>
        <w:tc>
          <w:tcPr>
            <w:tcW w:w="2240"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2.00</w:t>
            </w:r>
          </w:p>
        </w:tc>
        <w:tc>
          <w:tcPr>
            <w:tcW w:w="1832" w:type="dxa"/>
            <w:gridSpan w:val="2"/>
            <w:noWrap w:val="0"/>
            <w:vAlign w:val="center"/>
          </w:tcPr>
          <w:p>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741.67</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640.60</w:t>
            </w:r>
          </w:p>
        </w:tc>
        <w:tc>
          <w:tcPr>
            <w:tcW w:w="1832"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642.11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（2019年完工项目）</w:t>
            </w:r>
          </w:p>
        </w:tc>
        <w:tc>
          <w:tcPr>
            <w:tcW w:w="1189" w:type="dxa"/>
            <w:noWrap w:val="0"/>
            <w:vAlign w:val="center"/>
          </w:tcPr>
          <w:p>
            <w:pPr>
              <w:widowControl/>
              <w:spacing w:line="240" w:lineRule="exact"/>
              <w:jc w:val="center"/>
              <w:rPr>
                <w:rFonts w:hint="eastAsia" w:eastAsia="仿宋_GB2312"/>
                <w:bCs/>
                <w:kern w:val="0"/>
                <w:szCs w:val="21"/>
                <w:lang w:eastAsia="zh-CN"/>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84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12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1111"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969"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c>
          <w:tcPr>
            <w:tcW w:w="863" w:type="dxa"/>
            <w:noWrap w:val="0"/>
            <w:vAlign w:val="center"/>
          </w:tcPr>
          <w:p>
            <w:pPr>
              <w:widowControl/>
              <w:jc w:val="left"/>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eastAsia="仿宋_GB2312"/>
                <w:kern w:val="0"/>
                <w:szCs w:val="21"/>
              </w:rPr>
              <w:t>　</w:t>
            </w:r>
          </w:p>
        </w:tc>
      </w:tr>
    </w:tbl>
    <w:p>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50"/>
        <w:gridCol w:w="1125"/>
        <w:gridCol w:w="1486"/>
        <w:gridCol w:w="95"/>
        <w:gridCol w:w="1449"/>
        <w:gridCol w:w="1245"/>
        <w:gridCol w:w="525"/>
        <w:gridCol w:w="72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临武县发展和改革局</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lang w:eastAsia="zh-CN"/>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275" w:type="dxa"/>
            <w:gridSpan w:val="2"/>
            <w:noWrap w:val="0"/>
            <w:vAlign w:val="center"/>
          </w:tcPr>
          <w:p>
            <w:pPr>
              <w:jc w:val="center"/>
              <w:rPr>
                <w:rFonts w:eastAsia="仿宋_GB2312"/>
                <w:szCs w:val="21"/>
              </w:rPr>
            </w:pPr>
          </w:p>
        </w:tc>
        <w:tc>
          <w:tcPr>
            <w:tcW w:w="1486"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544" w:type="dxa"/>
            <w:gridSpan w:val="2"/>
            <w:noWrap w:val="0"/>
            <w:vAlign w:val="center"/>
          </w:tcPr>
          <w:p>
            <w:pPr>
              <w:jc w:val="center"/>
              <w:rPr>
                <w:rFonts w:eastAsia="仿宋_GB2312"/>
                <w:szCs w:val="21"/>
              </w:rPr>
            </w:pPr>
            <w:r>
              <w:rPr>
                <w:rFonts w:eastAsia="仿宋_GB2312"/>
                <w:szCs w:val="21"/>
              </w:rPr>
              <w:t>全年预算数</w:t>
            </w:r>
          </w:p>
        </w:tc>
        <w:tc>
          <w:tcPr>
            <w:tcW w:w="1245"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525" w:type="dxa"/>
            <w:noWrap w:val="0"/>
            <w:vAlign w:val="center"/>
          </w:tcPr>
          <w:p>
            <w:pPr>
              <w:jc w:val="center"/>
              <w:rPr>
                <w:rFonts w:eastAsia="仿宋_GB2312"/>
                <w:szCs w:val="21"/>
              </w:rPr>
            </w:pPr>
            <w:r>
              <w:rPr>
                <w:rFonts w:eastAsia="仿宋_GB2312"/>
                <w:szCs w:val="21"/>
              </w:rPr>
              <w:t>分值</w:t>
            </w:r>
          </w:p>
        </w:tc>
        <w:tc>
          <w:tcPr>
            <w:tcW w:w="722" w:type="dxa"/>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275"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486" w:type="dxa"/>
            <w:noWrap w:val="0"/>
            <w:vAlign w:val="center"/>
          </w:tcPr>
          <w:p>
            <w:pPr>
              <w:jc w:val="center"/>
              <w:rPr>
                <w:rFonts w:hint="default" w:eastAsia="仿宋_GB2312"/>
                <w:szCs w:val="21"/>
                <w:lang w:val="en-US" w:eastAsia="zh-CN"/>
              </w:rPr>
            </w:pPr>
            <w:r>
              <w:rPr>
                <w:rFonts w:hint="eastAsia" w:eastAsia="仿宋_GB2312"/>
                <w:szCs w:val="21"/>
                <w:lang w:val="en-US" w:eastAsia="zh-CN"/>
              </w:rPr>
              <w:t>967.30</w:t>
            </w:r>
          </w:p>
        </w:tc>
        <w:tc>
          <w:tcPr>
            <w:tcW w:w="1544"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863.85</w:t>
            </w:r>
          </w:p>
        </w:tc>
        <w:tc>
          <w:tcPr>
            <w:tcW w:w="1245" w:type="dxa"/>
            <w:noWrap w:val="0"/>
            <w:vAlign w:val="center"/>
          </w:tcPr>
          <w:p>
            <w:pPr>
              <w:jc w:val="center"/>
              <w:rPr>
                <w:rFonts w:hint="default" w:eastAsia="仿宋_GB2312"/>
                <w:szCs w:val="21"/>
                <w:lang w:val="en-US" w:eastAsia="zh-CN"/>
              </w:rPr>
            </w:pPr>
            <w:r>
              <w:rPr>
                <w:rFonts w:hint="eastAsia" w:eastAsia="仿宋_GB2312"/>
                <w:szCs w:val="21"/>
                <w:lang w:val="en-US" w:eastAsia="zh-CN"/>
              </w:rPr>
              <w:t>863.85</w:t>
            </w:r>
          </w:p>
        </w:tc>
        <w:tc>
          <w:tcPr>
            <w:tcW w:w="525" w:type="dxa"/>
            <w:noWrap w:val="0"/>
            <w:vAlign w:val="center"/>
          </w:tcPr>
          <w:p>
            <w:pPr>
              <w:jc w:val="center"/>
              <w:rPr>
                <w:rFonts w:eastAsia="仿宋_GB2312"/>
                <w:szCs w:val="21"/>
              </w:rPr>
            </w:pPr>
            <w:r>
              <w:rPr>
                <w:rFonts w:eastAsia="仿宋_GB2312"/>
                <w:szCs w:val="21"/>
              </w:rPr>
              <w:t>10</w:t>
            </w:r>
          </w:p>
        </w:tc>
        <w:tc>
          <w:tcPr>
            <w:tcW w:w="722" w:type="dxa"/>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3938" w:type="dxa"/>
            <w:gridSpan w:val="4"/>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863.85</w:t>
            </w:r>
          </w:p>
        </w:tc>
        <w:tc>
          <w:tcPr>
            <w:tcW w:w="3938"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642.11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3938"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221.75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3938"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3938"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305"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393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305" w:type="dxa"/>
            <w:gridSpan w:val="5"/>
            <w:noWrap w:val="0"/>
            <w:vAlign w:val="center"/>
          </w:tcPr>
          <w:p>
            <w:pPr>
              <w:widowControl/>
              <w:jc w:val="left"/>
              <w:rPr>
                <w:rFonts w:hint="eastAsia" w:ascii="仿宋_GB2312" w:eastAsia="仿宋_GB2312"/>
                <w:sz w:val="21"/>
                <w:szCs w:val="21"/>
                <w:lang w:eastAsia="zh-CN"/>
              </w:rPr>
            </w:pPr>
            <w:r>
              <w:rPr>
                <w:rFonts w:eastAsia="仿宋_GB2312"/>
                <w:sz w:val="21"/>
                <w:szCs w:val="21"/>
              </w:rPr>
              <w:t>目标1</w:t>
            </w:r>
            <w:r>
              <w:rPr>
                <w:rFonts w:ascii="仿宋_GB2312" w:eastAsia="仿宋_GB2312"/>
                <w:sz w:val="21"/>
                <w:szCs w:val="21"/>
              </w:rPr>
              <w:t>：</w:t>
            </w:r>
            <w:r>
              <w:rPr>
                <w:rFonts w:hint="eastAsia" w:ascii="仿宋_GB2312" w:eastAsia="仿宋_GB2312"/>
                <w:sz w:val="21"/>
                <w:szCs w:val="21"/>
                <w:lang w:eastAsia="zh-CN"/>
              </w:rPr>
              <w:t>经济运行总体稳健</w:t>
            </w:r>
          </w:p>
          <w:p>
            <w:pPr>
              <w:widowControl/>
              <w:jc w:val="left"/>
              <w:rPr>
                <w:rFonts w:hint="eastAsia" w:ascii="仿宋_GB2312" w:eastAsia="仿宋_GB2312"/>
                <w:sz w:val="21"/>
                <w:szCs w:val="21"/>
                <w:lang w:eastAsia="zh-CN"/>
              </w:rPr>
            </w:pPr>
            <w:r>
              <w:rPr>
                <w:rFonts w:eastAsia="仿宋_GB2312"/>
                <w:sz w:val="21"/>
                <w:szCs w:val="21"/>
              </w:rPr>
              <w:t>目标2</w:t>
            </w:r>
            <w:r>
              <w:rPr>
                <w:rFonts w:ascii="仿宋_GB2312" w:eastAsia="仿宋_GB2312"/>
                <w:sz w:val="21"/>
                <w:szCs w:val="21"/>
              </w:rPr>
              <w:t>：</w:t>
            </w:r>
            <w:r>
              <w:rPr>
                <w:rFonts w:hint="eastAsia" w:ascii="仿宋_GB2312" w:eastAsia="仿宋_GB2312"/>
                <w:sz w:val="21"/>
                <w:szCs w:val="21"/>
                <w:lang w:eastAsia="zh-CN"/>
              </w:rPr>
              <w:t>各类资金争取有力</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目标3：重点项目推进有序 </w:t>
            </w:r>
          </w:p>
          <w:p>
            <w:pPr>
              <w:widowControl/>
              <w:jc w:val="left"/>
              <w:rPr>
                <w:rFonts w:hint="eastAsia" w:eastAsia="仿宋_GB2312"/>
                <w:sz w:val="21"/>
                <w:szCs w:val="21"/>
                <w:lang w:val="en-US" w:eastAsia="zh-CN"/>
              </w:rPr>
            </w:pPr>
            <w:r>
              <w:rPr>
                <w:rFonts w:hint="eastAsia" w:eastAsia="仿宋_GB2312"/>
                <w:sz w:val="21"/>
                <w:szCs w:val="21"/>
                <w:lang w:val="en-US" w:eastAsia="zh-CN"/>
              </w:rPr>
              <w:t>目标4：粮食安全落到实处</w:t>
            </w:r>
          </w:p>
          <w:p>
            <w:pPr>
              <w:widowControl/>
              <w:jc w:val="left"/>
              <w:rPr>
                <w:rFonts w:hint="eastAsia" w:eastAsia="仿宋_GB2312"/>
                <w:sz w:val="21"/>
                <w:szCs w:val="21"/>
                <w:lang w:val="en-US" w:eastAsia="zh-CN"/>
              </w:rPr>
            </w:pPr>
            <w:r>
              <w:rPr>
                <w:rFonts w:hint="eastAsia" w:eastAsia="仿宋_GB2312"/>
                <w:sz w:val="21"/>
                <w:szCs w:val="21"/>
                <w:lang w:val="en-US" w:eastAsia="zh-CN"/>
              </w:rPr>
              <w:t>目标5：保供稳价取得实效</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目标6：营商环境改善明显  </w:t>
            </w:r>
          </w:p>
          <w:p>
            <w:pPr>
              <w:widowControl/>
              <w:jc w:val="left"/>
              <w:rPr>
                <w:rFonts w:hint="default" w:eastAsia="仿宋_GB2312"/>
                <w:sz w:val="21"/>
                <w:szCs w:val="21"/>
                <w:lang w:val="en-US" w:eastAsia="zh-CN"/>
              </w:rPr>
            </w:pPr>
            <w:r>
              <w:rPr>
                <w:rFonts w:hint="eastAsia" w:eastAsia="仿宋_GB2312"/>
                <w:sz w:val="21"/>
                <w:szCs w:val="21"/>
                <w:lang w:val="en-US" w:eastAsia="zh-CN"/>
              </w:rPr>
              <w:t>目标7：信用体系建设初见成效</w:t>
            </w:r>
          </w:p>
          <w:p>
            <w:pPr>
              <w:widowControl/>
              <w:jc w:val="both"/>
              <w:rPr>
                <w:rFonts w:eastAsia="仿宋_GB2312"/>
                <w:color w:val="000000"/>
                <w:kern w:val="0"/>
                <w:szCs w:val="21"/>
              </w:rPr>
            </w:pPr>
          </w:p>
        </w:tc>
        <w:tc>
          <w:tcPr>
            <w:tcW w:w="3938" w:type="dxa"/>
            <w:gridSpan w:val="4"/>
            <w:noWrap w:val="0"/>
            <w:vAlign w:val="center"/>
          </w:tcPr>
          <w:p>
            <w:pPr>
              <w:widowControl/>
              <w:jc w:val="left"/>
              <w:rPr>
                <w:rFonts w:hint="eastAsia" w:ascii="仿宋_GB2312" w:eastAsia="仿宋_GB2312"/>
                <w:sz w:val="21"/>
                <w:szCs w:val="21"/>
                <w:lang w:eastAsia="zh-CN"/>
              </w:rPr>
            </w:pPr>
            <w:r>
              <w:rPr>
                <w:rFonts w:eastAsia="仿宋_GB2312"/>
                <w:sz w:val="21"/>
                <w:szCs w:val="21"/>
              </w:rPr>
              <w:t>目标1</w:t>
            </w:r>
            <w:r>
              <w:rPr>
                <w:rFonts w:ascii="仿宋_GB2312" w:eastAsia="仿宋_GB2312"/>
                <w:sz w:val="21"/>
                <w:szCs w:val="21"/>
              </w:rPr>
              <w:t>：</w:t>
            </w:r>
            <w:r>
              <w:rPr>
                <w:rFonts w:hint="eastAsia" w:ascii="仿宋_GB2312" w:eastAsia="仿宋_GB2312"/>
                <w:sz w:val="21"/>
                <w:szCs w:val="21"/>
                <w:lang w:eastAsia="zh-CN"/>
              </w:rPr>
              <w:t>经济运行总体稳健</w:t>
            </w:r>
          </w:p>
          <w:p>
            <w:pPr>
              <w:widowControl/>
              <w:jc w:val="left"/>
              <w:rPr>
                <w:rFonts w:hint="eastAsia" w:ascii="仿宋_GB2312" w:eastAsia="仿宋_GB2312"/>
                <w:sz w:val="21"/>
                <w:szCs w:val="21"/>
                <w:lang w:eastAsia="zh-CN"/>
              </w:rPr>
            </w:pPr>
            <w:r>
              <w:rPr>
                <w:rFonts w:eastAsia="仿宋_GB2312"/>
                <w:sz w:val="21"/>
                <w:szCs w:val="21"/>
              </w:rPr>
              <w:t>目标2</w:t>
            </w:r>
            <w:r>
              <w:rPr>
                <w:rFonts w:ascii="仿宋_GB2312" w:eastAsia="仿宋_GB2312"/>
                <w:sz w:val="21"/>
                <w:szCs w:val="21"/>
              </w:rPr>
              <w:t>：</w:t>
            </w:r>
            <w:r>
              <w:rPr>
                <w:rFonts w:hint="eastAsia" w:ascii="仿宋_GB2312" w:eastAsia="仿宋_GB2312"/>
                <w:sz w:val="21"/>
                <w:szCs w:val="21"/>
                <w:lang w:eastAsia="zh-CN"/>
              </w:rPr>
              <w:t>各类资金争取有力</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目标3：重点项目推进有序 </w:t>
            </w:r>
          </w:p>
          <w:p>
            <w:pPr>
              <w:widowControl/>
              <w:jc w:val="left"/>
              <w:rPr>
                <w:rFonts w:hint="eastAsia" w:eastAsia="仿宋_GB2312"/>
                <w:sz w:val="21"/>
                <w:szCs w:val="21"/>
                <w:lang w:val="en-US" w:eastAsia="zh-CN"/>
              </w:rPr>
            </w:pPr>
            <w:r>
              <w:rPr>
                <w:rFonts w:hint="eastAsia" w:eastAsia="仿宋_GB2312"/>
                <w:sz w:val="21"/>
                <w:szCs w:val="21"/>
                <w:lang w:val="en-US" w:eastAsia="zh-CN"/>
              </w:rPr>
              <w:t>目标4：粮食安全落到实处</w:t>
            </w:r>
          </w:p>
          <w:p>
            <w:pPr>
              <w:widowControl/>
              <w:jc w:val="left"/>
              <w:rPr>
                <w:rFonts w:hint="eastAsia" w:eastAsia="仿宋_GB2312"/>
                <w:sz w:val="21"/>
                <w:szCs w:val="21"/>
                <w:lang w:val="en-US" w:eastAsia="zh-CN"/>
              </w:rPr>
            </w:pPr>
            <w:r>
              <w:rPr>
                <w:rFonts w:hint="eastAsia" w:eastAsia="仿宋_GB2312"/>
                <w:sz w:val="21"/>
                <w:szCs w:val="21"/>
                <w:lang w:val="en-US" w:eastAsia="zh-CN"/>
              </w:rPr>
              <w:t>目标5：保供稳价取得实效</w:t>
            </w:r>
          </w:p>
          <w:p>
            <w:pPr>
              <w:widowControl/>
              <w:jc w:val="left"/>
              <w:rPr>
                <w:rFonts w:hint="eastAsia" w:eastAsia="仿宋_GB2312"/>
                <w:sz w:val="21"/>
                <w:szCs w:val="21"/>
                <w:lang w:val="en-US" w:eastAsia="zh-CN"/>
              </w:rPr>
            </w:pPr>
            <w:r>
              <w:rPr>
                <w:rFonts w:hint="eastAsia" w:eastAsia="仿宋_GB2312"/>
                <w:sz w:val="21"/>
                <w:szCs w:val="21"/>
                <w:lang w:val="en-US" w:eastAsia="zh-CN"/>
              </w:rPr>
              <w:t xml:space="preserve">目标6：营商环境改善明显  </w:t>
            </w:r>
          </w:p>
          <w:p>
            <w:pPr>
              <w:widowControl/>
              <w:jc w:val="left"/>
              <w:rPr>
                <w:rFonts w:hint="default" w:eastAsia="仿宋_GB2312"/>
                <w:sz w:val="21"/>
                <w:szCs w:val="21"/>
                <w:lang w:val="en-US" w:eastAsia="zh-CN"/>
              </w:rPr>
            </w:pPr>
            <w:r>
              <w:rPr>
                <w:rFonts w:hint="eastAsia" w:eastAsia="仿宋_GB2312"/>
                <w:sz w:val="21"/>
                <w:szCs w:val="21"/>
                <w:lang w:val="en-US" w:eastAsia="zh-CN"/>
              </w:rPr>
              <w:t>目标7：信用体系建设初见成效</w:t>
            </w:r>
          </w:p>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5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2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581"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4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5"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2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2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12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重点项目年度投资</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115.96亿元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138.12亿元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vMerge w:val="continue"/>
            <w:noWrap w:val="0"/>
            <w:vAlign w:val="center"/>
          </w:tcPr>
          <w:p>
            <w:pPr>
              <w:widowControl/>
              <w:jc w:val="center"/>
              <w:rPr>
                <w:rFonts w:eastAsia="仿宋_GB2312"/>
                <w:color w:val="000000"/>
                <w:kern w:val="0"/>
                <w:szCs w:val="21"/>
              </w:rPr>
            </w:pP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争取资金</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21.2亿元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22.97亿元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易地扶贫搬迁工作质量达标</w:t>
            </w:r>
          </w:p>
        </w:tc>
        <w:tc>
          <w:tcPr>
            <w:tcW w:w="14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达标</w:t>
            </w:r>
          </w:p>
        </w:tc>
        <w:tc>
          <w:tcPr>
            <w:tcW w:w="1245"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达标</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完成相关工作的年度</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2021年</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2021年</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各项工作完成成本</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863.85万元</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863.85万元</w:t>
            </w:r>
          </w:p>
        </w:tc>
        <w:tc>
          <w:tcPr>
            <w:tcW w:w="52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center"/>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促进县域经济的健康发展</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pPr>
            <w:r>
              <w:t>社会效</w:t>
            </w:r>
          </w:p>
          <w:p>
            <w:pPr>
              <w:widowControl/>
              <w:jc w:val="center"/>
            </w:pPr>
            <w: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提高政府公信力</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150" w:type="dxa"/>
            <w:vMerge w:val="continue"/>
            <w:noWrap w:val="0"/>
            <w:vAlign w:val="center"/>
          </w:tcPr>
          <w:p>
            <w:pPr>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节能降耗工作稳步发展</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150" w:type="dxa"/>
            <w:vMerge w:val="continue"/>
            <w:noWrap w:val="0"/>
            <w:vAlign w:val="center"/>
          </w:tcPr>
          <w:p>
            <w:pPr>
              <w:widowControl/>
              <w:jc w:val="left"/>
              <w:rPr>
                <w:rFonts w:eastAsia="仿宋_GB2312"/>
                <w:color w:val="000000"/>
                <w:kern w:val="0"/>
                <w:szCs w:val="21"/>
              </w:rPr>
            </w:pPr>
          </w:p>
        </w:tc>
        <w:tc>
          <w:tcPr>
            <w:tcW w:w="1125"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促进经济的可持续发展</w:t>
            </w:r>
          </w:p>
        </w:tc>
        <w:tc>
          <w:tcPr>
            <w:tcW w:w="14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722"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15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12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项目业主满意度</w:t>
            </w:r>
          </w:p>
        </w:tc>
        <w:tc>
          <w:tcPr>
            <w:tcW w:w="14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22"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widowControl/>
              <w:jc w:val="left"/>
              <w:rPr>
                <w:rFonts w:eastAsia="仿宋_GB2312"/>
                <w:color w:val="000000"/>
                <w:kern w:val="0"/>
                <w:szCs w:val="21"/>
              </w:rPr>
            </w:pPr>
          </w:p>
        </w:tc>
        <w:tc>
          <w:tcPr>
            <w:tcW w:w="1150" w:type="dxa"/>
            <w:vMerge w:val="continue"/>
            <w:noWrap w:val="0"/>
            <w:vAlign w:val="center"/>
          </w:tcPr>
          <w:p>
            <w:pPr>
              <w:widowControl/>
              <w:jc w:val="left"/>
              <w:rPr>
                <w:rFonts w:eastAsia="仿宋_GB2312"/>
                <w:color w:val="000000"/>
                <w:kern w:val="0"/>
                <w:szCs w:val="21"/>
              </w:rPr>
            </w:pPr>
          </w:p>
        </w:tc>
        <w:tc>
          <w:tcPr>
            <w:tcW w:w="1125" w:type="dxa"/>
            <w:vMerge w:val="continue"/>
            <w:noWrap w:val="0"/>
            <w:vAlign w:val="center"/>
          </w:tcPr>
          <w:p>
            <w:pPr>
              <w:widowControl/>
              <w:jc w:val="center"/>
              <w:rPr>
                <w:rFonts w:eastAsia="仿宋_GB2312"/>
                <w:color w:val="000000"/>
                <w:kern w:val="0"/>
                <w:szCs w:val="21"/>
              </w:rPr>
            </w:pPr>
          </w:p>
        </w:tc>
        <w:tc>
          <w:tcPr>
            <w:tcW w:w="1581" w:type="dxa"/>
            <w:gridSpan w:val="2"/>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价格认证涉案群众满意度</w:t>
            </w:r>
          </w:p>
        </w:tc>
        <w:tc>
          <w:tcPr>
            <w:tcW w:w="144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1245"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525"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22"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46"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525"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722"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Segoe UI"/>
    <w:panose1 w:val="02030600000101010101"/>
    <w:charset w:val="81"/>
    <w:family w:val="roman"/>
    <w:pitch w:val="default"/>
    <w:sig w:usb0="00000000" w:usb1="00000000" w:usb2="00000030" w:usb3="00000000" w:csb0="4008009F" w:csb1="DFD7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EEBA"/>
    <w:multiLevelType w:val="singleLevel"/>
    <w:tmpl w:val="21ACEEBA"/>
    <w:lvl w:ilvl="0" w:tentative="0">
      <w:start w:val="6"/>
      <w:numFmt w:val="decimal"/>
      <w:suff w:val="nothing"/>
      <w:lvlText w:val="%1、"/>
      <w:lvlJc w:val="left"/>
    </w:lvl>
  </w:abstractNum>
  <w:abstractNum w:abstractNumId="1">
    <w:nsid w:val="47D8D57A"/>
    <w:multiLevelType w:val="singleLevel"/>
    <w:tmpl w:val="47D8D57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716C39D9"/>
    <w:rsid w:val="20AC3881"/>
    <w:rsid w:val="2B411F7C"/>
    <w:rsid w:val="2D2B1756"/>
    <w:rsid w:val="43373CA3"/>
    <w:rsid w:val="5E9E0498"/>
    <w:rsid w:val="64E222DC"/>
    <w:rsid w:val="66383CCB"/>
    <w:rsid w:val="716C39D9"/>
    <w:rsid w:val="77DC7E66"/>
    <w:rsid w:val="797F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Lines="0" w:afterLines="0" w:line="480" w:lineRule="auto"/>
      <w:ind w:left="420" w:leftChars="200"/>
    </w:pPr>
    <w:rPr>
      <w:rFonts w:hint="default"/>
      <w:sz w:val="21"/>
    </w:r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9839</Words>
  <Characters>10699</Characters>
  <Lines>0</Lines>
  <Paragraphs>0</Paragraphs>
  <TotalTime>0</TotalTime>
  <ScaleCrop>false</ScaleCrop>
  <LinksUpToDate>false</LinksUpToDate>
  <CharactersWithSpaces>10822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2022-10-31T01:23:00Z</dcterms:created>
  <dc:creator>Xiao筱</dc:creator>
  <cp:lastModifiedBy>空城旧梦</cp:lastModifiedBy>
  <dcterms:modified xsi:type="dcterms:W3CDTF">2023-07-10T06:42:20Z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197D3E5BA4144B4CBB53465A48E98436</vt:lpwstr>
  </property>
</Properties>
</file>