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pStyle w:val="8"/>
        <w:spacing w:beforeAutospacing="0" w:afterAutospacing="0" w:line="560" w:lineRule="exact"/>
        <w:rPr>
          <w:rFonts w:ascii="Times New Roman" w:hAnsi="Times New Roman" w:eastAsia="仿宋_GB2312"/>
          <w:sz w:val="32"/>
          <w:szCs w:val="32"/>
        </w:rPr>
      </w:pPr>
      <w:r>
        <w:rPr>
          <w:rFonts w:ascii="Times New Roman" w:hAnsi="Times New Roman" w:eastAsia="仿宋_GB2312"/>
          <w:sz w:val="32"/>
          <w:szCs w:val="32"/>
        </w:rPr>
        <w:t>附件1</w:t>
      </w:r>
    </w:p>
    <w:p>
      <w:pPr>
        <w:pStyle w:val="8"/>
        <w:spacing w:beforeAutospacing="0" w:afterAutospacing="0" w:line="560" w:lineRule="exact"/>
        <w:jc w:val="center"/>
        <w:rPr>
          <w:rFonts w:hint="eastAsia" w:ascii="Times New Roman" w:hAnsi="Times New Roman" w:eastAsia="方正小标宋简体"/>
          <w:sz w:val="40"/>
          <w:szCs w:val="40"/>
          <w:lang w:val="en-US" w:eastAsia="zh-CN"/>
        </w:rPr>
      </w:pPr>
      <w:r>
        <w:rPr>
          <w:rFonts w:hint="eastAsia" w:ascii="Times New Roman" w:hAnsi="Times New Roman" w:eastAsia="方正小标宋简体"/>
          <w:sz w:val="40"/>
          <w:szCs w:val="40"/>
          <w:lang w:eastAsia="zh-CN"/>
        </w:rPr>
        <w:t>临武县住房和城乡建设局</w:t>
      </w:r>
      <w:r>
        <w:rPr>
          <w:rFonts w:hint="eastAsia" w:ascii="Times New Roman" w:hAnsi="Times New Roman" w:eastAsia="方正小标宋简体"/>
          <w:sz w:val="40"/>
          <w:szCs w:val="40"/>
          <w:lang w:val="en-US" w:eastAsia="zh-CN"/>
        </w:rPr>
        <w:t>2022年</w:t>
      </w:r>
    </w:p>
    <w:p>
      <w:pPr>
        <w:pStyle w:val="8"/>
        <w:spacing w:beforeAutospacing="0" w:afterAutospacing="0" w:line="56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lang w:eastAsia="zh-CN"/>
        </w:rPr>
        <w:t>整体</w:t>
      </w:r>
      <w:bookmarkStart w:id="0" w:name="_GoBack"/>
      <w:bookmarkEnd w:id="0"/>
      <w:r>
        <w:rPr>
          <w:rFonts w:ascii="Times New Roman" w:hAnsi="Times New Roman" w:eastAsia="方正小标宋简体"/>
          <w:sz w:val="40"/>
          <w:szCs w:val="40"/>
        </w:rPr>
        <w:t>绩效自评报告</w:t>
      </w:r>
    </w:p>
    <w:p>
      <w:pPr>
        <w:pStyle w:val="8"/>
        <w:spacing w:beforeAutospacing="0" w:afterAutospacing="0" w:line="240" w:lineRule="exact"/>
        <w:jc w:val="center"/>
        <w:rPr>
          <w:rFonts w:ascii="Times New Roman" w:hAnsi="Times New Roman" w:eastAsia="仿宋_GB2312"/>
          <w:sz w:val="32"/>
          <w:szCs w:val="32"/>
        </w:rPr>
      </w:pP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一、单位基本情况</w:t>
      </w: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（一）机构设置情况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临武县住房和城乡规划建设局内设6个职能股室：办公室（加挂“计划财务室”牌子）、政工室（加挂“监察室”牌子）、政策法规股、工程管理股、规划管理股、住房保障和建设管理股（对外加挂“县危房改造办公室”牌子）。</w:t>
      </w:r>
    </w:p>
    <w:p>
      <w:pPr>
        <w:pStyle w:val="8"/>
        <w:numPr>
          <w:ilvl w:val="0"/>
          <w:numId w:val="1"/>
        </w:numPr>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人员编制情况</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临武县住房和城乡建设局核定编制数</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名，行政编制数</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名，事业编制数</w:t>
      </w:r>
      <w:r>
        <w:rPr>
          <w:rFonts w:hint="eastAsia" w:ascii="仿宋" w:hAnsi="仿宋" w:eastAsia="仿宋" w:cs="仿宋"/>
          <w:sz w:val="32"/>
          <w:szCs w:val="32"/>
          <w:lang w:val="en-US" w:eastAsia="zh-CN"/>
        </w:rPr>
        <w:t>36</w:t>
      </w:r>
      <w:r>
        <w:rPr>
          <w:rFonts w:hint="eastAsia" w:ascii="仿宋" w:hAnsi="仿宋" w:eastAsia="仿宋" w:cs="仿宋"/>
          <w:sz w:val="32"/>
          <w:szCs w:val="32"/>
          <w:lang w:eastAsia="zh-CN"/>
        </w:rPr>
        <w:t>名，自筹编制数</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名。现有在职在岗在编职工</w:t>
      </w:r>
      <w:r>
        <w:rPr>
          <w:rFonts w:hint="eastAsia" w:ascii="仿宋" w:hAnsi="仿宋" w:eastAsia="仿宋" w:cs="仿宋"/>
          <w:sz w:val="32"/>
          <w:szCs w:val="32"/>
          <w:lang w:val="en-US" w:eastAsia="zh-CN"/>
        </w:rPr>
        <w:t>46</w:t>
      </w:r>
      <w:r>
        <w:rPr>
          <w:rFonts w:hint="eastAsia" w:ascii="仿宋" w:hAnsi="仿宋" w:eastAsia="仿宋" w:cs="仿宋"/>
          <w:sz w:val="32"/>
          <w:szCs w:val="32"/>
          <w:lang w:eastAsia="zh-CN"/>
        </w:rPr>
        <w:t>人；离退休</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人。</w:t>
      </w: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（三）主要职能职责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组织拟定全县推进新型城市化、城乡规划、城乡建设、住房保障中长期规划、年度计划并组织实施和监督管理。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贯彻落实有关住房和城乡规划建设的方针政策和法律法规。根据全县国民经济和社会发展战略目标，研究制定全县城乡建设规划发展战略和有关城乡规划法律法规的执行办法并指导监督实施。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负责全县城乡规划的组织编制、审查、报批和实施工作。组织编制并实施城市总体规划、县域城镇体系规划、分区规划、专项规划、历史文化名城保护规划、控制性详细规划；参与土地利用总体规划的审查；指导、推动各乡（镇）、村规划的编制与实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负责对城市规划区域内规划实施进行监督管理，依法实施城乡规划管理监察，查处违反城乡规划的占地、建设行为。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按照城乡建设总体规划和详细规划，负责建设项目选址、建设用地、建设工程的规划审批，核发《建设项目选址意见书》、《建设用地规划许可证》、《建设工程规划许可证》和《乡村建设规划许可证》；负责工程项目完工后的规划复核验收工作；参与城乡规划区内各类建设项目的可行性研究和初步设计审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负责组织并实施房地产发展和保障性住房规划。组织拟订全县房产管理和房产开发的政策和规划并指导监督实施，推进住房制度改革；拟订全县住房保障相关政策并指导实施，编制全县城镇保障性住房发展规划及年度计划并监督实施；承担城镇低收入家庭住房保障工作；会同有关部门监督廉租住房资金的使用；指导监督城镇棚户区改造、经济适用住房建设，指导规范保障性住房的经营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组织执行工程建设实施阶段的国家现行标准、规范规程、全国统一定额和行业标准定额，研究制定我县工程建设实施阶段的地方技术措施、标准定额和工程造价管理制度并监督执行，会同有关部门组织或参与制定建设标准和工程造价的管理制度，会同有关部门组织或参与制定建设项目可行性研究经济评价方法、经济参数、投资估算指标、建设工程定额和建设用地指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承担全县城乡建设管理工作的责任。负责城市基础设施配套费征收管理使用工作；负责建设项目初步设计及施工图设计文件涉及安全和强制性标准执行情况进行审查；指导监督施工图技术性审查；负责建设项目的勘察设计、工程施工管理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指导和管理全县建筑活动，承担全县建设市场监督管理的责任，规范市场行为，维护市场秩序，监督管理建设工程交易活动。贯彻国家、省、市有关建筑业、勘察设计咨询业法律、法规；拟订建筑业、勘察设计咨询业的行业发展战略、中长期规划、改革方案、产业政策、技术政策并指导实施；拟订规范建筑市场各方主体行为的规章制度并监督执行；拟订勘察设计咨询、工程施工、工程监理和相关社会中介组织管理的办法并监督执行；指导监督建筑市场准入、工程招投标、劳保统筹等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承担全县建筑工程质量安全监督管理的责任。拟订全县工程质量、安全生产和竣工验收备案的办法和制度并监督执行；负责工程报建和施工许可证的审核审批；负责建设监理、工程技术、质量安全、文明施工等工作的监督管理工作；组织或参与建设工程质量、安全事故的调查处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承担规范和指导村镇建设的责任。拟订村庄和小城镇建设办法并指导实施；指导农村住房建设及农村危房改造，指导小城镇和村庄人居生态环境改善工作；指导全县重点镇建设。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承担推进全县建筑节能与建设科技进步的责任。组织制定全县建筑节能办法、规划并监督实施，组织实施重大建筑节能项目；制定建设行业科技发展规划和技术政策，组织重大科技项目攻关和新技术开发利用，管理行业科技成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承担指导全县城镇污水减排的责任。指导全县城镇污水、生活垃圾处理设施建设和重大减排项目实施，推进城镇减排。</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参与全县世界（国家）自然遗产、自然与文化双遗产、历史文化镇（村）的申报和监督管理工作；参与城市防洪、人防工程建设、过境公路建设的协调工作；参与重点建设项目可行性研究、选址定点、计划立项等工作；指导城市勘察、城市景观、市政工程测量、城市地下空间开发利用工作；指导全县乡、镇、村庄建设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拟订全县建设和规划行业人才发展规划，指导建设和规划行业人才队伍建设，负责住房和城乡规划建设系统职工队伍的培训和继续教育工作，负责专业技术职称评定和职业资格管理的有关工作。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承担城市建设和规划资金的安排和使用情况的审计工作；承担城市城建规费的征收和管理工作；承担建筑企业劳动保险基金统筹管理工作。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组织协调建筑和规划市场综合执法工作。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负责全县建设和规划行业的党风廉政建设和安全生产工作。拟定并实施行业的党风廉政建设和安全生产工作规划，切实转变政风行风，树立系统良好形象；落实行业安全生产监管职责，防范行业安全生产事故风险。</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承办县委、县人民政府和上级主管部门交办的其他事项。</w:t>
      </w: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（四）绩效目标设定情况</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严格按照职责职能行政办公，保障单位正常办公；</w:t>
      </w:r>
      <w:r>
        <w:rPr>
          <w:rFonts w:hint="eastAsia" w:ascii="仿宋" w:hAnsi="仿宋" w:eastAsia="仿宋" w:cs="仿宋"/>
          <w:sz w:val="32"/>
          <w:szCs w:val="32"/>
          <w:lang w:val="en-US" w:eastAsia="zh-CN"/>
        </w:rPr>
        <w:t>2、</w:t>
      </w:r>
      <w:r>
        <w:rPr>
          <w:rFonts w:hint="eastAsia" w:ascii="仿宋" w:hAnsi="仿宋" w:eastAsia="仿宋" w:cs="仿宋"/>
          <w:sz w:val="32"/>
          <w:szCs w:val="32"/>
        </w:rPr>
        <w:t>严格施工图纸审查，合理建设城市，提高工程质量；</w:t>
      </w:r>
      <w:r>
        <w:rPr>
          <w:rFonts w:hint="eastAsia" w:ascii="仿宋" w:hAnsi="仿宋" w:eastAsia="仿宋" w:cs="仿宋"/>
          <w:sz w:val="32"/>
          <w:szCs w:val="32"/>
          <w:lang w:val="en-US" w:eastAsia="zh-CN"/>
        </w:rPr>
        <w:t>3、</w:t>
      </w:r>
      <w:r>
        <w:rPr>
          <w:rFonts w:hint="eastAsia" w:ascii="仿宋" w:hAnsi="仿宋" w:eastAsia="仿宋" w:cs="仿宋"/>
          <w:sz w:val="32"/>
          <w:szCs w:val="32"/>
        </w:rPr>
        <w:t>管理监督建设工程的质量和建筑施工安全；维护建设市场体系秩序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4、积极推进人防安全知识宣传，推进人防宣教基地建设；5、完善城市供排水系统，提升群众生活环境；6、推进老旧小区改造项目，提高群众居住环境。</w:t>
      </w:r>
    </w:p>
    <w:p>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（一）经批复的预、决算情况</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局经批复的预算申请收入总额为1282.8万元，其中：一般公共预算拨款918.8万元，纳入专户管理的非税收入拨款265.5万元，上级补助资金364万元。经批复的预算申请支出总额为1282.8万元，其中：基本支出603.3万元，项目支出679.5万元。</w:t>
      </w:r>
    </w:p>
    <w:p>
      <w:pPr>
        <w:pStyle w:val="8"/>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（二）部门预算执行情况</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1.基本支出情况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2022年我局实际基本支为787.84万元，预算执行率为130%。</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项目支出情况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2022年我局实际项目支出为2515.62万元，预算执行率为370%。</w:t>
      </w:r>
    </w:p>
    <w:p>
      <w:pPr>
        <w:pStyle w:val="8"/>
        <w:widowControl/>
        <w:spacing w:beforeAutospacing="0" w:afterAutospacing="0"/>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rPr>
        <w:t>（1）2022年度专项资金安排和使用管理情况。</w:t>
      </w:r>
      <w:r>
        <w:rPr>
          <w:rFonts w:hint="eastAsia" w:ascii="仿宋" w:hAnsi="仿宋" w:eastAsia="仿宋" w:cs="仿宋"/>
          <w:sz w:val="32"/>
          <w:szCs w:val="32"/>
          <w:lang w:val="en-US" w:eastAsia="zh-CN"/>
        </w:rPr>
        <w:t>2022年我局共安排22个专项资金项目，总金额为2515.62万元。其中1、施工图纸审查经费为县级专项经费。根据</w:t>
      </w:r>
      <w:r>
        <w:rPr>
          <w:rFonts w:hint="eastAsia" w:ascii="仿宋" w:hAnsi="仿宋" w:eastAsia="仿宋" w:cs="仿宋"/>
          <w:kern w:val="2"/>
          <w:sz w:val="32"/>
          <w:szCs w:val="32"/>
          <w:lang w:val="en-US" w:eastAsia="zh-CN" w:bidi="ar"/>
        </w:rPr>
        <w:t>上级要求对所有项目在施工系统进行施工图纸审查，图审机构由图审系统随机选择。图审费实行政府购买服务。施工图纸审查经费预算金额为100万元，决算金额为241.5万元，预算执行率达到240%。主要是由于2022年支付了以前年度的图纸审查经费以及2022年当年的图纸审查经费。2、危房改造补助经费</w:t>
      </w:r>
      <w:r>
        <w:rPr>
          <w:rFonts w:hint="eastAsia" w:ascii="仿宋" w:hAnsi="仿宋" w:eastAsia="仿宋" w:cs="仿宋"/>
          <w:sz w:val="32"/>
          <w:szCs w:val="32"/>
          <w:lang w:eastAsia="zh-CN"/>
        </w:rPr>
        <w:t>为中央补助资金，用于</w:t>
      </w:r>
      <w:r>
        <w:rPr>
          <w:rFonts w:hint="eastAsia" w:ascii="仿宋" w:hAnsi="仿宋" w:eastAsia="仿宋" w:cs="仿宋"/>
          <w:b w:val="0"/>
          <w:bCs/>
          <w:spacing w:val="0"/>
          <w:sz w:val="32"/>
          <w:szCs w:val="32"/>
          <w:lang w:eastAsia="zh-CN"/>
        </w:rPr>
        <w:t>农村易返贫致贫户、农村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这“六</w:t>
      </w:r>
      <w:r>
        <w:rPr>
          <w:rFonts w:hint="eastAsia" w:ascii="仿宋" w:hAnsi="仿宋" w:eastAsia="仿宋" w:cs="仿宋"/>
          <w:b w:val="0"/>
          <w:bCs/>
          <w:spacing w:val="0"/>
          <w:sz w:val="32"/>
          <w:szCs w:val="32"/>
          <w:lang w:val="en-US" w:eastAsia="zh-CN"/>
        </w:rPr>
        <w:t>类人员</w:t>
      </w:r>
      <w:r>
        <w:rPr>
          <w:rFonts w:hint="eastAsia" w:ascii="仿宋" w:hAnsi="仿宋" w:eastAsia="仿宋" w:cs="仿宋"/>
          <w:b w:val="0"/>
          <w:bCs/>
          <w:spacing w:val="0"/>
          <w:sz w:val="32"/>
          <w:szCs w:val="32"/>
          <w:lang w:eastAsia="zh-CN"/>
        </w:rPr>
        <w:t>”开展农村危房改造。</w:t>
      </w:r>
      <w:r>
        <w:rPr>
          <w:rFonts w:hint="eastAsia" w:ascii="仿宋" w:hAnsi="仿宋" w:eastAsia="仿宋" w:cs="仿宋"/>
          <w:sz w:val="32"/>
          <w:szCs w:val="32"/>
          <w:lang w:val="en-US" w:eastAsia="zh-CN"/>
        </w:rPr>
        <w:t>2022年我县完成农村危房改造需求176户，拨付上级危改补助资金共300万元。</w:t>
      </w:r>
    </w:p>
    <w:p>
      <w:pPr>
        <w:pStyle w:val="8"/>
        <w:numPr>
          <w:ilvl w:val="0"/>
          <w:numId w:val="2"/>
        </w:numPr>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除专项资金以外的其他项目支出情况。</w:t>
      </w:r>
    </w:p>
    <w:p>
      <w:pPr>
        <w:pStyle w:val="8"/>
        <w:numPr>
          <w:ilvl w:val="0"/>
          <w:numId w:val="0"/>
        </w:numPr>
        <w:spacing w:beforeAutospacing="0" w:afterAutospacing="0"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2022年我局所有项目经费均为专项资金，实行专款专用。无其他非专项支出。</w:t>
      </w:r>
    </w:p>
    <w:p>
      <w:pPr>
        <w:pStyle w:val="8"/>
        <w:numPr>
          <w:ilvl w:val="0"/>
          <w:numId w:val="1"/>
        </w:numPr>
        <w:spacing w:beforeAutospacing="0" w:afterAutospacing="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“三公”经费使用和管理情况</w:t>
      </w:r>
    </w:p>
    <w:p>
      <w:pPr>
        <w:pStyle w:val="8"/>
        <w:numPr>
          <w:ilvl w:val="0"/>
          <w:numId w:val="0"/>
        </w:numPr>
        <w:spacing w:beforeAutospacing="0" w:afterAutospacing="0" w:line="560" w:lineRule="exact"/>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我局“三公”经费支出3.73万元，其中公务用车购置及运行维护费2万元，公务接待费1.73万元。我局严格按照规定管理和使用公务用车，坚决禁止公车私用的情况发生。公务用车实行统一管理，严格报备使用。在公务用车运行中，仔细行驶，遵守交通规则；公务用车维护上，在保障车辆安全的情况下，厉行节约，杜绝不必要的浪费。</w:t>
      </w:r>
    </w:p>
    <w:p>
      <w:pPr>
        <w:pStyle w:val="8"/>
        <w:numPr>
          <w:ilvl w:val="0"/>
          <w:numId w:val="1"/>
        </w:numPr>
        <w:spacing w:beforeAutospacing="0" w:afterAutospacing="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资金结转和结余情况</w:t>
      </w:r>
    </w:p>
    <w:p>
      <w:pPr>
        <w:pStyle w:val="8"/>
        <w:numPr>
          <w:ilvl w:val="0"/>
          <w:numId w:val="0"/>
        </w:numPr>
        <w:spacing w:beforeAutospacing="0" w:afterAutospacing="0" w:line="560" w:lineRule="exact"/>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2022年我局无资金结转结余情况。</w:t>
      </w:r>
    </w:p>
    <w:p>
      <w:pPr>
        <w:pStyle w:val="8"/>
        <w:numPr>
          <w:ilvl w:val="0"/>
          <w:numId w:val="1"/>
        </w:numPr>
        <w:spacing w:beforeAutospacing="0" w:afterAutospacing="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部门整体支出管理与制度建设情况</w:t>
      </w:r>
    </w:p>
    <w:p>
      <w:pPr>
        <w:pStyle w:val="8"/>
        <w:numPr>
          <w:ilvl w:val="0"/>
          <w:numId w:val="0"/>
        </w:numPr>
        <w:spacing w:beforeAutospacing="0" w:afterAutospacing="0" w:line="560" w:lineRule="exact"/>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2022年我局在日常财务收支中，严格按照财务制度和内控制度执行，采用五人会审机制，严格专款专用。</w:t>
      </w:r>
    </w:p>
    <w:p>
      <w:pPr>
        <w:pStyle w:val="8"/>
        <w:spacing w:beforeAutospacing="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三、政府性基金预算支出情况</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临武县住房和城乡建设局</w:t>
      </w:r>
      <w:r>
        <w:rPr>
          <w:rFonts w:hint="eastAsia" w:ascii="仿宋" w:hAnsi="仿宋" w:eastAsia="仿宋" w:cs="仿宋"/>
          <w:sz w:val="32"/>
          <w:szCs w:val="32"/>
          <w:lang w:val="en-US" w:eastAsia="zh-CN"/>
        </w:rPr>
        <w:t>2022年无政府性基金预算支出。</w:t>
      </w:r>
    </w:p>
    <w:p>
      <w:pPr>
        <w:pStyle w:val="8"/>
        <w:numPr>
          <w:ilvl w:val="0"/>
          <w:numId w:val="0"/>
        </w:numPr>
        <w:spacing w:beforeAutospacing="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国有资本经营预算支出情况</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临武县住房和城乡建设局</w:t>
      </w:r>
      <w:r>
        <w:rPr>
          <w:rFonts w:hint="eastAsia" w:ascii="仿宋" w:hAnsi="仿宋" w:eastAsia="仿宋" w:cs="仿宋"/>
          <w:sz w:val="32"/>
          <w:szCs w:val="32"/>
          <w:lang w:val="en-US" w:eastAsia="zh-CN"/>
        </w:rPr>
        <w:t>2022年无</w:t>
      </w:r>
      <w:r>
        <w:rPr>
          <w:rFonts w:hint="eastAsia" w:ascii="仿宋" w:hAnsi="仿宋" w:eastAsia="仿宋" w:cs="仿宋"/>
          <w:sz w:val="32"/>
          <w:szCs w:val="32"/>
        </w:rPr>
        <w:t>国有资本经营预算支出</w:t>
      </w:r>
      <w:r>
        <w:rPr>
          <w:rFonts w:hint="eastAsia" w:ascii="仿宋" w:hAnsi="仿宋" w:eastAsia="仿宋" w:cs="仿宋"/>
          <w:sz w:val="32"/>
          <w:szCs w:val="32"/>
          <w:lang w:val="en-US" w:eastAsia="zh-CN"/>
        </w:rPr>
        <w:t>。</w:t>
      </w:r>
    </w:p>
    <w:p>
      <w:pPr>
        <w:pStyle w:val="8"/>
        <w:numPr>
          <w:ilvl w:val="0"/>
          <w:numId w:val="3"/>
        </w:numPr>
        <w:spacing w:beforeAutospacing="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社会保险基金预算支出情况</w:t>
      </w:r>
    </w:p>
    <w:p>
      <w:pPr>
        <w:pStyle w:val="8"/>
        <w:numPr>
          <w:ilvl w:val="0"/>
          <w:numId w:val="0"/>
        </w:numPr>
        <w:spacing w:beforeAutospacing="0" w:afterAutospacing="0" w:line="56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仿宋" w:hAnsi="仿宋" w:eastAsia="仿宋" w:cs="仿宋"/>
          <w:sz w:val="32"/>
          <w:szCs w:val="32"/>
          <w:lang w:val="en-US" w:eastAsia="zh-CN"/>
        </w:rPr>
        <w:t xml:space="preserve">   临武县住房和城乡建设局2022年无社会保险基金支出。</w:t>
      </w:r>
    </w:p>
    <w:p>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（一）综合评价结论。</w:t>
      </w:r>
      <w:r>
        <w:rPr>
          <w:rFonts w:hint="eastAsia" w:ascii="仿宋" w:hAnsi="仿宋" w:eastAsia="仿宋" w:cs="仿宋"/>
          <w:sz w:val="32"/>
          <w:szCs w:val="32"/>
          <w:lang w:val="en-US" w:eastAsia="zh-CN"/>
        </w:rPr>
        <w:t>2022年我局整体支出绩效综合评价99分，等级为优。</w:t>
      </w:r>
    </w:p>
    <w:p>
      <w:pPr>
        <w:pStyle w:val="8"/>
        <w:snapToGrid w:val="0"/>
        <w:spacing w:beforeAutospacing="0" w:afterAutospacing="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（二）或综合评价情况。</w:t>
      </w:r>
      <w:r>
        <w:rPr>
          <w:rFonts w:hint="eastAsia" w:ascii="仿宋" w:hAnsi="仿宋" w:eastAsia="仿宋" w:cs="仿宋"/>
          <w:sz w:val="32"/>
          <w:szCs w:val="32"/>
          <w:lang w:eastAsia="zh-CN"/>
        </w:rPr>
        <w:t>根据我局</w:t>
      </w:r>
      <w:r>
        <w:rPr>
          <w:rFonts w:hint="eastAsia" w:ascii="仿宋" w:hAnsi="仿宋" w:eastAsia="仿宋" w:cs="仿宋"/>
          <w:sz w:val="32"/>
          <w:szCs w:val="32"/>
        </w:rPr>
        <w:t>职责职能行政办公，保障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单位正常办公；严格施工图纸审查，合理建设城市，提高工程质量；管理监督建设工程的质量和建筑施工安全；维护建设市场体系秩序</w:t>
      </w:r>
      <w:r>
        <w:rPr>
          <w:rFonts w:hint="eastAsia" w:ascii="仿宋" w:hAnsi="仿宋" w:eastAsia="仿宋" w:cs="仿宋"/>
          <w:sz w:val="32"/>
          <w:szCs w:val="32"/>
          <w:lang w:eastAsia="zh-CN"/>
        </w:rPr>
        <w:t>。我局监管全县建筑工程质量和建筑施工安全，招投标工作，人防工作，供排水等。在建筑工程质量方面，严格施工图纸审查，对所有申报施工图纸审查的建筑项目，采取系统随机图审，统一图审路径，严格图审质量，力争群众满意度达</w:t>
      </w:r>
      <w:r>
        <w:rPr>
          <w:rFonts w:hint="eastAsia" w:ascii="仿宋" w:hAnsi="仿宋" w:eastAsia="仿宋" w:cs="仿宋"/>
          <w:sz w:val="32"/>
          <w:szCs w:val="32"/>
          <w:lang w:val="en-US" w:eastAsia="zh-CN"/>
        </w:rPr>
        <w:t>100%，在年度预算中，申报施工图纸审查经费，专款专用。在招投标工作中，严格按照规章制度执行，符合招投标条件的所有项目工程，采取招投标形式执行，年度预算中，安排招投标工作专项经费，保障招投标工作正常运行。监督管理建筑工程质量安全，严格建筑工程质量，保障群众居住安全，严格管理工地健康安全在年度预算中，安排质安站工作经费，保障质安站工作正常运行。</w:t>
      </w:r>
    </w:p>
    <w:p>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七、存在的问题及原因分析</w:t>
      </w:r>
    </w:p>
    <w:p>
      <w:pPr>
        <w:pStyle w:val="8"/>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局预算与决算支出存在一定是差异，主要原因是在项目资金的差异上。存在以下问题：1、预算项目未得到预算审批。比如武水河、沙溪河污水主干管检测费预算82.5万元，未通过预算审批；临武县排水防涝系统化建设项目预算中央资金360万元，未通过预算审批。2、预算项目实际支出金额比预算金额大。比如施工图纸审查经费，预算为100万元，决算为245.1万元，主要原因是向相关部门申请支付了以前年度的施工图纸经费，导致预算支出执行差异。3、存在未申报预算项目，因实际工作需要，通过向相关部门申请拨付资金项目资金。比如建筑工程公司危房拆除资金30.8万元以及官山廊桥项目垫付资金追缴诉讼代理费13.37万元等项目，未申报预算，由于实际工作需要，向相关部门申请拨付了项目资金，导致预算支出执行的差异。</w:t>
      </w:r>
    </w:p>
    <w:p>
      <w:pPr>
        <w:pStyle w:val="8"/>
        <w:numPr>
          <w:ilvl w:val="0"/>
          <w:numId w:val="4"/>
        </w:numPr>
        <w:spacing w:beforeAutospacing="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下一步改进措施</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在单位年度预算时，要根据部门职责，实际工作需要及行业规划，申报单位预算，减少预算支出执行差异。严格专款专用。</w:t>
      </w:r>
    </w:p>
    <w:p>
      <w:pPr>
        <w:pStyle w:val="8"/>
        <w:numPr>
          <w:ilvl w:val="0"/>
          <w:numId w:val="4"/>
        </w:numPr>
        <w:spacing w:beforeAutospacing="0" w:afterAutospacing="0"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其他需要说明的情况</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农村危房改造补助经费，为中央资金。2022年拨付303.5万元危房改造补助资金，在审核阶段，发现一户不符合危改条件。于2023年1月退回3.5万元。2022年实际拨付300万元。</w:t>
      </w:r>
    </w:p>
    <w:p>
      <w:pPr>
        <w:pStyle w:val="8"/>
        <w:numPr>
          <w:ilvl w:val="0"/>
          <w:numId w:val="0"/>
        </w:numPr>
        <w:spacing w:beforeAutospacing="0" w:afterAutospacing="0" w:line="560" w:lineRule="exact"/>
        <w:ind w:firstLine="640" w:firstLineChars="200"/>
        <w:rPr>
          <w:rFonts w:hint="eastAsia" w:ascii="仿宋" w:hAnsi="仿宋" w:eastAsia="仿宋" w:cs="仿宋"/>
          <w:sz w:val="32"/>
          <w:szCs w:val="32"/>
          <w:lang w:val="en-US" w:eastAsia="zh-CN"/>
        </w:rPr>
      </w:pPr>
    </w:p>
    <w:p>
      <w:pPr>
        <w:pStyle w:val="8"/>
        <w:numPr>
          <w:ilvl w:val="0"/>
          <w:numId w:val="0"/>
        </w:numPr>
        <w:spacing w:beforeAutospacing="0" w:afterAutospacing="0" w:line="560" w:lineRule="exact"/>
        <w:ind w:firstLine="640" w:firstLineChars="200"/>
        <w:rPr>
          <w:rFonts w:hint="eastAsia" w:ascii="Times New Roman" w:hAnsi="Times New Roman" w:eastAsia="仿宋_GB2312"/>
          <w:sz w:val="32"/>
          <w:szCs w:val="32"/>
          <w:lang w:val="en-US" w:eastAsia="zh-CN"/>
        </w:rPr>
      </w:pPr>
    </w:p>
    <w:p>
      <w:pPr>
        <w:pStyle w:val="8"/>
        <w:spacing w:beforeAutospacing="0" w:afterAutospacing="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w:t>
      </w:r>
    </w:p>
    <w:p>
      <w:pPr>
        <w:pStyle w:val="8"/>
        <w:spacing w:beforeAutospacing="0" w:afterAutospacing="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1.部门整体支出绩效评价基础数据表</w:t>
      </w:r>
    </w:p>
    <w:p>
      <w:pPr>
        <w:pStyle w:val="8"/>
        <w:spacing w:beforeAutospacing="0" w:afterAutospacing="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2.部门整体支出绩效自评表</w:t>
      </w: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r>
        <w:rPr>
          <w:rFonts w:ascii="Times New Roman" w:hAnsi="Times New Roman" w:eastAsia="仿宋_GB2312"/>
          <w:sz w:val="32"/>
          <w:szCs w:val="32"/>
        </w:rPr>
        <w:t>附件1-1</w:t>
      </w:r>
    </w:p>
    <w:p>
      <w:pPr>
        <w:pStyle w:val="8"/>
        <w:widowControl/>
        <w:spacing w:beforeAutospacing="0" w:afterAutospacing="0" w:line="50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部门整体支出绩效评价基础数据表</w:t>
      </w:r>
    </w:p>
    <w:tbl>
      <w:tblPr>
        <w:tblStyle w:val="9"/>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3948"/>
        <w:gridCol w:w="1800"/>
        <w:gridCol w:w="1876"/>
        <w:gridCol w:w="167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控制率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pacing w:line="300" w:lineRule="exact"/>
              <w:ind w:firstLine="440" w:firstLineChars="200"/>
              <w:jc w:val="left"/>
              <w:rPr>
                <w:rFonts w:ascii="Times New Roman" w:hAnsi="Times New Roman" w:cs="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55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56</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98%</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上年决算数</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hint="default" w:ascii="Times New Roman" w:hAnsi="Times New Roman"/>
                <w:sz w:val="22"/>
                <w:szCs w:val="22"/>
                <w:lang w:val="en-US"/>
              </w:rPr>
            </w:pPr>
            <w:r>
              <w:rPr>
                <w:rFonts w:hint="eastAsia" w:ascii="Times New Roman" w:hAnsi="Times New Roman"/>
                <w:sz w:val="22"/>
                <w:szCs w:val="22"/>
                <w:lang w:val="en-US" w:eastAsia="zh-CN"/>
              </w:rPr>
              <w:t>3303.46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1282.8</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center"/>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1520.99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926.81</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72.1</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146.88</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3.73</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5.5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2.06</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0.47</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1.73</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1.59</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2515.62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both"/>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679.5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853.9</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1、业务工作专项(一个项目一行)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2268.67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243.5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836.4</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石门数字博物馆服务费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2.4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16</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夜景照明项目资金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334</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rPr>
            </w:pPr>
            <w:r>
              <w:rPr>
                <w:rFonts w:hint="eastAsia" w:ascii="Times New Roman" w:hAnsi="Times New Roman"/>
                <w:sz w:val="22"/>
                <w:szCs w:val="22"/>
                <w:lang w:val="en-US" w:eastAsia="zh-CN"/>
              </w:rPr>
              <w:t>429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老旧小区改造规划设计费2020至2035年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黄龙山人防宣教基地建设资金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南福村传统村落保护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施工图审查费用</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241.5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100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39.9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住建局专项业务经费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农村危房改造工作经费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29.77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创建湖南省历史文化名城工作经费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9.4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城区背街小巷提质改造项目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89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农村房屋建筑普查经费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58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农村危房改造补助资金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303.5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农村房屋危险性鉴定费用</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10.69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神山乌云洞房屋检测费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18.8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县城老旧小区改造资金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1123.4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211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武水河、沙溪河污水主干管检测费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82.5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城建档案整理</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36.2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城区排水系统款</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18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jc w:val="both"/>
              <w:rPr>
                <w:rFonts w:hint="eastAsia" w:ascii="Times New Roman" w:hAnsi="Times New Roman"/>
                <w:sz w:val="22"/>
                <w:szCs w:val="22"/>
              </w:rPr>
            </w:pPr>
            <w:r>
              <w:rPr>
                <w:rFonts w:hint="eastAsia" w:ascii="Times New Roman" w:hAnsi="Times New Roman"/>
                <w:sz w:val="22"/>
                <w:szCs w:val="22"/>
              </w:rPr>
              <w:t>排水防涝系统</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24.8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2、运行维护专项(一个项目一行)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 sum(B33:B37) \* MERGEFORMAT </w:instrText>
            </w:r>
            <w:r>
              <w:rPr>
                <w:rFonts w:ascii="Times New Roman" w:hAnsi="Times New Roman"/>
                <w:sz w:val="22"/>
                <w:szCs w:val="22"/>
              </w:rPr>
              <w:fldChar w:fldCharType="separate"/>
            </w:r>
            <w:r>
              <w:rPr>
                <w:rFonts w:ascii="Times New Roman" w:hAnsi="Times New Roman"/>
                <w:sz w:val="22"/>
                <w:szCs w:val="22"/>
              </w:rPr>
              <w:t>71.78</w:t>
            </w:r>
            <w:r>
              <w:rPr>
                <w:rFonts w:ascii="Times New Roman" w:hAnsi="Times New Roman"/>
                <w:sz w:val="22"/>
                <w:szCs w:val="22"/>
              </w:rPr>
              <w:fldChar w:fldCharType="end"/>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76</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10.1</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人防专项经费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18.81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0.9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人防警报设备</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6</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6</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人防演练专项经费（专项审批）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人武部办公楼大厅及亮化灯维修经费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6.51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应急巡逻中队专项经费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35.46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60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660" w:firstLineChars="300"/>
              <w:rPr>
                <w:rFonts w:ascii="Times New Roman" w:hAnsi="Times New Roman"/>
                <w:sz w:val="22"/>
                <w:szCs w:val="22"/>
              </w:rPr>
            </w:pPr>
            <w:r>
              <w:rPr>
                <w:rFonts w:ascii="Times New Roman" w:hAnsi="Times New Roman"/>
                <w:sz w:val="22"/>
                <w:szCs w:val="22"/>
              </w:rPr>
              <w:t>3、县级专项资金(一个专项一行)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 sum(B39:B43) \* MERGEFORMAT </w:instrText>
            </w:r>
            <w:r>
              <w:rPr>
                <w:rFonts w:ascii="Times New Roman" w:hAnsi="Times New Roman"/>
                <w:sz w:val="22"/>
                <w:szCs w:val="22"/>
              </w:rPr>
              <w:fldChar w:fldCharType="separate"/>
            </w:r>
            <w:r>
              <w:rPr>
                <w:rFonts w:ascii="Times New Roman" w:hAnsi="Times New Roman"/>
                <w:sz w:val="22"/>
                <w:szCs w:val="22"/>
              </w:rPr>
              <w:t>175.17</w:t>
            </w:r>
            <w:r>
              <w:rPr>
                <w:rFonts w:ascii="Times New Roman" w:hAnsi="Times New Roman"/>
                <w:sz w:val="22"/>
                <w:szCs w:val="22"/>
              </w:rPr>
              <w:fldChar w:fldCharType="end"/>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360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7.4</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官山廊桥项目垫付资金追缴诉讼代理费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13.37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eastAsia" w:ascii="Times New Roman" w:hAnsi="Times New Roman" w:eastAsiaTheme="minorEastAsia"/>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eastAsia" w:ascii="Times New Roman" w:hAnsi="Times New Roman" w:eastAsiaTheme="minorEastAsia"/>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ascii="Times New Roman" w:hAnsi="Times New Roman"/>
                <w:sz w:val="22"/>
                <w:szCs w:val="22"/>
              </w:rPr>
            </w:pPr>
            <w:r>
              <w:rPr>
                <w:rFonts w:hint="eastAsia" w:ascii="Times New Roman" w:hAnsi="Times New Roman"/>
                <w:sz w:val="22"/>
                <w:szCs w:val="22"/>
              </w:rPr>
              <w:t>村镇污水处理厂运行经费</w:t>
            </w:r>
            <w:r>
              <w:rPr>
                <w:rFonts w:ascii="Times New Roman" w:hAnsi="Times New Roman"/>
                <w:sz w:val="22"/>
                <w:szCs w:val="22"/>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131</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eastAsia" w:ascii="Times New Roman" w:hAnsi="Times New Roman" w:eastAsiaTheme="minorEastAsia"/>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建筑工程公司危房拆除资金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30.8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临武县排水防涝系统化建设项目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360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rPr>
                <w:rFonts w:hint="eastAsia" w:ascii="Times New Roman" w:hAnsi="Times New Roman"/>
                <w:sz w:val="22"/>
                <w:szCs w:val="22"/>
              </w:rPr>
            </w:pPr>
            <w:r>
              <w:rPr>
                <w:rFonts w:hint="eastAsia" w:ascii="Times New Roman" w:hAnsi="Times New Roman"/>
                <w:sz w:val="22"/>
                <w:szCs w:val="22"/>
              </w:rPr>
              <w:t>退城市基础设备配套费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hint="default" w:ascii="Times New Roman" w:hAnsi="Times New Roman"/>
                <w:sz w:val="22"/>
                <w:szCs w:val="22"/>
                <w:lang w:val="en-US" w:eastAsia="zh-CN"/>
              </w:rPr>
            </w:pPr>
            <w:r>
              <w:rPr>
                <w:rFonts w:hint="eastAsia" w:ascii="Times New Roman" w:hAnsi="Times New Roman"/>
                <w:sz w:val="22"/>
                <w:szCs w:val="22"/>
                <w:lang w:val="en-US" w:eastAsia="zh-CN"/>
              </w:rPr>
              <w:t>7.4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100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241.5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52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widowControl/>
              <w:spacing w:beforeAutospacing="0" w:afterAutospacing="0" w:line="300" w:lineRule="exact"/>
              <w:ind w:firstLine="440" w:firstLineChars="200"/>
              <w:jc w:val="both"/>
              <w:rPr>
                <w:rFonts w:hint="eastAsia" w:ascii="Times New Roman" w:hAnsi="Times New Roman" w:eastAsiaTheme="minorEastAsia"/>
                <w:sz w:val="22"/>
                <w:szCs w:val="22"/>
                <w:lang w:eastAsia="zh-CN"/>
              </w:rPr>
            </w:pPr>
            <w:r>
              <w:rPr>
                <w:rFonts w:hint="eastAsia" w:ascii="Times New Roman" w:hAnsi="Times New Roman"/>
                <w:sz w:val="22"/>
                <w:szCs w:val="22"/>
                <w:lang w:eastAsia="zh-CN"/>
              </w:rPr>
              <w:t>在保障机关业务工作正常运行的情况下，严格控制各项支出。对专项资金专款专用，严格把控支出明细，从根本上杜绝浪费。</w:t>
            </w:r>
          </w:p>
        </w:tc>
      </w:tr>
    </w:tbl>
    <w:p>
      <w:pPr>
        <w:pStyle w:val="8"/>
        <w:widowControl/>
        <w:spacing w:beforeAutospacing="0" w:afterAutospacing="0" w:line="384" w:lineRule="atLeast"/>
        <w:rPr>
          <w:rFonts w:ascii="Times New Roman" w:hAnsi="Times New Roman" w:eastAsia="宋体"/>
          <w:sz w:val="22"/>
          <w:szCs w:val="22"/>
        </w:rPr>
      </w:pPr>
      <w:r>
        <w:rPr>
          <w:rFonts w:ascii="Times New Roman" w:hAnsi="Times New Roman" w:eastAsia="宋体"/>
          <w:sz w:val="22"/>
          <w:szCs w:val="22"/>
        </w:rPr>
        <w:t>填报单位：                                      填报时间：</w:t>
      </w:r>
    </w:p>
    <w:p>
      <w:pPr>
        <w:pStyle w:val="8"/>
        <w:widowControl/>
        <w:spacing w:beforeAutospacing="0" w:afterAutospacing="0" w:line="320" w:lineRule="exact"/>
        <w:ind w:firstLine="440" w:firstLineChars="200"/>
        <w:rPr>
          <w:rFonts w:ascii="Times New Roman" w:hAnsi="Times New Roman" w:eastAsia="宋体"/>
          <w:sz w:val="22"/>
          <w:szCs w:val="22"/>
        </w:rPr>
      </w:pPr>
      <w:r>
        <w:rPr>
          <w:rFonts w:ascii="Times New Roman" w:hAnsi="Times New Roman" w:eastAsia="宋体"/>
          <w:sz w:val="22"/>
          <w:szCs w:val="22"/>
        </w:rPr>
        <w:t>说明：“公用经费”填报基本支出中的一般商品和服务支出；“项目支出”需要填报基本支出以外的所有项目支出情况，包括业务工作项目、运行维护项目和县级专项资金等。</w:t>
      </w:r>
    </w:p>
    <w:p>
      <w:pPr>
        <w:pStyle w:val="8"/>
        <w:widowControl/>
        <w:spacing w:beforeAutospacing="0" w:afterAutospacing="0" w:line="320" w:lineRule="exact"/>
        <w:rPr>
          <w:rFonts w:ascii="Times New Roman" w:hAnsi="Times New Roman" w:eastAsia="宋体"/>
          <w:sz w:val="22"/>
          <w:szCs w:val="22"/>
        </w:rPr>
      </w:pPr>
    </w:p>
    <w:p>
      <w:pPr>
        <w:pStyle w:val="8"/>
        <w:widowControl/>
        <w:spacing w:beforeAutospacing="0" w:afterAutospacing="0" w:line="320" w:lineRule="exact"/>
        <w:ind w:firstLine="440" w:firstLineChars="200"/>
        <w:rPr>
          <w:rFonts w:ascii="Times New Roman" w:hAnsi="Times New Roman" w:eastAsia="宋体"/>
          <w:sz w:val="22"/>
          <w:szCs w:val="22"/>
        </w:rPr>
        <w:sectPr>
          <w:footerReference r:id="rId3" w:type="default"/>
          <w:pgSz w:w="11906" w:h="16838"/>
          <w:pgMar w:top="1701" w:right="1417" w:bottom="1701" w:left="1587" w:header="851" w:footer="1474" w:gutter="0"/>
          <w:cols w:space="425" w:num="1"/>
          <w:docGrid w:type="lines" w:linePitch="312" w:charSpace="0"/>
        </w:sectPr>
      </w:pPr>
      <w:r>
        <w:rPr>
          <w:rFonts w:ascii="Times New Roman" w:hAnsi="Times New Roman" w:eastAsia="宋体"/>
          <w:sz w:val="22"/>
          <w:szCs w:val="22"/>
        </w:rPr>
        <w:t>填表人：            联系电话：             单位负责人签字：</w:t>
      </w:r>
    </w:p>
    <w:p>
      <w:pPr>
        <w:pStyle w:val="8"/>
        <w:spacing w:beforeAutospacing="0" w:afterAutospacing="0" w:line="500" w:lineRule="exact"/>
        <w:rPr>
          <w:rFonts w:ascii="Times New Roman" w:hAnsi="Times New Roman" w:eastAsia="仿宋_GB2312"/>
          <w:sz w:val="32"/>
          <w:szCs w:val="32"/>
        </w:rPr>
      </w:pPr>
      <w:r>
        <w:rPr>
          <w:rFonts w:ascii="Times New Roman" w:hAnsi="Times New Roman" w:eastAsia="仿宋_GB2312"/>
          <w:sz w:val="32"/>
          <w:szCs w:val="32"/>
        </w:rPr>
        <w:t>附件1-2</w:t>
      </w:r>
    </w:p>
    <w:p>
      <w:pPr>
        <w:pStyle w:val="8"/>
        <w:widowControl/>
        <w:spacing w:beforeAutospacing="0" w:afterAutospacing="0" w:line="48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部门整体支出绩效自评表</w:t>
      </w:r>
    </w:p>
    <w:p>
      <w:pPr>
        <w:pStyle w:val="8"/>
        <w:widowControl/>
        <w:spacing w:beforeAutospacing="0" w:afterAutospacing="0"/>
        <w:jc w:val="center"/>
        <w:rPr>
          <w:rFonts w:ascii="Times New Roman" w:hAnsi="Times New Roman" w:eastAsia="宋体"/>
          <w:sz w:val="22"/>
          <w:szCs w:val="22"/>
        </w:rPr>
      </w:pPr>
      <w:r>
        <w:rPr>
          <w:rFonts w:ascii="Times New Roman" w:hAnsi="Times New Roman" w:eastAsia="宋体"/>
          <w:sz w:val="22"/>
          <w:szCs w:val="22"/>
        </w:rPr>
        <w:t>（</w:t>
      </w:r>
      <w:r>
        <w:rPr>
          <w:rFonts w:hint="eastAsia" w:ascii="Times New Roman" w:hAnsi="Times New Roman" w:eastAsia="宋体"/>
          <w:sz w:val="22"/>
          <w:szCs w:val="22"/>
          <w:lang w:val="en-US" w:eastAsia="zh-CN"/>
        </w:rPr>
        <w:t>2022</w:t>
      </w:r>
      <w:r>
        <w:rPr>
          <w:rFonts w:ascii="Times New Roman" w:hAnsi="Times New Roman" w:eastAsia="宋体"/>
          <w:sz w:val="22"/>
          <w:szCs w:val="22"/>
        </w:rPr>
        <w:t>年度）</w:t>
      </w:r>
    </w:p>
    <w:p>
      <w:pPr>
        <w:pStyle w:val="8"/>
        <w:widowControl/>
        <w:spacing w:beforeAutospacing="0" w:afterAutospacing="0" w:line="384" w:lineRule="atLeast"/>
        <w:rPr>
          <w:rFonts w:hint="default" w:ascii="Times New Roman" w:hAnsi="Times New Roman" w:eastAsia="宋体"/>
          <w:sz w:val="22"/>
          <w:szCs w:val="22"/>
          <w:lang w:val="en-US" w:eastAsia="zh-CN"/>
        </w:rPr>
      </w:pPr>
      <w:r>
        <w:rPr>
          <w:rFonts w:ascii="Times New Roman" w:hAnsi="Times New Roman" w:eastAsia="宋体"/>
          <w:sz w:val="22"/>
          <w:szCs w:val="22"/>
        </w:rPr>
        <w:t>填报单位（盖章）：</w:t>
      </w:r>
      <w:r>
        <w:rPr>
          <w:rFonts w:hint="eastAsia" w:ascii="Times New Roman" w:hAnsi="Times New Roman" w:eastAsia="宋体"/>
          <w:sz w:val="22"/>
          <w:szCs w:val="22"/>
          <w:lang w:eastAsia="zh-CN"/>
        </w:rPr>
        <w:t>临武县住房和城乡建设局</w:t>
      </w:r>
      <w:r>
        <w:rPr>
          <w:rFonts w:hint="eastAsia" w:ascii="Times New Roman" w:hAnsi="Times New Roman" w:eastAsia="宋体"/>
          <w:sz w:val="22"/>
          <w:szCs w:val="22"/>
          <w:lang w:val="en-US" w:eastAsia="zh-CN"/>
        </w:rPr>
        <w:t xml:space="preserve">     </w:t>
      </w:r>
      <w:r>
        <w:rPr>
          <w:rFonts w:ascii="Times New Roman" w:hAnsi="Times New Roman" w:eastAsia="宋体"/>
          <w:sz w:val="22"/>
          <w:szCs w:val="22"/>
        </w:rPr>
        <w:t xml:space="preserve">     填报时间：</w:t>
      </w:r>
      <w:r>
        <w:rPr>
          <w:rFonts w:hint="eastAsia" w:ascii="Times New Roman" w:hAnsi="Times New Roman" w:eastAsia="宋体"/>
          <w:sz w:val="22"/>
          <w:szCs w:val="22"/>
          <w:lang w:val="en-US" w:eastAsia="zh-CN"/>
        </w:rPr>
        <w:t>2023年7月</w:t>
      </w:r>
    </w:p>
    <w:tbl>
      <w:tblPr>
        <w:tblStyle w:val="9"/>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655"/>
        <w:gridCol w:w="1286"/>
        <w:gridCol w:w="546"/>
        <w:gridCol w:w="875"/>
        <w:gridCol w:w="706"/>
        <w:gridCol w:w="382"/>
        <w:gridCol w:w="95"/>
        <w:gridCol w:w="649"/>
        <w:gridCol w:w="61"/>
        <w:gridCol w:w="507"/>
        <w:gridCol w:w="1203"/>
        <w:gridCol w:w="1110"/>
        <w:gridCol w:w="990"/>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部门</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资金</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(万元)</w:t>
            </w: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p>
            <w:pPr>
              <w:pStyle w:val="8"/>
              <w:snapToGrid w:val="0"/>
              <w:spacing w:beforeAutospacing="0" w:afterAutospacing="0"/>
              <w:ind w:firstLine="100"/>
              <w:jc w:val="center"/>
              <w:rPr>
                <w:rFonts w:ascii="Times New Roman" w:hAnsi="Times New Roman" w:eastAsia="宋体"/>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1282.8</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3303.46</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300%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按支出性质分类</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3303.46</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787.84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664.18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123.66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社会保险基金拨款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3.73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6"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2515.62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总体</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077"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rPr>
              <w:t>严格按照职责职能行政办公，保障单位正常办公；管理监督建设工程的质量和建筑施工安全；维护建设市场体系秩序</w:t>
            </w:r>
            <w:r>
              <w:rPr>
                <w:rFonts w:hint="eastAsia" w:ascii="Times New Roman" w:hAnsi="Times New Roman" w:eastAsia="宋体"/>
                <w:sz w:val="19"/>
                <w:szCs w:val="19"/>
                <w:lang w:eastAsia="zh-CN"/>
              </w:rPr>
              <w:t>；维护招投标工作秩序等。</w:t>
            </w:r>
          </w:p>
          <w:p>
            <w:pPr>
              <w:pStyle w:val="8"/>
              <w:snapToGrid w:val="0"/>
              <w:spacing w:beforeAutospacing="0" w:afterAutospacing="0"/>
              <w:jc w:val="both"/>
              <w:rPr>
                <w:rFonts w:ascii="Times New Roman" w:hAnsi="Times New Roman" w:eastAsia="宋体"/>
                <w:sz w:val="19"/>
                <w:szCs w:val="19"/>
              </w:rPr>
            </w:pP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rPr>
              <w:t>按照职责职能行政办公，保障单位正常办公；严格施工图纸审查，合理建设城市，提高工程质量；管理监督建设工程的质量和建筑施工安全；维护建设市场体系秩序</w:t>
            </w:r>
            <w:r>
              <w:rPr>
                <w:rFonts w:hint="eastAsia" w:ascii="Times New Roman" w:hAnsi="Times New Roman" w:eastAsia="宋体"/>
                <w:sz w:val="19"/>
                <w:szCs w:val="19"/>
                <w:lang w:eastAsia="zh-CN"/>
              </w:rPr>
              <w:t>。</w:t>
            </w:r>
          </w:p>
          <w:p>
            <w:pPr>
              <w:pStyle w:val="8"/>
              <w:snapToGrid w:val="0"/>
              <w:spacing w:beforeAutospacing="0" w:afterAutospacing="0"/>
              <w:jc w:val="center"/>
              <w:rPr>
                <w:rFonts w:ascii="Times New Roman" w:hAnsi="Times New Roman" w:eastAsia="宋体"/>
                <w:sz w:val="19"/>
                <w:szCs w:val="19"/>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绩</w:t>
            </w:r>
          </w:p>
          <w:p>
            <w:pPr>
              <w:pStyle w:val="8"/>
              <w:snapToGrid w:val="0"/>
              <w:spacing w:beforeAutospacing="0" w:afterAutospacing="0"/>
              <w:jc w:val="center"/>
              <w:rPr>
                <w:rFonts w:ascii="Times New Roman" w:hAnsi="Times New Roman" w:eastAsia="宋体"/>
                <w:sz w:val="19"/>
                <w:szCs w:val="19"/>
              </w:rPr>
            </w:pP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效</w:t>
            </w:r>
          </w:p>
          <w:p>
            <w:pPr>
              <w:pStyle w:val="8"/>
              <w:snapToGrid w:val="0"/>
              <w:spacing w:beforeAutospacing="0" w:afterAutospacing="0"/>
              <w:jc w:val="center"/>
              <w:rPr>
                <w:rFonts w:ascii="Times New Roman" w:hAnsi="Times New Roman" w:eastAsia="宋体"/>
                <w:sz w:val="19"/>
                <w:szCs w:val="19"/>
              </w:rPr>
            </w:pP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指</w:t>
            </w:r>
          </w:p>
          <w:p>
            <w:pPr>
              <w:pStyle w:val="8"/>
              <w:snapToGrid w:val="0"/>
              <w:spacing w:beforeAutospacing="0" w:afterAutospacing="0"/>
              <w:jc w:val="center"/>
              <w:rPr>
                <w:rFonts w:ascii="Times New Roman" w:hAnsi="Times New Roman" w:eastAsia="宋体"/>
                <w:sz w:val="19"/>
                <w:szCs w:val="19"/>
              </w:rPr>
            </w:pP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三级指标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产出</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指标</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（50分）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数量指标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审查图纸数量</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所有需要施工图纸审查的建设工程项目</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实际已申报的所有需要</w:t>
            </w:r>
            <w:r>
              <w:rPr>
                <w:rFonts w:hint="eastAsia" w:ascii="Times New Roman" w:hAnsi="Times New Roman" w:eastAsia="宋体"/>
                <w:sz w:val="19"/>
                <w:szCs w:val="19"/>
              </w:rPr>
              <w:t>施工图纸审查的建设工程项目</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rPr>
            </w:pPr>
            <w:r>
              <w:rPr>
                <w:rFonts w:hint="eastAsia" w:ascii="Times New Roman" w:hAnsi="Times New Roman" w:eastAsia="宋体"/>
                <w:sz w:val="19"/>
                <w:szCs w:val="19"/>
              </w:rPr>
              <w:t>人防宣教宣传牌数量</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25</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rPr>
            </w:pPr>
            <w:r>
              <w:rPr>
                <w:rFonts w:hint="eastAsia" w:ascii="Times New Roman" w:hAnsi="Times New Roman" w:eastAsia="宋体"/>
                <w:sz w:val="19"/>
                <w:szCs w:val="19"/>
              </w:rPr>
              <w:t>招投标项目个数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应招标投标的所有项目</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实际已申报需招标投标的所有项目</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质量指标</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项目报送的应招标项目的招标率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rPr>
            </w:pPr>
            <w:r>
              <w:rPr>
                <w:rFonts w:hint="eastAsia" w:ascii="Times New Roman" w:hAnsi="Times New Roman" w:eastAsia="宋体"/>
                <w:sz w:val="19"/>
                <w:szCs w:val="19"/>
              </w:rPr>
              <w:t>审查图纸质量合格率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建设施工单位项目建筑质量</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成本指标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项目成本控制率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年度内完成率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效益</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指标</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（30分）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经济效益指标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有效带动当地经济发展</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95%</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社会效益指标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建筑工程质量达标率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施工图纸规范率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人防预警民众知情率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生态效益指标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污水处理率、城市排水率等</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维持临武县经济建设有序可持续发展</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满意度指标</w:t>
            </w:r>
          </w:p>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社会公众或服务对象满意度指标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受益人群满意度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监管部门满意度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总  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说明</w:t>
            </w: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偏差及原因分析</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ascii="Times New Roman" w:hAnsi="Times New Roman" w:eastAsia="宋体"/>
                <w:sz w:val="19"/>
                <w:szCs w:val="19"/>
              </w:rPr>
            </w:pP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有些项目未及时完工，项目资金不能完全拨付，成本控制不完善</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Times New Roman" w:hAnsi="Times New Roman" w:eastAsia="宋体" w:cs="Times New Roman"/>
                <w:sz w:val="19"/>
                <w:szCs w:val="19"/>
                <w:lang w:eastAsia="zh-CN"/>
              </w:rPr>
            </w:pPr>
            <w:r>
              <w:rPr>
                <w:rFonts w:hint="eastAsia" w:ascii="Times New Roman" w:hAnsi="Times New Roman" w:eastAsia="宋体" w:cs="Times New Roman"/>
                <w:sz w:val="19"/>
                <w:szCs w:val="19"/>
                <w:lang w:eastAsia="zh-CN"/>
              </w:rPr>
              <w:t>及时督促项目进度，及时拨付项目资金。</w:t>
            </w:r>
          </w:p>
        </w:tc>
      </w:tr>
    </w:tbl>
    <w:p>
      <w:pPr>
        <w:pStyle w:val="8"/>
        <w:widowControl/>
        <w:spacing w:beforeAutospacing="0" w:afterAutospacing="0" w:line="384" w:lineRule="atLeast"/>
        <w:rPr>
          <w:rFonts w:ascii="Times New Roman" w:hAnsi="Times New Roman" w:eastAsia="宋体"/>
          <w:sz w:val="22"/>
          <w:szCs w:val="22"/>
        </w:rPr>
      </w:pPr>
      <w:r>
        <w:rPr>
          <w:rFonts w:ascii="Times New Roman" w:hAnsi="Times New Roman" w:eastAsia="宋体"/>
          <w:sz w:val="22"/>
          <w:szCs w:val="22"/>
        </w:rPr>
        <w:t>填表人：            联系电话：             单位负责人签字：</w:t>
      </w:r>
    </w:p>
    <w:p>
      <w:pPr>
        <w:pStyle w:val="8"/>
        <w:widowControl/>
        <w:spacing w:beforeAutospacing="0" w:afterAutospacing="0" w:line="240" w:lineRule="exact"/>
        <w:ind w:left="603" w:leftChars="-94" w:hanging="800" w:hangingChars="400"/>
        <w:rPr>
          <w:rFonts w:ascii="Times New Roman" w:hAnsi="Times New Roman" w:eastAsia="宋体"/>
          <w:sz w:val="20"/>
          <w:szCs w:val="20"/>
        </w:rPr>
      </w:pPr>
      <w:r>
        <w:rPr>
          <w:rFonts w:ascii="Times New Roman" w:hAnsi="Times New Roman" w:eastAsia="宋体"/>
          <w:sz w:val="20"/>
          <w:szCs w:val="20"/>
        </w:rPr>
        <w:t>说明：1.分值设定100分，其中预算执行率10分、产出指标50分、效益指标30分、满意度指标10分。除预算执行率外的指标应根据权重自行合理设定分值。</w:t>
      </w:r>
    </w:p>
    <w:p>
      <w:pPr>
        <w:pStyle w:val="8"/>
        <w:widowControl/>
        <w:spacing w:beforeAutospacing="0" w:afterAutospacing="0" w:line="240" w:lineRule="exact"/>
        <w:ind w:firstLine="400" w:firstLineChars="200"/>
        <w:rPr>
          <w:rFonts w:ascii="Times New Roman" w:hAnsi="Times New Roman" w:eastAsia="宋体"/>
          <w:sz w:val="20"/>
          <w:szCs w:val="20"/>
        </w:rPr>
      </w:pPr>
      <w:r>
        <w:rPr>
          <w:rFonts w:ascii="Times New Roman" w:hAnsi="Times New Roman" w:eastAsia="宋体"/>
          <w:sz w:val="20"/>
          <w:szCs w:val="20"/>
        </w:rPr>
        <w:t>2.综合评价等级分为优秀（S＞90）、良好（90—80）、较差（80—60）、差（S＜60）。</w:t>
      </w:r>
    </w:p>
    <w:p>
      <w:pPr>
        <w:spacing w:line="240" w:lineRule="exact"/>
        <w:ind w:firstLine="400" w:firstLineChars="200"/>
        <w:rPr>
          <w:rFonts w:ascii="Times New Roman" w:hAnsi="Times New Roman" w:eastAsia="宋体" w:cs="Times New Roman"/>
          <w:sz w:val="22"/>
          <w:szCs w:val="22"/>
        </w:rPr>
      </w:pPr>
      <w:r>
        <w:rPr>
          <w:rFonts w:ascii="Times New Roman" w:hAnsi="Times New Roman" w:eastAsia="宋体" w:cs="Times New Roman"/>
          <w:sz w:val="20"/>
          <w:szCs w:val="20"/>
        </w:rPr>
        <w:t>3.三级绩效指标按需</w:t>
      </w:r>
      <w:r>
        <w:rPr>
          <w:rFonts w:ascii="Times New Roman" w:hAnsi="Times New Roman" w:eastAsia="宋体" w:cs="Times New Roman"/>
          <w:sz w:val="22"/>
          <w:szCs w:val="22"/>
        </w:rPr>
        <w:t>自行增减行。个别不涉及的二级指标可自行删除。</w:t>
      </w: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widowControl/>
        <w:spacing w:beforeAutospacing="0" w:afterAutospacing="0"/>
        <w:rPr>
          <w:rFonts w:ascii="Times New Roman" w:hAnsi="Times New Roman" w:eastAsia="仿宋"/>
          <w:sz w:val="32"/>
          <w:szCs w:val="32"/>
        </w:rPr>
      </w:pPr>
    </w:p>
    <w:p>
      <w:pPr>
        <w:pStyle w:val="2"/>
        <w:rPr>
          <w:rFonts w:ascii="Times New Roman" w:hAnsi="Times New Roman" w:cs="Times New Roman"/>
        </w:rPr>
      </w:pPr>
    </w:p>
    <w:sectPr>
      <w:footerReference r:id="rId4"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BD7AE"/>
    <w:multiLevelType w:val="singleLevel"/>
    <w:tmpl w:val="950BD7AE"/>
    <w:lvl w:ilvl="0" w:tentative="0">
      <w:start w:val="5"/>
      <w:numFmt w:val="chineseCounting"/>
      <w:suff w:val="nothing"/>
      <w:lvlText w:val="%1、"/>
      <w:lvlJc w:val="left"/>
      <w:rPr>
        <w:rFonts w:hint="eastAsia" w:ascii="黑体" w:hAnsi="黑体" w:eastAsia="黑体" w:cs="黑体"/>
      </w:rPr>
    </w:lvl>
  </w:abstractNum>
  <w:abstractNum w:abstractNumId="1">
    <w:nsid w:val="D0C89DA1"/>
    <w:multiLevelType w:val="singleLevel"/>
    <w:tmpl w:val="D0C89DA1"/>
    <w:lvl w:ilvl="0" w:tentative="0">
      <w:start w:val="2"/>
      <w:numFmt w:val="chineseCounting"/>
      <w:suff w:val="nothing"/>
      <w:lvlText w:val="（%1）"/>
      <w:lvlJc w:val="left"/>
      <w:rPr>
        <w:rFonts w:hint="eastAsia"/>
      </w:rPr>
    </w:lvl>
  </w:abstractNum>
  <w:abstractNum w:abstractNumId="2">
    <w:nsid w:val="D5173715"/>
    <w:multiLevelType w:val="singleLevel"/>
    <w:tmpl w:val="D5173715"/>
    <w:lvl w:ilvl="0" w:tentative="0">
      <w:start w:val="8"/>
      <w:numFmt w:val="chineseCounting"/>
      <w:suff w:val="nothing"/>
      <w:lvlText w:val="%1、"/>
      <w:lvlJc w:val="left"/>
      <w:rPr>
        <w:rFonts w:hint="eastAsia" w:ascii="黑体" w:hAnsi="黑体" w:eastAsia="黑体" w:cs="黑体"/>
      </w:rPr>
    </w:lvl>
  </w:abstractNum>
  <w:abstractNum w:abstractNumId="3">
    <w:nsid w:val="00A91051"/>
    <w:multiLevelType w:val="singleLevel"/>
    <w:tmpl w:val="00A91051"/>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OTcwYWNkMWI3YTg4MTk0MzIzMGQyNzc0YjJlMWIifQ=="/>
  </w:docVars>
  <w:rsids>
    <w:rsidRoot w:val="7245723A"/>
    <w:rsid w:val="001A6FE3"/>
    <w:rsid w:val="00244AD4"/>
    <w:rsid w:val="00293AC3"/>
    <w:rsid w:val="00A47227"/>
    <w:rsid w:val="00B8515C"/>
    <w:rsid w:val="00B867F0"/>
    <w:rsid w:val="00D05F21"/>
    <w:rsid w:val="00E52489"/>
    <w:rsid w:val="00FB05DE"/>
    <w:rsid w:val="010F7FF3"/>
    <w:rsid w:val="022E25FB"/>
    <w:rsid w:val="038E498D"/>
    <w:rsid w:val="04B77E0D"/>
    <w:rsid w:val="054B35C3"/>
    <w:rsid w:val="07A4199C"/>
    <w:rsid w:val="087A6126"/>
    <w:rsid w:val="095927CF"/>
    <w:rsid w:val="09734017"/>
    <w:rsid w:val="099715CA"/>
    <w:rsid w:val="0F3F3B73"/>
    <w:rsid w:val="11276C93"/>
    <w:rsid w:val="11D230A2"/>
    <w:rsid w:val="15C854DA"/>
    <w:rsid w:val="16287735"/>
    <w:rsid w:val="179E1EC6"/>
    <w:rsid w:val="185C36C6"/>
    <w:rsid w:val="1A2E5948"/>
    <w:rsid w:val="1A607907"/>
    <w:rsid w:val="1B1B527C"/>
    <w:rsid w:val="1E960FB4"/>
    <w:rsid w:val="20C504C5"/>
    <w:rsid w:val="24E707BB"/>
    <w:rsid w:val="25113A8A"/>
    <w:rsid w:val="2820139C"/>
    <w:rsid w:val="28567B2A"/>
    <w:rsid w:val="290D7B43"/>
    <w:rsid w:val="32214C3B"/>
    <w:rsid w:val="32823EE8"/>
    <w:rsid w:val="32F75DAA"/>
    <w:rsid w:val="35396712"/>
    <w:rsid w:val="35EB5C31"/>
    <w:rsid w:val="36423E5E"/>
    <w:rsid w:val="368936BD"/>
    <w:rsid w:val="3ABC254F"/>
    <w:rsid w:val="3DB12EEE"/>
    <w:rsid w:val="3DD57D5C"/>
    <w:rsid w:val="3E097DBF"/>
    <w:rsid w:val="3E6E61BD"/>
    <w:rsid w:val="403A3A3D"/>
    <w:rsid w:val="40B808FD"/>
    <w:rsid w:val="415804B1"/>
    <w:rsid w:val="41C70820"/>
    <w:rsid w:val="484F02A2"/>
    <w:rsid w:val="48502498"/>
    <w:rsid w:val="48CA1C78"/>
    <w:rsid w:val="4A491FC0"/>
    <w:rsid w:val="4B683B54"/>
    <w:rsid w:val="4C3A1033"/>
    <w:rsid w:val="4EDB042C"/>
    <w:rsid w:val="4FAD48A6"/>
    <w:rsid w:val="4FB3121A"/>
    <w:rsid w:val="50212524"/>
    <w:rsid w:val="50B811E3"/>
    <w:rsid w:val="50BA0E8E"/>
    <w:rsid w:val="51A24DA2"/>
    <w:rsid w:val="535350EA"/>
    <w:rsid w:val="5430267A"/>
    <w:rsid w:val="55326F81"/>
    <w:rsid w:val="55737E25"/>
    <w:rsid w:val="564451BE"/>
    <w:rsid w:val="57D76DD3"/>
    <w:rsid w:val="595C637A"/>
    <w:rsid w:val="59815DE1"/>
    <w:rsid w:val="59EA1BD8"/>
    <w:rsid w:val="59F24396"/>
    <w:rsid w:val="5A2C7879"/>
    <w:rsid w:val="5ABD68DC"/>
    <w:rsid w:val="5C825851"/>
    <w:rsid w:val="5D2E6280"/>
    <w:rsid w:val="5E824F54"/>
    <w:rsid w:val="60395667"/>
    <w:rsid w:val="603E6335"/>
    <w:rsid w:val="626A656E"/>
    <w:rsid w:val="63626220"/>
    <w:rsid w:val="638906B4"/>
    <w:rsid w:val="64E4310C"/>
    <w:rsid w:val="6602250D"/>
    <w:rsid w:val="66412F23"/>
    <w:rsid w:val="679338AF"/>
    <w:rsid w:val="681C38A5"/>
    <w:rsid w:val="68B97345"/>
    <w:rsid w:val="6B625A72"/>
    <w:rsid w:val="6CD30313"/>
    <w:rsid w:val="6E685D3D"/>
    <w:rsid w:val="701B67C5"/>
    <w:rsid w:val="7245723A"/>
    <w:rsid w:val="73007BC2"/>
    <w:rsid w:val="73830C7C"/>
    <w:rsid w:val="75D960DE"/>
    <w:rsid w:val="77356731"/>
    <w:rsid w:val="78D637D9"/>
    <w:rsid w:val="79620AE3"/>
    <w:rsid w:val="7A04331F"/>
    <w:rsid w:val="7A0C2E2B"/>
    <w:rsid w:val="7A43254B"/>
    <w:rsid w:val="7A8B278E"/>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rPr>
  </w:style>
  <w:style w:type="paragraph" w:customStyle="1" w:styleId="3">
    <w:name w:val="正文首行缩进1"/>
    <w:basedOn w:val="1"/>
    <w:next w:val="1"/>
    <w:qFormat/>
    <w:uiPriority w:val="0"/>
    <w:pPr>
      <w:spacing w:after="120"/>
      <w:ind w:firstLine="420" w:firstLineChars="100"/>
    </w:pPr>
    <w:rPr>
      <w:rFonts w:hint="eastAsia"/>
      <w:szCs w:val="20"/>
    </w:rPr>
  </w:style>
  <w:style w:type="paragraph" w:styleId="4">
    <w:name w:val="Normal Indent"/>
    <w:basedOn w:val="1"/>
    <w:qFormat/>
    <w:uiPriority w:val="0"/>
    <w:pPr>
      <w:ind w:firstLine="420"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BFF07-70EE-42B5-9DDD-F06BC45F5477}">
  <ds:schemaRefs/>
</ds:datastoreItem>
</file>

<file path=docProps/app.xml><?xml version="1.0" encoding="utf-8"?>
<Properties xmlns="http://schemas.openxmlformats.org/officeDocument/2006/extended-properties" xmlns:vt="http://schemas.openxmlformats.org/officeDocument/2006/docPropsVTypes">
  <Template>Normal</Template>
  <Pages>14</Pages>
  <Words>5002</Words>
  <Characters>5188</Characters>
  <Lines>43</Lines>
  <Paragraphs>12</Paragraphs>
  <TotalTime>26</TotalTime>
  <ScaleCrop>false</ScaleCrop>
  <LinksUpToDate>false</LinksUpToDate>
  <CharactersWithSpaces>5452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lin15qqcom</cp:lastModifiedBy>
  <cp:lastPrinted>2023-07-21T01:36:00Z</cp:lastPrinted>
  <dcterms:modified xsi:type="dcterms:W3CDTF">2023-10-28T10:27:09Z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3F8409928E454ACF993ABA98C5CF1DB2</vt:lpwstr>
  </property>
</Properties>
</file>