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3092" w:firstLineChars="7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临武县水利局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年度部门整体支出绩效评价报告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55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我单位对2022年部门整体支出进行了绩效自评，现将绩效自评情况报告如下：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一、部门</w:t>
      </w:r>
      <w:r>
        <w:rPr>
          <w:rFonts w:hint="eastAsia" w:ascii="黑体" w:hAnsi="宋体" w:eastAsia="黑体" w:cs="黑体"/>
          <w:sz w:val="32"/>
          <w:szCs w:val="32"/>
          <w:lang w:eastAsia="zh-CN"/>
        </w:rPr>
        <w:t>、单位基本情</w:t>
      </w:r>
      <w:r>
        <w:rPr>
          <w:rFonts w:hint="eastAsia" w:ascii="黑体" w:hAnsi="宋体" w:eastAsia="黑体" w:cs="黑体"/>
          <w:sz w:val="32"/>
          <w:szCs w:val="32"/>
        </w:rPr>
        <w:t>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（一）机构设置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  <w:r>
        <w:rPr>
          <w:rFonts w:ascii="仿宋" w:hAnsi="仿宋" w:eastAsia="仿宋" w:cs="仿宋"/>
          <w:sz w:val="32"/>
          <w:szCs w:val="32"/>
        </w:rPr>
        <w:t>、人员构成情况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局机关内设办公室、政工股（监察室）、农村水电股、水利工程建设与管理股、水资源水保股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个职能股室；下辖直属二级事业单位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个：水利水电工程管理站、防汛抗旱工作办公室、移民开发局、城市防洪工程管理站、水利建设项目管理中心；归口管理长河水库管理所、万水洞水库管理所等单位。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人员编制情况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临武县水利局共有人员编制48个，其中行政编制9个，事业编制39个。实有人数40人，其中在职人员40人，离休人员1人，退休人员38人，遗属人员9人。局机关内设办公室、政工股（监察室）、农村水电股、水利工程建设与管理股、水资源水保股5个职能股室；下辖直属二级事业单位5个：水利水电工程管理站、防汛抗旱工作办公室、移民开发局、城市防洪工程管理站、水利建设项目管理中心；归口管理长河水库管理所、万水洞水库管理所等单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）主要职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能职责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武县水利局是县政府工作部门，主管全县水行政工作。负责全县的水资源水资源开发和利用和保护管理，负责全县水能资源开发利用的统一监督管理，负责节约用水工作，指导水文工作。负责水土流失工作，指导农村水利工作，组织电源、电网建设和管理，负责小水电建设及电气化的规划、设计管理工作，组织指导水政监察和水行政执法，查处水事纠纷工作。防汛抗旱工作，水利安全生产监管，农村饮水安全工程的建设与管护等工作。水务局内设四个职能股室，包括办公室、水政股、农村水电股、水利工程建设与管理股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（四）绩效目标设定情况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保证单位的正常运转、确保202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年防汛保安、完成上级和县委县政府安排的各项工作任务，完成水利建设工作任务。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部门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预算支出情况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年部门预算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收支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收入预算，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年年初预算数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1017.3</w:t>
      </w:r>
      <w:r>
        <w:rPr>
          <w:rFonts w:hint="eastAsia" w:ascii="仿宋" w:hAnsi="仿宋" w:eastAsia="仿宋" w:cs="仿宋"/>
          <w:sz w:val="32"/>
          <w:szCs w:val="32"/>
        </w:rPr>
        <w:t>万元，其中，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一般公共预算拨款752.3万元（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</w:t>
      </w:r>
      <w:r>
        <w:rPr>
          <w:rFonts w:hint="eastAsia" w:ascii="仿宋" w:hAnsi="仿宋" w:eastAsia="仿宋" w:cs="仿宋"/>
          <w:sz w:val="32"/>
          <w:szCs w:val="32"/>
        </w:rPr>
        <w:t>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603.9</w:t>
      </w:r>
      <w:r>
        <w:rPr>
          <w:rFonts w:hint="eastAsia" w:ascii="仿宋" w:hAnsi="仿宋" w:eastAsia="仿宋" w:cs="仿宋"/>
          <w:sz w:val="32"/>
          <w:szCs w:val="32"/>
        </w:rPr>
        <w:t>万元，纳入一般公共预算管理的非税收入拨款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148.4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）；政府性基金拨款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260万元；上级财政补助5万元。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firstLine="64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年年初预算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1017.3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583.3万元，其中：</w:t>
      </w:r>
      <w:r>
        <w:rPr>
          <w:rFonts w:hint="eastAsia" w:ascii="仿宋" w:hAnsi="仿宋" w:eastAsia="仿宋" w:cs="仿宋"/>
          <w:sz w:val="32"/>
          <w:szCs w:val="32"/>
        </w:rPr>
        <w:t>工资福利支出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521.8</w:t>
      </w:r>
      <w:r>
        <w:rPr>
          <w:rFonts w:hint="eastAsia" w:ascii="仿宋" w:hAnsi="仿宋" w:eastAsia="仿宋" w:cs="仿宋"/>
          <w:sz w:val="32"/>
          <w:szCs w:val="32"/>
        </w:rPr>
        <w:t>万元；一般商品和服务支出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61.5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。项目支出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434万元，其中：</w:t>
      </w:r>
      <w:r>
        <w:rPr>
          <w:rFonts w:hint="eastAsia" w:ascii="仿宋" w:hAnsi="仿宋" w:eastAsia="仿宋" w:cs="仿宋"/>
          <w:sz w:val="32"/>
          <w:szCs w:val="32"/>
        </w:rPr>
        <w:t>专项商品和服务支出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 w:cs="仿宋"/>
          <w:sz w:val="32"/>
          <w:szCs w:val="32"/>
        </w:rPr>
        <w:t>万元；专项对个人和家庭的补助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“三公”经费管理情况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年度“三公”经费财政拨款支出决算为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万元，其中：因公出国（境）费支出决算为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万元（因公出国组团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次，因公出国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人次）；公务车运行费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4.7</w:t>
      </w:r>
      <w:r>
        <w:rPr>
          <w:rFonts w:hint="eastAsia" w:ascii="仿宋" w:hAnsi="仿宋" w:eastAsia="仿宋" w:cs="仿宋"/>
          <w:sz w:val="32"/>
          <w:szCs w:val="32"/>
        </w:rPr>
        <w:t>万元；公务接待费支出决算为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年“三公”经费决算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1.3万元</w:t>
      </w:r>
      <w:r>
        <w:rPr>
          <w:rFonts w:hint="eastAsia" w:ascii="仿宋" w:hAnsi="仿宋" w:eastAsia="仿宋" w:cs="仿宋"/>
          <w:sz w:val="32"/>
          <w:szCs w:val="32"/>
        </w:rPr>
        <w:t>，主要原因严格贯彻执行中央压缩行政成本、厉行节约的规定。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320" w:firstLineChars="10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）资金</w:t>
      </w:r>
      <w:r>
        <w:rPr>
          <w:rFonts w:hint="eastAsia" w:ascii="仿宋" w:hAnsi="仿宋" w:eastAsia="仿宋" w:cs="仿宋"/>
          <w:sz w:val="32"/>
          <w:szCs w:val="32"/>
        </w:rPr>
        <w:t>结转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结余情况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无资金结转结余情况。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(四）部门整体支出管理与制度建设情况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1、加强预算编制绩效管理。一方面，强化项目绩效目标，对我单位的预算项目进行全面梳理、加强审核、合理保障，所有项目必须有明细的资金测算，有具体内容。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强化预算绩效管理意识。落实全过程预算绩效管理改革工作要求。认真履行预算绩效管理文体责任，采取有效措施，抓好预算管理的事前、事中、事后三个关键环节的绩效目标管理、绩效运行跟踪管理和绩效评价管理工作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充分利用预算绩效评价结果。强化评价结果，抓好整改跟踪落实、强化评价结果应用、突出绩效问责等方面扩大运用范围，增强运用效力。对评价中发现的问题及时整改，加强绩效管理信息公开。建立内部控制制度，加强对预算、收入、支出的管理，定期公布预算绩效管理工作进展情况，扩大预算绩效管理工作的影响和社会认知度，为预算绩效管理工作营造良好的社会氛围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三、部门绩效目标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（一）部门绩效总目标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保证单位的正常运转、确保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年防汛保安、完成上级和县委县政府安排的各项工作任务，完成水利建设工作任务。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年部门绩效目标</w:t>
      </w:r>
    </w:p>
    <w:p>
      <w:pPr>
        <w:numPr>
          <w:ilvl w:val="0"/>
          <w:numId w:val="3"/>
        </w:numPr>
        <w:ind w:left="-640" w:leftChars="0" w:firstLine="64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A、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确保单位的工作正常运转。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B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提高全县水利基础设施保障能力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leftChars="0" w:right="0" w:firstLine="0" w:firstLineChars="0"/>
        <w:jc w:val="both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C、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不断完善水利基础设施，改善水务环境管护条件。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2、效益指标：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A、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保护水资源，改善水生态条件指标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B、水利工程安全运行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leftChars="0" w:right="0" w:firstLine="0" w:firstLine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C、确保城市防洪安全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四、绩效评价工作情况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为进一步加强水利财政资金绩效评价工作，不断提高财政资金使用效益，我局成立了财政资金绩效评价工作领导小组，局长唐智红同志任组长，副局长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刘建雄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吴志勇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曾广军</w:t>
      </w:r>
      <w:r>
        <w:rPr>
          <w:rFonts w:hint="eastAsia" w:ascii="仿宋" w:hAnsi="仿宋" w:eastAsia="仿宋" w:cs="仿宋"/>
          <w:sz w:val="32"/>
          <w:szCs w:val="32"/>
        </w:rPr>
        <w:t>同志任副组长，相关股室负责人任成员。明确了绩效评价工作牵头部门、自评报告和基础资料审核部门，并就项目自评报告编报、完成时限、报表填报等工作提出了具体要求，确保了绩效评价工作的扎实开展。经过半个月扎实细致的工作后，较好的完成了自评材料、完成了各项绩效目标，及时完整规范报送了自评材料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五、绩效评价指标分析情况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对履职效能主要指标的完成情况进行具体分析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1.水利工程安全运行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2.确保城市防洪安全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（二）对管理效率主要指标的完成情况进行具体分析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1.不断完善水利基础设施，改善水务环境管护条件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2.确保单位的工作正常运转。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3.提高全县水利基础设施保障能力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（三）对履职效益主要指标的完成情况进行具体分析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1.保护水资源，改善水生态条件指标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六、综合评价情况及评价结论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综合评价优秀。</w:t>
      </w:r>
    </w:p>
    <w:p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存在的问题</w:t>
      </w:r>
    </w:p>
    <w:p>
      <w:pPr>
        <w:numPr>
          <w:ilvl w:val="0"/>
          <w:numId w:val="5"/>
        </w:numPr>
        <w:tabs>
          <w:tab w:val="left" w:pos="940"/>
        </w:tabs>
        <w:spacing w:line="580" w:lineRule="exact"/>
        <w:ind w:left="5" w:firstLine="61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公用经费控制有一定难度，基本为刚性支出。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sz w:val="32"/>
          <w:szCs w:val="32"/>
        </w:rPr>
        <w:t>预算编制合理性需要提高，预算执行力度还要进一步加强。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八、改进措施和建议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1、按财政局要求按时、按质编报年初部门预算，认真谋划年度预算，认真对照年度工作，逐项编制部门预算，做到编实编细。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2、在遵循年度部门预算编制原则的前提下，充分发扬厉行节约、勤俭办事的精神，按照轻重缓急的要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求编制部门预算。进一步加强相关业务知识的学习，加强与财政部门的沟通对接，在财政部门的指导下科学进行预算绩效申报，将全年工作任务细化分解为具体的工作目标，并尽量采取定量的方式制定清晰、可衡量的绩效指标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九、绩效预算应用建议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　　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F8DE8"/>
    <w:multiLevelType w:val="singleLevel"/>
    <w:tmpl w:val="9E4F8DE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53EF01"/>
    <w:multiLevelType w:val="singleLevel"/>
    <w:tmpl w:val="0E53EF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25C3A13"/>
    <w:multiLevelType w:val="singleLevel"/>
    <w:tmpl w:val="625C3A13"/>
    <w:lvl w:ilvl="0" w:tentative="0">
      <w:start w:val="1"/>
      <w:numFmt w:val="decimal"/>
      <w:suff w:val="nothing"/>
      <w:lvlText w:val="%1、"/>
      <w:lvlJc w:val="left"/>
      <w:pPr>
        <w:ind w:left="-640"/>
      </w:pPr>
    </w:lvl>
  </w:abstractNum>
  <w:abstractNum w:abstractNumId="3">
    <w:nsid w:val="64ABCF33"/>
    <w:multiLevelType w:val="singleLevel"/>
    <w:tmpl w:val="64ABCF33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4ABDAAA"/>
    <w:multiLevelType w:val="singleLevel"/>
    <w:tmpl w:val="64ABDA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TE0M2ZiNzkwZjc3NzBhOGExNTIwMmYwOTVmY2IifQ=="/>
  </w:docVars>
  <w:rsids>
    <w:rsidRoot w:val="422038D9"/>
    <w:rsid w:val="0077669F"/>
    <w:rsid w:val="00DD5AB4"/>
    <w:rsid w:val="014C3639"/>
    <w:rsid w:val="04AA0914"/>
    <w:rsid w:val="04D31E8D"/>
    <w:rsid w:val="07C82CA9"/>
    <w:rsid w:val="09181A0E"/>
    <w:rsid w:val="0B7D3DAB"/>
    <w:rsid w:val="0C9A2248"/>
    <w:rsid w:val="0DF10261"/>
    <w:rsid w:val="0EE539C7"/>
    <w:rsid w:val="10235CDD"/>
    <w:rsid w:val="10764B02"/>
    <w:rsid w:val="132658E9"/>
    <w:rsid w:val="17D44656"/>
    <w:rsid w:val="17DE29BD"/>
    <w:rsid w:val="18E27395"/>
    <w:rsid w:val="1D2D153B"/>
    <w:rsid w:val="20B51F36"/>
    <w:rsid w:val="21534B87"/>
    <w:rsid w:val="23B50183"/>
    <w:rsid w:val="2BFF14AF"/>
    <w:rsid w:val="2F455569"/>
    <w:rsid w:val="32A8327F"/>
    <w:rsid w:val="32C15622"/>
    <w:rsid w:val="35B02699"/>
    <w:rsid w:val="37A72042"/>
    <w:rsid w:val="37BD3781"/>
    <w:rsid w:val="387E40B6"/>
    <w:rsid w:val="394E4CFE"/>
    <w:rsid w:val="3BBF16F2"/>
    <w:rsid w:val="3D326CE0"/>
    <w:rsid w:val="3DCA3A36"/>
    <w:rsid w:val="3DFD4B45"/>
    <w:rsid w:val="3E1009E8"/>
    <w:rsid w:val="3E355530"/>
    <w:rsid w:val="419C0139"/>
    <w:rsid w:val="422038D9"/>
    <w:rsid w:val="433C5D1E"/>
    <w:rsid w:val="45C6378B"/>
    <w:rsid w:val="49494A4B"/>
    <w:rsid w:val="561818C5"/>
    <w:rsid w:val="56FC11D4"/>
    <w:rsid w:val="573121FE"/>
    <w:rsid w:val="577645E4"/>
    <w:rsid w:val="5B4775A3"/>
    <w:rsid w:val="5BA06C5F"/>
    <w:rsid w:val="5CCD2B9E"/>
    <w:rsid w:val="64546E3E"/>
    <w:rsid w:val="662507D9"/>
    <w:rsid w:val="669C4AF0"/>
    <w:rsid w:val="682E17E6"/>
    <w:rsid w:val="69604777"/>
    <w:rsid w:val="6A5C6FED"/>
    <w:rsid w:val="6B171A1D"/>
    <w:rsid w:val="6C0B6DF5"/>
    <w:rsid w:val="6EA42F3C"/>
    <w:rsid w:val="70E6557A"/>
    <w:rsid w:val="76D45358"/>
    <w:rsid w:val="77B97D6B"/>
    <w:rsid w:val="7960708B"/>
    <w:rsid w:val="7C1C4C95"/>
    <w:rsid w:val="7E490D1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3">
    <w:name w:val="wx-space"/>
    <w:basedOn w:val="6"/>
    <w:qFormat/>
    <w:uiPriority w:val="0"/>
  </w:style>
  <w:style w:type="character" w:customStyle="1" w:styleId="14">
    <w:name w:val="wx-space1"/>
    <w:basedOn w:val="6"/>
    <w:qFormat/>
    <w:uiPriority w:val="0"/>
  </w:style>
  <w:style w:type="character" w:customStyle="1" w:styleId="15">
    <w:name w:val="hover16"/>
    <w:basedOn w:val="6"/>
    <w:qFormat/>
    <w:uiPriority w:val="0"/>
    <w:rPr>
      <w:color w:val="000000"/>
      <w:shd w:val="clear" w:fill="FFFFFF"/>
    </w:rPr>
  </w:style>
  <w:style w:type="character" w:customStyle="1" w:styleId="16">
    <w:name w:val="lasta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3884</Words>
  <Characters>4266</Characters>
  <Lines>0</Lines>
  <Paragraphs>0</Paragraphs>
  <ScaleCrop>false</ScaleCrop>
  <LinksUpToDate>false</LinksUpToDate>
  <CharactersWithSpaces>4431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2022-09-09T09:58:00Z</dcterms:created>
  <dc:creator>时间走了</dc:creator>
  <cp:lastModifiedBy>Administrator</cp:lastModifiedBy>
  <cp:lastPrinted>2023-07-24T03:04:00Z</cp:lastPrinted>
  <dcterms:modified xsi:type="dcterms:W3CDTF">2023-11-03T02:27:38Z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A70490CC8BC543349C2240D3A79965C1_13</vt:lpwstr>
  </property>
</Properties>
</file>