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临武县民政局2022年</w:t>
      </w:r>
      <w:r>
        <w:rPr>
          <w:rFonts w:hint="eastAsia" w:ascii="方正小标宋简体" w:hAnsi="方正小标宋简体" w:eastAsia="方正小标宋简体" w:cs="方正小标宋简体"/>
          <w:i w:val="0"/>
          <w:iCs w:val="0"/>
          <w:caps w:val="0"/>
          <w:color w:val="auto"/>
          <w:spacing w:val="0"/>
          <w:sz w:val="40"/>
          <w:szCs w:val="40"/>
          <w:shd w:val="clear"/>
        </w:rPr>
        <w:t>部门整体支出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绩效自评报告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我单位对2022年部门整体支出进行了绩效自评，现将绩效自评情况报告如下：</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pPr>
        <w:pStyle w:val="9"/>
        <w:widowControl/>
        <w:shd w:val="clear" w:color="auto" w:fill="FFFFFF"/>
        <w:spacing w:before="0" w:beforeAutospacing="0" w:after="0" w:afterAutospacing="0" w:line="525" w:lineRule="atLeast"/>
        <w:ind w:firstLine="6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内设6个职能股室：办公室（政策法规股）、规划财务股（革命老根据地经济开发促进股）、社会组织管理股（行政审批股）、社会救助和养老服务股、基层政权建设和区划地名股、社会事务福利股。</w:t>
      </w:r>
    </w:p>
    <w:p>
      <w:pPr>
        <w:pStyle w:val="9"/>
        <w:widowControl/>
        <w:shd w:val="clear" w:color="auto" w:fill="FFFFFF"/>
        <w:spacing w:before="0" w:beforeAutospacing="0" w:after="0" w:afterAutospacing="0" w:line="525" w:lineRule="atLeast"/>
        <w:ind w:firstLine="6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所属事业单位4个：临武县民政事务中心、临武县救助管理站、临武县社会福利中心、临武县殡仪馆。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（二）人员编制情况</w:t>
      </w:r>
    </w:p>
    <w:p>
      <w:pPr>
        <w:numPr>
          <w:ilvl w:val="0"/>
          <w:numId w:val="0"/>
        </w:numPr>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1、民政局核定行政编制10名，机关事业编制6名，机关共计编制16名。领导职数，设局长1名，副局长3名。实有行政在职16人，机关事业编制在职3人，在职共计19人。</w:t>
      </w:r>
    </w:p>
    <w:p>
      <w:pPr>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2、民政局所属事业单位4个，核定全额事业编制21名，自收自支事业编制4名，事业编制共计25名。事业编制实有全额在职14人，自收自支5人，在职共计19人。</w:t>
      </w:r>
    </w:p>
    <w:p>
      <w:pPr>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3、民政局退伍安置财政差拨人员2名，临聘人员2人。</w:t>
      </w:r>
    </w:p>
    <w:p>
      <w:pPr>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4、民政局退休人员20人，其中：行政退休人员17人，事业退休人员3人。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（三）主要职能职责</w:t>
      </w:r>
    </w:p>
    <w:p>
      <w:pPr>
        <w:ind w:right="-334" w:rightChars="-159" w:firstLine="435"/>
        <w:rPr>
          <w:rFonts w:hint="eastAsia" w:ascii="仿宋" w:hAnsi="仿宋" w:eastAsia="仿宋"/>
          <w:sz w:val="32"/>
          <w:szCs w:val="32"/>
        </w:rPr>
      </w:pPr>
      <w:r>
        <w:rPr>
          <w:rFonts w:hint="eastAsia" w:ascii="仿宋" w:hAnsi="仿宋" w:eastAsia="仿宋"/>
          <w:sz w:val="32"/>
          <w:szCs w:val="32"/>
        </w:rPr>
        <w:t>1、贯彻执行党和国家关于民政工作的政策法规，拟订全县民政事业改革与发展的政策、规划，制定全县民政事业年度计划并组织实施和监督检查。承担革命老根据地经济开发促进有关工作。</w:t>
      </w:r>
    </w:p>
    <w:p>
      <w:pPr>
        <w:ind w:right="-334" w:rightChars="-159" w:firstLine="435"/>
        <w:rPr>
          <w:rFonts w:hint="eastAsia" w:ascii="仿宋" w:hAnsi="仿宋" w:eastAsia="仿宋"/>
          <w:sz w:val="32"/>
          <w:szCs w:val="32"/>
        </w:rPr>
      </w:pPr>
      <w:r>
        <w:rPr>
          <w:rFonts w:hint="eastAsia" w:ascii="仿宋" w:hAnsi="仿宋" w:eastAsia="仿宋"/>
          <w:sz w:val="32"/>
          <w:szCs w:val="32"/>
        </w:rPr>
        <w:t>2、依法依规对全县社会团体、基金会、社会服务机构等社会组织进行业务指导和监督管理。组织、指导有关社会组织党建工作。</w:t>
      </w:r>
    </w:p>
    <w:p>
      <w:pPr>
        <w:ind w:right="-334" w:rightChars="-159" w:firstLine="435"/>
        <w:rPr>
          <w:rFonts w:hint="eastAsia" w:ascii="仿宋" w:hAnsi="仿宋" w:eastAsia="仿宋"/>
          <w:sz w:val="32"/>
          <w:szCs w:val="32"/>
        </w:rPr>
      </w:pPr>
      <w:r>
        <w:rPr>
          <w:rFonts w:hint="eastAsia" w:ascii="仿宋" w:hAnsi="仿宋" w:eastAsia="仿宋"/>
          <w:sz w:val="32"/>
          <w:szCs w:val="32"/>
        </w:rPr>
        <w:t>3、组织实施国家社会救助政策、法规、标准，统筹社会救助体系建设，负责全县城乡居民最低生活保障、特困人员救助供养、临时救助、生活无着落流浪乞讨人员救助工作。</w:t>
      </w:r>
    </w:p>
    <w:p>
      <w:pPr>
        <w:ind w:right="-334" w:rightChars="-159" w:firstLine="435"/>
        <w:rPr>
          <w:rFonts w:hint="eastAsia" w:ascii="仿宋" w:hAnsi="仿宋" w:eastAsia="仿宋"/>
          <w:sz w:val="32"/>
          <w:szCs w:val="32"/>
        </w:rPr>
      </w:pPr>
      <w:r>
        <w:rPr>
          <w:rFonts w:hint="eastAsia" w:ascii="仿宋" w:hAnsi="仿宋" w:eastAsia="仿宋"/>
          <w:sz w:val="32"/>
          <w:szCs w:val="32"/>
        </w:rPr>
        <w:t>4、组织实施城乡基层群众自治建设和社区治理政策法规，组织、指导全县城乡社区治理体系和治理能力建设，提出加强和改进城乡基层政权建设的建议，推动基层民主政治建设。</w:t>
      </w:r>
    </w:p>
    <w:p>
      <w:pPr>
        <w:ind w:right="-334" w:rightChars="-159" w:firstLine="435"/>
        <w:rPr>
          <w:rFonts w:hint="eastAsia" w:ascii="仿宋" w:hAnsi="仿宋" w:eastAsia="仿宋"/>
          <w:sz w:val="32"/>
          <w:szCs w:val="32"/>
        </w:rPr>
      </w:pPr>
      <w:r>
        <w:rPr>
          <w:rFonts w:hint="eastAsia" w:ascii="仿宋" w:hAnsi="仿宋" w:eastAsia="仿宋"/>
          <w:sz w:val="32"/>
          <w:szCs w:val="32"/>
        </w:rPr>
        <w:t>5、负责全县行政区划、行政区域界限、地名管理工作。拟订本县行政区划发展规划。按照有关规定，负责乡级行政区划调整和政府驻地迁移以及县政府派出机关设立、合并、撤销、更名、管辖范围确定和变更的有关审核报批工作；负责组织、指导有关行政区域界线的</w:t>
      </w:r>
      <w:r>
        <w:rPr>
          <w:rFonts w:hint="eastAsia" w:ascii="仿宋" w:hAnsi="仿宋" w:eastAsia="仿宋"/>
          <w:sz w:val="32"/>
          <w:szCs w:val="32"/>
          <w:lang w:eastAsia="zh-CN"/>
        </w:rPr>
        <w:t>勘定</w:t>
      </w:r>
      <w:r>
        <w:rPr>
          <w:rFonts w:hint="eastAsia" w:ascii="仿宋" w:hAnsi="仿宋" w:eastAsia="仿宋"/>
          <w:sz w:val="32"/>
          <w:szCs w:val="32"/>
        </w:rPr>
        <w:t>和管理；负责本县行政区划图组织编制和地名档案管理工作。指导县中心城区门牌编制及住宅小区的命名工作。负责县中心城区道路、桥梁等地名的命名、更名工作。</w:t>
      </w:r>
    </w:p>
    <w:p>
      <w:pPr>
        <w:ind w:right="-334" w:rightChars="-159" w:firstLine="435"/>
        <w:rPr>
          <w:rFonts w:hint="eastAsia" w:ascii="仿宋" w:hAnsi="仿宋" w:eastAsia="仿宋"/>
          <w:sz w:val="32"/>
          <w:szCs w:val="32"/>
        </w:rPr>
      </w:pPr>
      <w:r>
        <w:rPr>
          <w:rFonts w:hint="eastAsia" w:ascii="仿宋" w:hAnsi="仿宋" w:eastAsia="仿宋"/>
          <w:sz w:val="32"/>
          <w:szCs w:val="32"/>
        </w:rPr>
        <w:t>6、贯彻执行国家婚姻管理政策法规，推进全县婚俗改革。根据省民政厅授权承办有关婚姻登记工作。</w:t>
      </w:r>
    </w:p>
    <w:p>
      <w:pPr>
        <w:ind w:right="-334" w:rightChars="-159" w:firstLine="435"/>
        <w:rPr>
          <w:rFonts w:hint="eastAsia" w:ascii="仿宋" w:hAnsi="仿宋" w:eastAsia="仿宋"/>
          <w:sz w:val="32"/>
          <w:szCs w:val="32"/>
        </w:rPr>
      </w:pPr>
      <w:r>
        <w:rPr>
          <w:rFonts w:hint="eastAsia" w:ascii="仿宋" w:hAnsi="仿宋" w:eastAsia="仿宋"/>
          <w:sz w:val="32"/>
          <w:szCs w:val="32"/>
        </w:rPr>
        <w:t>7、贯彻执行国家殡葬管理政策法规、服务规范，推进全县殡葬改革，组织开展殡葬监督执法工作，承担殡葬服务机构管理工作。</w:t>
      </w:r>
    </w:p>
    <w:p>
      <w:pPr>
        <w:ind w:right="-334" w:rightChars="-159" w:firstLine="435"/>
        <w:rPr>
          <w:rFonts w:hint="eastAsia" w:ascii="仿宋" w:hAnsi="仿宋" w:eastAsia="仿宋"/>
          <w:sz w:val="32"/>
          <w:szCs w:val="32"/>
        </w:rPr>
      </w:pPr>
      <w:r>
        <w:rPr>
          <w:rFonts w:hint="eastAsia" w:ascii="仿宋" w:hAnsi="仿宋" w:eastAsia="仿宋"/>
          <w:sz w:val="32"/>
          <w:szCs w:val="32"/>
        </w:rPr>
        <w:t>8、贯彻执行国家养老服务政策、法规、标准，统筹推进、督促指导、监督管理全县养老服务工作，承担老年人福利和特殊困难老年人救助工作。</w:t>
      </w:r>
    </w:p>
    <w:p>
      <w:pPr>
        <w:ind w:right="-334" w:rightChars="-159" w:firstLine="435"/>
        <w:rPr>
          <w:rFonts w:hint="eastAsia" w:ascii="仿宋" w:hAnsi="仿宋" w:eastAsia="仿宋"/>
          <w:sz w:val="32"/>
          <w:szCs w:val="32"/>
        </w:rPr>
      </w:pPr>
      <w:r>
        <w:rPr>
          <w:rFonts w:hint="eastAsia" w:ascii="仿宋" w:hAnsi="仿宋" w:eastAsia="仿宋"/>
          <w:sz w:val="32"/>
          <w:szCs w:val="32"/>
        </w:rPr>
        <w:t>9、贯彻执行国家残疾人权益保护政策法规，统筹推进全县残疾人福利制度建设和康复辅助器具</w:t>
      </w:r>
      <w:r>
        <w:rPr>
          <w:rFonts w:hint="eastAsia" w:ascii="仿宋" w:hAnsi="仿宋" w:eastAsia="仿宋"/>
          <w:sz w:val="32"/>
          <w:szCs w:val="32"/>
          <w:lang w:eastAsia="zh-CN"/>
        </w:rPr>
        <w:t>生产</w:t>
      </w:r>
      <w:r>
        <w:rPr>
          <w:rFonts w:hint="eastAsia" w:ascii="仿宋" w:hAnsi="仿宋" w:eastAsia="仿宋"/>
          <w:sz w:val="32"/>
          <w:szCs w:val="32"/>
        </w:rPr>
        <w:t>发展。</w:t>
      </w:r>
    </w:p>
    <w:p>
      <w:pPr>
        <w:ind w:right="-334" w:rightChars="-159" w:firstLine="435"/>
        <w:rPr>
          <w:rFonts w:hint="eastAsia" w:ascii="仿宋" w:hAnsi="仿宋" w:eastAsia="仿宋"/>
          <w:sz w:val="32"/>
          <w:szCs w:val="32"/>
        </w:rPr>
      </w:pPr>
      <w:r>
        <w:rPr>
          <w:rFonts w:hint="eastAsia" w:ascii="仿宋" w:hAnsi="仿宋" w:eastAsia="仿宋"/>
          <w:sz w:val="32"/>
          <w:szCs w:val="32"/>
        </w:rPr>
        <w:t>10、贯彻执行国家儿童福利、孤弃儿童保障、儿童收养、儿童救助保</w:t>
      </w:r>
      <w:r>
        <w:rPr>
          <w:rFonts w:hint="eastAsia" w:ascii="仿宋" w:hAnsi="仿宋" w:eastAsia="仿宋"/>
          <w:sz w:val="32"/>
          <w:szCs w:val="32"/>
          <w:lang w:eastAsia="zh-CN"/>
        </w:rPr>
        <w:t>护等</w:t>
      </w:r>
      <w:r>
        <w:rPr>
          <w:rFonts w:hint="eastAsia" w:ascii="仿宋" w:hAnsi="仿宋" w:eastAsia="仿宋"/>
          <w:sz w:val="32"/>
          <w:szCs w:val="32"/>
        </w:rPr>
        <w:t>政策法规、标准。健全全县农村留守儿童关爱服务体系和困境儿童保障制度。</w:t>
      </w:r>
    </w:p>
    <w:p>
      <w:pPr>
        <w:ind w:right="-334" w:rightChars="-159" w:firstLine="435"/>
        <w:rPr>
          <w:rFonts w:hint="eastAsia" w:ascii="仿宋" w:hAnsi="仿宋" w:eastAsia="仿宋"/>
          <w:sz w:val="32"/>
          <w:szCs w:val="32"/>
        </w:rPr>
      </w:pPr>
      <w:r>
        <w:rPr>
          <w:rFonts w:hint="eastAsia" w:ascii="仿宋" w:hAnsi="仿宋" w:eastAsia="仿宋"/>
          <w:sz w:val="32"/>
          <w:szCs w:val="32"/>
        </w:rPr>
        <w:t>11、贯彻执行国家慈善事业发展政策法规和慈善信托、慈善组织及其活动管理办法，指导和监督全县慈善活动、社会</w:t>
      </w:r>
      <w:r>
        <w:rPr>
          <w:rFonts w:hint="eastAsia" w:ascii="仿宋" w:hAnsi="仿宋" w:eastAsia="仿宋"/>
          <w:sz w:val="32"/>
          <w:szCs w:val="32"/>
          <w:lang w:eastAsia="zh-CN"/>
        </w:rPr>
        <w:t>捐助</w:t>
      </w:r>
      <w:r>
        <w:rPr>
          <w:rFonts w:hint="eastAsia" w:ascii="仿宋" w:hAnsi="仿宋" w:eastAsia="仿宋"/>
          <w:sz w:val="32"/>
          <w:szCs w:val="32"/>
        </w:rPr>
        <w:t>工作，负责全县福利彩票发行管理工作。</w:t>
      </w:r>
    </w:p>
    <w:p>
      <w:pPr>
        <w:ind w:right="-334" w:rightChars="-159" w:firstLine="435"/>
        <w:rPr>
          <w:rFonts w:hint="eastAsia" w:ascii="仿宋" w:hAnsi="仿宋" w:eastAsia="仿宋"/>
          <w:sz w:val="32"/>
          <w:szCs w:val="32"/>
        </w:rPr>
      </w:pPr>
      <w:r>
        <w:rPr>
          <w:rFonts w:hint="eastAsia" w:ascii="仿宋" w:hAnsi="仿宋" w:eastAsia="仿宋"/>
          <w:sz w:val="32"/>
          <w:szCs w:val="32"/>
        </w:rPr>
        <w:t>12、负责拟订全县社会工作、志愿服务政策和标准，会同有关部门推进全县社会工作人才队伍建设和志愿者队伍建设。</w:t>
      </w:r>
    </w:p>
    <w:p>
      <w:pPr>
        <w:ind w:right="-334" w:rightChars="-159" w:firstLine="435"/>
        <w:rPr>
          <w:rFonts w:hint="eastAsia" w:ascii="仿宋" w:hAnsi="仿宋" w:eastAsia="仿宋"/>
          <w:sz w:val="32"/>
          <w:szCs w:val="32"/>
        </w:rPr>
      </w:pPr>
      <w:r>
        <w:rPr>
          <w:rFonts w:hint="eastAsia" w:ascii="仿宋" w:hAnsi="仿宋" w:eastAsia="仿宋"/>
          <w:sz w:val="32"/>
          <w:szCs w:val="32"/>
        </w:rPr>
        <w:t>13、负责民政行业领域安全生产监督管理。</w:t>
      </w:r>
    </w:p>
    <w:p>
      <w:pPr>
        <w:ind w:right="-334" w:rightChars="-159" w:firstLine="435"/>
        <w:rPr>
          <w:rFonts w:hint="eastAsia" w:ascii="仿宋" w:hAnsi="仿宋" w:eastAsia="仿宋"/>
          <w:sz w:val="32"/>
          <w:szCs w:val="32"/>
        </w:rPr>
      </w:pPr>
      <w:r>
        <w:rPr>
          <w:rFonts w:hint="eastAsia" w:ascii="仿宋" w:hAnsi="仿宋" w:eastAsia="仿宋"/>
          <w:sz w:val="32"/>
          <w:szCs w:val="32"/>
        </w:rPr>
        <w:t>14、完成县委、县政</w:t>
      </w:r>
      <w:r>
        <w:rPr>
          <w:rFonts w:hint="eastAsia" w:ascii="仿宋" w:hAnsi="仿宋" w:eastAsia="仿宋"/>
          <w:sz w:val="32"/>
          <w:szCs w:val="32"/>
          <w:lang w:eastAsia="zh-CN"/>
        </w:rPr>
        <w:t>府</w:t>
      </w:r>
      <w:r>
        <w:rPr>
          <w:rFonts w:hint="eastAsia" w:ascii="仿宋" w:hAnsi="仿宋" w:eastAsia="仿宋"/>
          <w:sz w:val="32"/>
          <w:szCs w:val="32"/>
        </w:rPr>
        <w:t>交办的其他任务。</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完善社会救助，加强社会救助平台建设，进一步提高社会救助水平，提高城乡低保标准，城市低保标准不低于4300元/年/人，农村低保标准不低于4320元/年/人；提高城乡特困救助水平，城市特困救助提高到755元/月/人，农村特困救助提高550元/月/人。2.加强社会福利和促进慈善业发展，百岁老人按月均600元/人的标准发放，孤儿按1350元/人/月的标准落实，残疾人两项补贴提高到70元/月/人。3.优化社会事务管理。创建国家级3A婚姻登记窗口单位，进一步提高婚姻登记水平；提高基层组织建设及社会组织管理工作；深化殡葬领域改革，倡导婚丧文明新风；强化流浪制度管理；加强区划地名和界线管理。4.改革创新，进一步提高民政综合治理水平和治理能力。</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（一）经批复的预决算情况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1.预算批复情况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2022年预算拨款收入年初预算9019.8万元，其中基本支出478.8万元、项目支出8541.00万元。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2.决算批复情况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（1）全年收入情况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2022年决算数9917.2万元，其中，一般公共预算拨款9917.2万元，政府性基金预算拨款0万元，国有资本经营预算拨款0万元。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pPr>
        <w:widowControl/>
        <w:spacing w:line="600" w:lineRule="exact"/>
        <w:ind w:firstLine="660"/>
        <w:jc w:val="left"/>
        <w:rPr>
          <w:rFonts w:eastAsia="黑体"/>
          <w:sz w:val="32"/>
          <w:szCs w:val="32"/>
        </w:rPr>
      </w:pPr>
      <w:r>
        <w:rPr>
          <w:rFonts w:hint="eastAsia" w:eastAsia="楷体_GB2312"/>
          <w:b/>
          <w:sz w:val="32"/>
          <w:szCs w:val="32"/>
          <w:lang w:val="en-US" w:eastAsia="zh-CN"/>
        </w:rPr>
        <w:t>2022</w:t>
      </w:r>
      <w:r>
        <w:rPr>
          <w:rFonts w:eastAsia="仿宋_GB2312"/>
          <w:sz w:val="32"/>
          <w:szCs w:val="32"/>
        </w:rPr>
        <w:t>年本部门基本支出预算数</w:t>
      </w:r>
      <w:r>
        <w:rPr>
          <w:rFonts w:hint="eastAsia" w:eastAsia="仿宋_GB2312"/>
          <w:sz w:val="32"/>
          <w:szCs w:val="32"/>
          <w:lang w:val="en-US" w:eastAsia="zh-CN"/>
        </w:rPr>
        <w:t>423.4</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2.项目支出情况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rPr>
        <w:t>（1）2022年度专项资金</w:t>
      </w:r>
      <w:r>
        <w:rPr>
          <w:rFonts w:hint="eastAsia" w:ascii="仿宋_GB2312" w:hAnsi="仿宋_GB2312" w:eastAsia="仿宋_GB2312" w:cs="仿宋_GB2312"/>
          <w:i w:val="0"/>
          <w:iCs w:val="0"/>
          <w:caps w:val="0"/>
          <w:color w:val="auto"/>
          <w:spacing w:val="0"/>
          <w:sz w:val="32"/>
          <w:szCs w:val="32"/>
          <w:shd w:val="clear"/>
          <w:lang w:val="en-US" w:eastAsia="zh-CN"/>
        </w:rPr>
        <w:t>执行情况</w:t>
      </w:r>
    </w:p>
    <w:p>
      <w:pPr>
        <w:widowControl/>
        <w:spacing w:line="600" w:lineRule="exact"/>
        <w:ind w:firstLine="660"/>
        <w:jc w:val="left"/>
        <w:rPr>
          <w:rFonts w:eastAsia="仿宋_GB2312"/>
          <w:sz w:val="32"/>
          <w:szCs w:val="32"/>
        </w:rPr>
      </w:pPr>
      <w:r>
        <w:rPr>
          <w:rFonts w:hint="eastAsia" w:eastAsia="楷体_GB2312"/>
          <w:b/>
          <w:sz w:val="32"/>
          <w:szCs w:val="32"/>
          <w:lang w:val="en-US" w:eastAsia="zh-CN"/>
        </w:rPr>
        <w:t>2022</w:t>
      </w:r>
      <w:r>
        <w:rPr>
          <w:rFonts w:eastAsia="仿宋_GB2312"/>
          <w:sz w:val="32"/>
          <w:szCs w:val="32"/>
        </w:rPr>
        <w:t>年本部门项目支出预算</w:t>
      </w:r>
      <w:r>
        <w:rPr>
          <w:rFonts w:hint="eastAsia" w:eastAsia="仿宋_GB2312"/>
          <w:sz w:val="32"/>
          <w:szCs w:val="32"/>
          <w:lang w:val="en-US" w:eastAsia="zh-CN"/>
        </w:rPr>
        <w:t>3063.00</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lang w:val="en-US" w:eastAsia="zh-CN"/>
        </w:rPr>
        <w:t>行政区划和地名管理</w:t>
      </w:r>
      <w:r>
        <w:rPr>
          <w:rFonts w:eastAsia="仿宋_GB2312"/>
          <w:sz w:val="32"/>
          <w:szCs w:val="32"/>
        </w:rPr>
        <w:t>支出</w:t>
      </w:r>
      <w:r>
        <w:rPr>
          <w:rFonts w:hint="eastAsia" w:eastAsia="仿宋_GB2312"/>
          <w:sz w:val="32"/>
          <w:szCs w:val="32"/>
          <w:lang w:val="en-US" w:eastAsia="zh-CN"/>
        </w:rPr>
        <w:t>17</w:t>
      </w:r>
      <w:r>
        <w:rPr>
          <w:rFonts w:eastAsia="仿宋_GB2312"/>
          <w:sz w:val="32"/>
          <w:szCs w:val="32"/>
        </w:rPr>
        <w:t>万元，主要用</w:t>
      </w:r>
      <w:r>
        <w:rPr>
          <w:rFonts w:hint="eastAsia" w:eastAsia="仿宋_GB2312"/>
          <w:sz w:val="32"/>
          <w:szCs w:val="32"/>
          <w:lang w:val="en-US" w:eastAsia="zh-CN"/>
        </w:rPr>
        <w:t>民政区划管理和地名管理</w:t>
      </w:r>
      <w:r>
        <w:rPr>
          <w:rFonts w:eastAsia="仿宋_GB2312"/>
          <w:sz w:val="32"/>
          <w:szCs w:val="32"/>
        </w:rPr>
        <w:t>等方面；</w:t>
      </w:r>
      <w:r>
        <w:rPr>
          <w:rFonts w:hint="eastAsia" w:eastAsia="仿宋_GB2312"/>
          <w:sz w:val="32"/>
          <w:szCs w:val="32"/>
          <w:lang w:val="en-US" w:eastAsia="zh-CN"/>
        </w:rPr>
        <w:t>人力资源和社会保障管理事务97.9万元，主要用于社工站建设项目；社会福利725.48万元，主要用于高龄老人、百岁老人补贴等方面支出；残疾人生活和护理补贴823.84万元，主要用于残疾人两项补贴；最低生活和保障支出3978.89万元，主要用于城乡低保支出；流浪乞讨人员救助支出116万元，主要用于流浪乞讨人员救助返乡等；特困人员救助供养1312.4万元，主要用于城乡特困人员救助支出；其他生活救助12.36万元，主要用于60年代精简退职人员的补助</w:t>
      </w:r>
      <w:r>
        <w:rPr>
          <w:rFonts w:eastAsia="仿宋_GB2312"/>
          <w:sz w:val="32"/>
          <w:szCs w:val="32"/>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rPr>
        <w:t>（2）</w:t>
      </w:r>
      <w:r>
        <w:rPr>
          <w:rFonts w:hint="eastAsia" w:ascii="仿宋_GB2312" w:hAnsi="仿宋_GB2312" w:eastAsia="仿宋_GB2312" w:cs="仿宋_GB2312"/>
          <w:i w:val="0"/>
          <w:iCs w:val="0"/>
          <w:caps w:val="0"/>
          <w:color w:val="auto"/>
          <w:spacing w:val="0"/>
          <w:sz w:val="32"/>
          <w:szCs w:val="32"/>
          <w:shd w:val="clear"/>
          <w:lang w:val="en-US" w:eastAsia="zh-CN"/>
        </w:rPr>
        <w:t>项目资金管理情况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为合理高效使用资金，我局制定了民政专项资金管理办法，按程序审批专项资金，规范、安全、有效使用资金，确保民政专项资金及时足额发放到困难群众手中，以保障困难群众的基本生活。</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eastAsia="仿宋_GB2312"/>
          <w:sz w:val="32"/>
          <w:szCs w:val="32"/>
        </w:rPr>
      </w:pPr>
      <w:r>
        <w:rPr>
          <w:rFonts w:hint="eastAsia" w:eastAsia="楷体_GB2312"/>
          <w:b/>
          <w:sz w:val="32"/>
          <w:szCs w:val="32"/>
          <w:lang w:val="en-US" w:eastAsia="zh-CN"/>
        </w:rPr>
        <w:t>2022</w:t>
      </w:r>
      <w:r>
        <w:rPr>
          <w:rFonts w:eastAsia="仿宋_GB2312"/>
          <w:sz w:val="32"/>
          <w:szCs w:val="32"/>
        </w:rPr>
        <w:t>年本部门机关“三公”经费预算数为</w:t>
      </w:r>
      <w:r>
        <w:rPr>
          <w:rFonts w:hint="eastAsia" w:eastAsia="仿宋_GB2312"/>
          <w:sz w:val="32"/>
          <w:szCs w:val="32"/>
          <w:lang w:val="en-US" w:eastAsia="zh-CN"/>
        </w:rPr>
        <w:t>4.5</w:t>
      </w:r>
      <w:r>
        <w:rPr>
          <w:rFonts w:eastAsia="仿宋_GB2312"/>
          <w:sz w:val="32"/>
          <w:szCs w:val="32"/>
        </w:rPr>
        <w:t>万元，其中，公务接待费</w:t>
      </w:r>
      <w:r>
        <w:rPr>
          <w:rFonts w:hint="eastAsia" w:eastAsia="仿宋_GB2312"/>
          <w:sz w:val="32"/>
          <w:szCs w:val="32"/>
          <w:lang w:val="en-US" w:eastAsia="zh-CN"/>
        </w:rPr>
        <w:t>2.5</w:t>
      </w:r>
      <w:r>
        <w:rPr>
          <w:rFonts w:eastAsia="仿宋_GB2312"/>
          <w:sz w:val="32"/>
          <w:szCs w:val="32"/>
        </w:rPr>
        <w:t>万元，公务用车购置及运行费</w:t>
      </w:r>
      <w:r>
        <w:rPr>
          <w:rFonts w:hint="eastAsia" w:eastAsia="仿宋_GB2312"/>
          <w:sz w:val="32"/>
          <w:szCs w:val="32"/>
          <w:lang w:val="en-US" w:eastAsia="zh-CN"/>
        </w:rPr>
        <w:t>2</w:t>
      </w:r>
      <w:r>
        <w:rPr>
          <w:rFonts w:eastAsia="仿宋_GB2312"/>
          <w:sz w:val="32"/>
          <w:szCs w:val="32"/>
        </w:rPr>
        <w:t xml:space="preserve">万元（其中，公务用车购置费 </w:t>
      </w:r>
      <w:r>
        <w:rPr>
          <w:rFonts w:hint="eastAsia" w:eastAsia="仿宋_GB2312"/>
          <w:sz w:val="32"/>
          <w:szCs w:val="32"/>
          <w:lang w:val="en-US" w:eastAsia="zh-CN"/>
        </w:rPr>
        <w:t>0</w:t>
      </w:r>
      <w:r>
        <w:rPr>
          <w:rFonts w:eastAsia="仿宋_GB2312"/>
          <w:sz w:val="32"/>
          <w:szCs w:val="32"/>
        </w:rPr>
        <w:t>万元，公务用车运行费</w:t>
      </w:r>
      <w:r>
        <w:rPr>
          <w:rFonts w:hint="eastAsia" w:eastAsia="仿宋_GB2312"/>
          <w:sz w:val="32"/>
          <w:szCs w:val="32"/>
          <w:lang w:val="en-US" w:eastAsia="zh-CN"/>
        </w:rPr>
        <w:t>2</w:t>
      </w:r>
      <w:r>
        <w:rPr>
          <w:rFonts w:eastAsia="仿宋_GB2312"/>
          <w:sz w:val="32"/>
          <w:szCs w:val="32"/>
        </w:rPr>
        <w:t>万元），因公出国（境）费</w:t>
      </w:r>
      <w:r>
        <w:rPr>
          <w:rFonts w:hint="eastAsia" w:eastAsia="仿宋_GB2312"/>
          <w:sz w:val="32"/>
          <w:szCs w:val="32"/>
          <w:lang w:val="en-US" w:eastAsia="zh-CN"/>
        </w:rPr>
        <w:t>0</w:t>
      </w:r>
      <w:r>
        <w:rPr>
          <w:rFonts w:eastAsia="仿宋_GB2312"/>
          <w:sz w:val="32"/>
          <w:szCs w:val="32"/>
        </w:rPr>
        <w:t>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我单位认真贯彻落实厉行节约、严控“三公”经费的资金管理办法，把关“三公”经费支出的审核、审批，进一步细化“三公”经费的管理，合理压缩“三公”经费支出。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（四）资金结转和结余情况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2022年度无资金结转和结余。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（五）部门整体支出管理与制度建设情况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严格按照《中华人民共和国预算法》及其实施条例，结合单位预算管理实际，根据以收定支、收支平衡，零基预算、统筹兼顾，厉行节约、依法理财，规范透明、提升绩效的原则制定预算，切实做好“民政爱民、民政为民”服务工作。合理使用民政各项专项资金，确保专项资金真正发放到困难群众手中，做好民生兜底工作。我局制定公务接待、差旅费、培训费和会议费等相关管理办法，严格履行财务审批程序，做到无领导审批不报账，无经手人不报账，不符合财务规定的发票、票据以及附件不齐全的不报账。经费开支管理和费用报销均严格执行相关制度规定，坚持勤俭节约，确保资金的规范使用和安全。针对民政专项资金，制定了专项资金的管理办法，专项资金严格执行财政审批报账程序，做到五人会审，惠民资金通过一卡通系统发放，确保项目资金专款专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rPr>
        <w:t>政府性基金预算支出情况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2022年度无政府性基金预算支出。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四、</w:t>
      </w:r>
      <w:r>
        <w:rPr>
          <w:rFonts w:hint="eastAsia" w:ascii="仿宋_GB2312" w:hAnsi="仿宋_GB2312" w:eastAsia="仿宋_GB2312" w:cs="仿宋_GB2312"/>
          <w:i w:val="0"/>
          <w:iCs w:val="0"/>
          <w:caps w:val="0"/>
          <w:color w:val="auto"/>
          <w:spacing w:val="0"/>
          <w:sz w:val="32"/>
          <w:szCs w:val="32"/>
          <w:shd w:val="clear"/>
        </w:rPr>
        <w:t>国有资本经营预算支出情况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24"/>
          <w:szCs w:val="24"/>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2022年度无</w:t>
      </w:r>
      <w:r>
        <w:rPr>
          <w:rFonts w:hint="eastAsia" w:ascii="仿宋_GB2312" w:hAnsi="仿宋_GB2312" w:eastAsia="仿宋_GB2312" w:cs="仿宋_GB2312"/>
          <w:i w:val="0"/>
          <w:iCs w:val="0"/>
          <w:caps w:val="0"/>
          <w:color w:val="auto"/>
          <w:spacing w:val="0"/>
          <w:sz w:val="32"/>
          <w:szCs w:val="32"/>
          <w:shd w:val="clear"/>
        </w:rPr>
        <w:t>国有资本经营预算支出</w:t>
      </w:r>
      <w:r>
        <w:rPr>
          <w:rFonts w:hint="eastAsia" w:ascii="Times New Roman" w:hAnsi="Times New Roman" w:eastAsia="仿宋" w:cs="Times New Roman"/>
          <w:color w:val="auto"/>
          <w:kern w:val="2"/>
          <w:sz w:val="32"/>
          <w:szCs w:val="32"/>
          <w:shd w:val="clear"/>
          <w:lang w:val="en-US" w:eastAsia="zh-CN" w:bidi="ar"/>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五、</w:t>
      </w:r>
      <w:r>
        <w:rPr>
          <w:rFonts w:hint="eastAsia" w:ascii="仿宋_GB2312" w:hAnsi="仿宋_GB2312" w:eastAsia="仿宋_GB2312" w:cs="仿宋_GB2312"/>
          <w:i w:val="0"/>
          <w:iCs w:val="0"/>
          <w:caps w:val="0"/>
          <w:color w:val="auto"/>
          <w:spacing w:val="0"/>
          <w:sz w:val="32"/>
          <w:szCs w:val="32"/>
          <w:shd w:val="clear"/>
        </w:rPr>
        <w:t>社会保险基金预算支出情况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2022年度无</w:t>
      </w:r>
      <w:r>
        <w:rPr>
          <w:rFonts w:hint="eastAsia" w:ascii="仿宋_GB2312" w:hAnsi="仿宋_GB2312" w:eastAsia="仿宋_GB2312" w:cs="仿宋_GB2312"/>
          <w:i w:val="0"/>
          <w:iCs w:val="0"/>
          <w:caps w:val="0"/>
          <w:color w:val="auto"/>
          <w:spacing w:val="0"/>
          <w:sz w:val="32"/>
          <w:szCs w:val="32"/>
          <w:shd w:val="clear"/>
        </w:rPr>
        <w:t>社会保险基金预算支出</w:t>
      </w:r>
      <w:r>
        <w:rPr>
          <w:rFonts w:hint="eastAsia" w:ascii="Times New Roman" w:hAnsi="Times New Roman" w:eastAsia="仿宋" w:cs="Times New Roman"/>
          <w:color w:val="auto"/>
          <w:kern w:val="2"/>
          <w:sz w:val="32"/>
          <w:szCs w:val="32"/>
          <w:shd w:val="clear"/>
          <w:lang w:val="en-US" w:eastAsia="zh-CN" w:bidi="ar"/>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部门整体支出年初目标基本完成，社会救助体系逐渐完善，救助水平进一步提升，城乡低保救助标准提高，实现精准救助；孤儿生活费得到充分保障，分月按时足额发放到位；社会福利和慈善事业进一步发展；残疾人两项补贴充分保障发放到位，进一步体现民政对困难群体的重视和兜底作用。</w:t>
      </w:r>
    </w:p>
    <w:p>
      <w:pPr>
        <w:pStyle w:val="2"/>
        <w:ind w:left="0" w:leftChars="0" w:firstLine="640" w:firstLineChars="200"/>
        <w:rPr>
          <w:rFonts w:hint="default"/>
          <w:lang w:val="en-US" w:eastAsia="zh-CN"/>
        </w:rPr>
      </w:pPr>
      <w:r>
        <w:rPr>
          <w:rFonts w:hint="eastAsia" w:ascii="仿宋_GB2312" w:hAnsi="黑体" w:eastAsia="仿宋_GB2312" w:cstheme="minorBidi"/>
          <w:kern w:val="2"/>
          <w:sz w:val="32"/>
          <w:szCs w:val="32"/>
          <w:lang w:val="en-US" w:eastAsia="zh-CN" w:bidi="ar-SA"/>
        </w:rPr>
        <w:t>民政困难群体人数较多，而工作人员人数又较少，如城乡低保核查工作量大，故困难群众救助对象标准合规率为97%，满分5分，得分为4分；经济效益指标中，增加了困难群众的收入、提升了生活水平，满分10分，得分9分；满意度指标满分10分，得分9分，服务水平有待进一步改善。部门整体支出绩效总分100分，得分94分，综合评价等级为优。</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民政事务繁杂、工作量大，涉及项目众多，而单位编制少，加上单位老龄化严重，工作人员少的问题逐渐突出，工作实际操作难度较高、专业人员稀缺。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八、</w:t>
      </w:r>
      <w:r>
        <w:rPr>
          <w:rFonts w:hint="eastAsia" w:ascii="仿宋_GB2312" w:hAnsi="仿宋_GB2312" w:eastAsia="仿宋_GB2312" w:cs="仿宋_GB2312"/>
          <w:i w:val="0"/>
          <w:iCs w:val="0"/>
          <w:caps w:val="0"/>
          <w:color w:val="auto"/>
          <w:spacing w:val="0"/>
          <w:sz w:val="32"/>
          <w:szCs w:val="32"/>
          <w:shd w:val="clear"/>
        </w:rPr>
        <w:t>下一步改进措施</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加强业务培训，培养高素质 专业人员，确保工作人员能更好的、更高效的完成工作；按照工作量、工作繁杂程度，加强人员预算编制。按各部门单位需要，招聘人才，加强民政队伍建设。</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九、</w:t>
      </w:r>
      <w:r>
        <w:rPr>
          <w:rFonts w:hint="eastAsia" w:ascii="仿宋_GB2312" w:hAnsi="仿宋_GB2312" w:eastAsia="仿宋_GB2312" w:cs="仿宋_GB2312"/>
          <w:i w:val="0"/>
          <w:iCs w:val="0"/>
          <w:caps w:val="0"/>
          <w:color w:val="auto"/>
          <w:spacing w:val="0"/>
          <w:sz w:val="32"/>
          <w:szCs w:val="32"/>
          <w:shd w:val="clear"/>
        </w:rPr>
        <w:t>其他需要说明的情况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无其他情况说明。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附件1-1</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部门整体支出绩效评价基础数据表</w:t>
      </w:r>
    </w:p>
    <w:tbl>
      <w:tblPr>
        <w:tblStyle w:val="10"/>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48"/>
        <w:gridCol w:w="1800"/>
        <w:gridCol w:w="1876"/>
        <w:gridCol w:w="167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财政供养人员情况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控制率</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39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43</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110.2%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经费控制情况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当年决算数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当年预算数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上年决算数</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一、部门基本支出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626.07</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478.8</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593.03</w:t>
            </w: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其中： 1、压缩一般性支出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73.59</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51.3</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115.73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2、三公经费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4.36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4.5</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5.57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1.59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2</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3.49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1.95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2</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3.49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2.41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2.5</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2.08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出国（境）经费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二、部门项目支出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8460.44</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8399.82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1、业务工作专项</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一个项目一行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民政专项业务经费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17</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2、运行维护专项</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一个项目一行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eastAsiaTheme="minorEastAsia" w:cstheme="minorEastAsia"/>
                <w:i w:val="0"/>
                <w:iCs w:val="0"/>
                <w:caps w:val="0"/>
                <w:color w:val="auto"/>
                <w:spacing w:val="0"/>
                <w:sz w:val="22"/>
                <w:szCs w:val="22"/>
                <w:shd w:val="clear"/>
              </w:rPr>
              <w:t>3、县级专项资金</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一个专项一行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救助站管理专项资金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eastAsia="zh-CN"/>
              </w:rPr>
              <w:t>“</w:t>
            </w:r>
            <w:r>
              <w:rPr>
                <w:rFonts w:hint="eastAsia" w:asciiTheme="minorEastAsia" w:hAnsiTheme="minorEastAsia" w:cstheme="minorEastAsia"/>
                <w:i w:val="0"/>
                <w:iCs w:val="0"/>
                <w:caps w:val="0"/>
                <w:color w:val="auto"/>
                <w:spacing w:val="0"/>
                <w:sz w:val="22"/>
                <w:szCs w:val="22"/>
                <w:shd w:val="clear"/>
                <w:lang w:val="en-US" w:eastAsia="zh-CN"/>
              </w:rPr>
              <w:t>留住乡愁</w:t>
            </w:r>
            <w:r>
              <w:rPr>
                <w:rFonts w:hint="eastAsia" w:asciiTheme="minorEastAsia" w:hAnsiTheme="minorEastAsia" w:cstheme="minorEastAsia"/>
                <w:i w:val="0"/>
                <w:iCs w:val="0"/>
                <w:caps w:val="0"/>
                <w:color w:val="auto"/>
                <w:spacing w:val="0"/>
                <w:sz w:val="22"/>
                <w:szCs w:val="22"/>
                <w:shd w:val="clear"/>
                <w:lang w:eastAsia="zh-CN"/>
              </w:rPr>
              <w:t>”</w:t>
            </w:r>
            <w:r>
              <w:rPr>
                <w:rFonts w:hint="eastAsia" w:asciiTheme="minorEastAsia" w:hAnsiTheme="minorEastAsia" w:cstheme="minorEastAsia"/>
                <w:i w:val="0"/>
                <w:iCs w:val="0"/>
                <w:caps w:val="0"/>
                <w:color w:val="auto"/>
                <w:spacing w:val="0"/>
                <w:sz w:val="22"/>
                <w:szCs w:val="22"/>
                <w:shd w:val="clear"/>
                <w:lang w:val="en-US" w:eastAsia="zh-CN"/>
              </w:rPr>
              <w:t>编辑经费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60周岁以上基本养老服务</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5.87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7</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百岁老人补助资金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21.38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27</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60年代精简退职人员救济补助资金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12.36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残疾人两项补贴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823.84</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900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城市居民最低生活保障</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913.42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1082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城市特困供养人员生活补助</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126.56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144</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农村居民最低生活保障</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3065.47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3464</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农村特困供养人员生活补助</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1185.84</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1163</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高龄老人补助资金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704.1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740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孤儿基本生活补贴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69.83</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110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敬老院维修经费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敬老院运行保障经费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306.75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344</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事实无人抚养儿童基本生活补贴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230.63</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185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特困人员护理补贴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92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80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特困人员基本殡葬服务费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63.48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流浪乞讨人员救助配套资金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116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45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社工站运转经费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97.9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98</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特困供养人员生活用品购置经费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xml:space="preserve">  </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54"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节俭务实办会；严控差旅活动；压减经费开支；节约办公成本。</w:t>
            </w:r>
            <w:r>
              <w:rPr>
                <w:rFonts w:hint="eastAsia" w:asciiTheme="minorEastAsia" w:hAnsiTheme="minorEastAsia" w:eastAsiaTheme="minorEastAsia" w:cstheme="minorEastAsia"/>
                <w:i w:val="0"/>
                <w:iCs w:val="0"/>
                <w:caps w:val="0"/>
                <w:color w:val="auto"/>
                <w:spacing w:val="0"/>
                <w:sz w:val="22"/>
                <w:szCs w:val="22"/>
                <w:shd w:val="clear"/>
              </w:rPr>
              <w:t>　</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jc w:val="left"/>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rPr>
        <w:t>填报单位</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lang w:val="en-US" w:eastAsia="zh-CN"/>
        </w:rPr>
        <w:t xml:space="preserve">临武县民政局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说明：</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公用经费</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填报基本支出中的一般商品和服务支出；</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项目支出</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需要填报基本支出以外的所有项目支出情况，包括业务工作项目、运行维护项目和县级专项资金等。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lang w:val="en-US" w:eastAsia="zh-CN"/>
        </w:rPr>
        <w:sectPr>
          <w:footerReference r:id="rId3" w:type="default"/>
          <w:pgSz w:w="11906" w:h="16838"/>
          <w:pgMar w:top="1701" w:right="1417" w:bottom="1701" w:left="1587" w:header="851" w:footer="1474"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i w:val="0"/>
          <w:iCs w:val="0"/>
          <w:caps w:val="0"/>
          <w:color w:val="auto"/>
          <w:spacing w:val="0"/>
          <w:sz w:val="22"/>
          <w:szCs w:val="22"/>
          <w:shd w:val="clear"/>
        </w:rPr>
        <w:t>填表人：</w:t>
      </w:r>
      <w:r>
        <w:rPr>
          <w:rFonts w:hint="eastAsia" w:ascii="宋体" w:hAnsi="宋体" w:eastAsia="宋体" w:cs="宋体"/>
          <w:i w:val="0"/>
          <w:iCs w:val="0"/>
          <w:caps w:val="0"/>
          <w:color w:val="auto"/>
          <w:spacing w:val="0"/>
          <w:sz w:val="22"/>
          <w:szCs w:val="22"/>
          <w:shd w:val="clear"/>
          <w:lang w:val="en-US" w:eastAsia="zh-CN"/>
        </w:rPr>
        <w:t>欧阳群梅</w:t>
      </w:r>
      <w:r>
        <w:rPr>
          <w:rFonts w:hint="eastAsia" w:ascii="宋体" w:hAnsi="宋体" w:eastAsia="宋体" w:cs="宋体"/>
          <w:i w:val="0"/>
          <w:iCs w:val="0"/>
          <w:caps w:val="0"/>
          <w:color w:val="auto"/>
          <w:spacing w:val="0"/>
          <w:sz w:val="22"/>
          <w:szCs w:val="22"/>
          <w:shd w:val="clear"/>
        </w:rPr>
        <w:t xml:space="preserve">   联系电话：</w:t>
      </w:r>
      <w:r>
        <w:rPr>
          <w:rFonts w:hint="eastAsia" w:ascii="宋体" w:hAnsi="宋体" w:eastAsia="宋体" w:cs="宋体"/>
          <w:i w:val="0"/>
          <w:iCs w:val="0"/>
          <w:caps w:val="0"/>
          <w:color w:val="auto"/>
          <w:spacing w:val="0"/>
          <w:sz w:val="22"/>
          <w:szCs w:val="22"/>
          <w:shd w:val="clear"/>
          <w:lang w:val="en-US" w:eastAsia="zh-CN"/>
        </w:rPr>
        <w:t>6338822</w:t>
      </w:r>
      <w:r>
        <w:rPr>
          <w:rFonts w:hint="eastAsia" w:ascii="宋体" w:hAnsi="宋体" w:eastAsia="宋体" w:cs="宋体"/>
          <w:i w:val="0"/>
          <w:iCs w:val="0"/>
          <w:caps w:val="0"/>
          <w:color w:val="auto"/>
          <w:spacing w:val="0"/>
          <w:sz w:val="22"/>
          <w:szCs w:val="22"/>
          <w:shd w:val="clear"/>
        </w:rPr>
        <w:t xml:space="preserve">     单位负责人签字：</w:t>
      </w:r>
      <w:r>
        <w:rPr>
          <w:rFonts w:hint="eastAsia" w:ascii="宋体" w:hAnsi="宋体" w:eastAsia="宋体" w:cs="宋体"/>
          <w:i w:val="0"/>
          <w:iCs w:val="0"/>
          <w:caps w:val="0"/>
          <w:color w:val="auto"/>
          <w:spacing w:val="0"/>
          <w:sz w:val="22"/>
          <w:szCs w:val="22"/>
          <w:shd w:val="clear"/>
          <w:lang w:val="en-US" w:eastAsia="zh-CN"/>
        </w:rPr>
        <w:t>盘光平</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80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部门整体支出绩效自评表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 2022</w:t>
      </w:r>
      <w:r>
        <w:rPr>
          <w:rFonts w:hint="eastAsia" w:ascii="宋体" w:hAnsi="宋体" w:eastAsia="宋体" w:cs="宋体"/>
          <w:i w:val="0"/>
          <w:iCs w:val="0"/>
          <w:caps w:val="0"/>
          <w:color w:val="auto"/>
          <w:spacing w:val="0"/>
          <w:sz w:val="22"/>
          <w:szCs w:val="22"/>
          <w:shd w:val="clear"/>
        </w:rPr>
        <w:t>年度）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tbl>
      <w:tblPr>
        <w:tblStyle w:val="10"/>
        <w:tblW w:w="9065"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5"/>
        <w:gridCol w:w="1286"/>
        <w:gridCol w:w="546"/>
        <w:gridCol w:w="875"/>
        <w:gridCol w:w="706"/>
        <w:gridCol w:w="382"/>
        <w:gridCol w:w="95"/>
        <w:gridCol w:w="649"/>
        <w:gridCol w:w="61"/>
        <w:gridCol w:w="507"/>
        <w:gridCol w:w="1203"/>
        <w:gridCol w:w="1110"/>
        <w:gridCol w:w="990"/>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部门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i w:val="0"/>
                <w:iCs w:val="0"/>
                <w:caps w:val="0"/>
                <w:color w:val="auto"/>
                <w:spacing w:val="0"/>
                <w:sz w:val="19"/>
                <w:szCs w:val="19"/>
                <w:shd w:val="clear"/>
                <w:lang w:val="en-US" w:eastAsia="zh-CN"/>
              </w:rPr>
              <w:t>(</w:t>
            </w:r>
            <w:r>
              <w:rPr>
                <w:rFonts w:hint="eastAsia" w:ascii="宋体" w:hAnsi="宋体" w:eastAsia="宋体" w:cs="宋体"/>
                <w:i w:val="0"/>
                <w:iCs w:val="0"/>
                <w:caps w:val="0"/>
                <w:color w:val="auto"/>
                <w:spacing w:val="0"/>
                <w:sz w:val="19"/>
                <w:szCs w:val="19"/>
                <w:shd w:val="clear"/>
              </w:rPr>
              <w:t>万元</w:t>
            </w:r>
            <w:r>
              <w:rPr>
                <w:rFonts w:hint="eastAsia" w:ascii="宋体" w:hAnsi="宋体" w:eastAsia="宋体" w:cs="宋体"/>
                <w:i w:val="0"/>
                <w:iCs w:val="0"/>
                <w:caps w:val="0"/>
                <w:color w:val="auto"/>
                <w:spacing w:val="0"/>
                <w:sz w:val="19"/>
                <w:szCs w:val="19"/>
                <w:shd w:val="clear"/>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全年预算数</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全年执行数</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预算执行率</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年度资金总额</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9019.8</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9917.2</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110%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按收入性质分类</w:t>
            </w:r>
          </w:p>
        </w:tc>
        <w:tc>
          <w:tcPr>
            <w:tcW w:w="6578" w:type="dxa"/>
            <w:gridSpan w:val="10"/>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按支出性质分类</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一般公共预算拨款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3541.8</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基本支出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478.8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政府性基金拨款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1.人员经费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427.5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纳入管理的非税收入拨款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2.公用经费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val="en-US" w:eastAsia="zh-CN"/>
              </w:rPr>
              <w:t>社会保险基金</w:t>
            </w:r>
            <w:r>
              <w:rPr>
                <w:rFonts w:hint="eastAsia" w:ascii="宋体" w:hAnsi="宋体" w:eastAsia="宋体" w:cs="宋体"/>
                <w:i w:val="0"/>
                <w:iCs w:val="0"/>
                <w:caps w:val="0"/>
                <w:color w:val="auto"/>
                <w:spacing w:val="0"/>
                <w:sz w:val="19"/>
                <w:szCs w:val="19"/>
                <w:shd w:val="clear"/>
              </w:rPr>
              <w:t>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其中：三公经费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其他资金</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项目支出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8541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年度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总体</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目标</w:t>
            </w: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年初预期（设定）目标</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4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numPr>
                <w:ilvl w:val="0"/>
                <w:numId w:val="0"/>
              </w:numPr>
              <w:ind w:leftChars="0"/>
              <w:jc w:val="left"/>
              <w:rPr>
                <w:rFonts w:hint="eastAsia" w:ascii="宋体" w:hAnsi="宋体" w:eastAsia="宋体" w:cs="宋体"/>
                <w:color w:val="auto"/>
                <w:sz w:val="19"/>
                <w:szCs w:val="19"/>
                <w:shd w:val="clear"/>
              </w:rPr>
            </w:pPr>
            <w:r>
              <w:rPr>
                <w:rFonts w:hint="eastAsia" w:ascii="仿宋_GB2312" w:eastAsia="仿宋_GB2312"/>
                <w:kern w:val="0"/>
                <w:szCs w:val="21"/>
                <w:lang w:val="en-US" w:eastAsia="zh-CN"/>
              </w:rPr>
              <w:t>1.完善社会救助，加强社会救助平台建设，进一步提高社会救助水平，提高城乡低保标准，城市低保标准不低于4300元/年/人，农村低保标准不低于4320元/年/人；提高城乡特困救助水平，城市特困救助提高到755元/月/人，农村特困救助提高550元/月/人。2.加强社会福利和促进慈善业发展，百岁老人按月均600元/人的标准发放，孤儿按1350元/人/月的标准落实，残疾人两项补贴提高到70元/月/人。3.优化社会事务管理。创建国家级3A婚姻登记窗口单位，进一步提高婚姻登记水平；提高基层组织建设及社会组织管理工作；深化殡葬领域改革，倡导婚丧文明新风；强化流浪制度管理；加强区划地名和界线管理。4.改革创新，进一步提高民政综合治理水平和治理能力。</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numPr>
                <w:ilvl w:val="0"/>
                <w:numId w:val="0"/>
              </w:numPr>
              <w:ind w:leftChars="0"/>
              <w:jc w:val="left"/>
              <w:rPr>
                <w:rFonts w:hint="eastAsia" w:ascii="仿宋_GB2312" w:eastAsia="仿宋_GB2312"/>
                <w:kern w:val="0"/>
                <w:szCs w:val="21"/>
              </w:rPr>
            </w:pPr>
            <w:r>
              <w:rPr>
                <w:rFonts w:hint="eastAsia" w:ascii="仿宋_GB2312" w:eastAsia="仿宋_GB2312"/>
                <w:kern w:val="0"/>
                <w:szCs w:val="21"/>
                <w:lang w:val="en-US" w:eastAsia="zh-CN"/>
              </w:rPr>
              <w:t>1.完善社会救助，加强社会救助平台建设，进一步提高社会救助水平，提高城乡低保标准，城市低保标准不低于4300元/年/人，农村低保标准不低于4320元/年/人，全年城乡低保支出共计3978.88万元；提高城乡特困救助水平，城市特困救助提高到755元/月/人，农村特困救助提高550元/月/人。2.加强社会福利和促进慈善业发展，百岁老人按月均600元/人的标准发放，全年发放21.38万元；孤儿按1350元/人/月的标准落实，残疾人两项补贴提高到70元/月/人，全年发放823.84万元。3.优化社会事务管理。创建国家级3A婚姻登记窗口单位，进一步提高婚姻登记水平；提高基层组织建设及社会组织管理工作；深化殡葬领域改革，倡导婚丧文明新风；强化流浪制度管理；加强区划地名和界线管理。4.改革创新，进一步提高民政综合治理水平和治理能力。</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标</w:t>
            </w: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一级指标</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二级指标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三级指标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年度指标值</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实际完成值</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（50分）</w:t>
            </w: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数量指标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保障补助残疾人两项补贴人数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4000人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val="en-US" w:eastAsia="zh-CN"/>
              </w:rPr>
              <w:t>4804人</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社工站覆盖数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14个</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14个</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49"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补助保障事实无人抚养儿童人数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300人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321人</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补助保障高龄老人数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5800人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6125人</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375"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补助保障突发意外事故及重大疾病家庭临时救助人次</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2000人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 xml:space="preserve">2336人      </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质量指标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困难群众救助对象标准合规率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残疾人两项补贴覆盖率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638"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居家养老及养老服务动态核查专项工作经费符合相关政策规定比率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128"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符合享受农村低保条件的对象，纳入保障覆盖率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时效指标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民政补助按时发放率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成本指标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部门</w:t>
            </w:r>
            <w:r>
              <w:rPr>
                <w:rFonts w:hint="eastAsia" w:ascii="宋体" w:hAnsi="宋体" w:eastAsia="宋体" w:cs="宋体"/>
                <w:color w:val="auto"/>
                <w:sz w:val="19"/>
                <w:szCs w:val="19"/>
                <w:shd w:val="clear"/>
                <w:lang w:val="en-US" w:eastAsia="zh-CN"/>
              </w:rPr>
              <w:t>整体</w:t>
            </w:r>
            <w:r>
              <w:rPr>
                <w:rFonts w:hint="eastAsia" w:ascii="宋体" w:hAnsi="宋体" w:eastAsia="宋体" w:cs="宋体"/>
                <w:color w:val="auto"/>
                <w:sz w:val="19"/>
                <w:szCs w:val="19"/>
                <w:shd w:val="clear"/>
              </w:rPr>
              <w:t>支出</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9019.8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9917.24</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val="en-US" w:eastAsia="zh-CN"/>
              </w:rPr>
              <w:t>部门基本</w:t>
            </w:r>
            <w:r>
              <w:rPr>
                <w:rFonts w:hint="eastAsia" w:ascii="宋体" w:hAnsi="宋体" w:eastAsia="宋体" w:cs="宋体"/>
                <w:color w:val="auto"/>
                <w:sz w:val="19"/>
                <w:szCs w:val="19"/>
                <w:shd w:val="clear"/>
              </w:rPr>
              <w:t>支出</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478.8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626.07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效益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（30分）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经济效益指标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增加了困难群众的收入、提升了生活水平</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显著</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显著</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充分发挥对流浪乞讨人员的救助作用，维护社会和谐稳定。</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显著</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显著</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生态效益指标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无</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可持续影响指标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困难群体应保尽保、应救尽救，进一步改善受助者的生活水平和生活质量。</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长期</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长期</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社会公众或服务对象满意度指标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民政补助对象满意度</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94%</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综合评定等级</w:t>
            </w:r>
          </w:p>
        </w:tc>
        <w:tc>
          <w:tcPr>
            <w:tcW w:w="270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603"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 xml:space="preserve">总 </w:t>
            </w:r>
            <w:r>
              <w:rPr>
                <w:rFonts w:hint="eastAsia" w:ascii="宋体" w:hAnsi="宋体" w:eastAsia="宋体" w:cs="宋体"/>
                <w:i w:val="0"/>
                <w:iCs w:val="0"/>
                <w:caps w:val="0"/>
                <w:color w:val="auto"/>
                <w:spacing w:val="0"/>
                <w:sz w:val="19"/>
                <w:szCs w:val="19"/>
                <w:shd w:val="clear"/>
                <w:lang w:val="en-US" w:eastAsia="zh-CN"/>
              </w:rPr>
              <w:t xml:space="preserve"> </w:t>
            </w:r>
            <w:r>
              <w:rPr>
                <w:rFonts w:hint="eastAsia" w:ascii="宋体" w:hAnsi="宋体" w:eastAsia="宋体" w:cs="宋体"/>
                <w:i w:val="0"/>
                <w:iCs w:val="0"/>
                <w:caps w:val="0"/>
                <w:color w:val="auto"/>
                <w:spacing w:val="0"/>
                <w:sz w:val="19"/>
                <w:szCs w:val="19"/>
                <w:shd w:val="clear"/>
              </w:rPr>
              <w:t>分</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说明</w:t>
            </w: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偏差及原因分析</w:t>
            </w: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rPr>
        <w:t>填表人：</w:t>
      </w:r>
      <w:r>
        <w:rPr>
          <w:rFonts w:hint="eastAsia" w:ascii="宋体" w:hAnsi="宋体" w:eastAsia="宋体" w:cs="宋体"/>
          <w:i w:val="0"/>
          <w:iCs w:val="0"/>
          <w:caps w:val="0"/>
          <w:color w:val="auto"/>
          <w:spacing w:val="0"/>
          <w:sz w:val="22"/>
          <w:szCs w:val="22"/>
          <w:shd w:val="clear"/>
          <w:lang w:val="en-US" w:eastAsia="zh-CN"/>
        </w:rPr>
        <w:t>欧阳群梅</w:t>
      </w:r>
      <w:r>
        <w:rPr>
          <w:rFonts w:hint="eastAsia" w:ascii="宋体" w:hAnsi="宋体" w:eastAsia="宋体" w:cs="宋体"/>
          <w:i w:val="0"/>
          <w:iCs w:val="0"/>
          <w:caps w:val="0"/>
          <w:color w:val="auto"/>
          <w:spacing w:val="0"/>
          <w:sz w:val="22"/>
          <w:szCs w:val="22"/>
          <w:shd w:val="clear"/>
        </w:rPr>
        <w:t xml:space="preserve">    联系电话： </w:t>
      </w:r>
      <w:r>
        <w:rPr>
          <w:rFonts w:hint="eastAsia" w:ascii="宋体" w:hAnsi="宋体" w:eastAsia="宋体" w:cs="宋体"/>
          <w:i w:val="0"/>
          <w:iCs w:val="0"/>
          <w:caps w:val="0"/>
          <w:color w:val="auto"/>
          <w:spacing w:val="0"/>
          <w:sz w:val="22"/>
          <w:szCs w:val="22"/>
          <w:shd w:val="clear"/>
          <w:lang w:val="en-US" w:eastAsia="zh-CN"/>
        </w:rPr>
        <w:t>6338822</w:t>
      </w:r>
      <w:r>
        <w:rPr>
          <w:rFonts w:hint="eastAsia" w:ascii="宋体" w:hAnsi="宋体" w:eastAsia="宋体" w:cs="宋体"/>
          <w:i w:val="0"/>
          <w:iCs w:val="0"/>
          <w:caps w:val="0"/>
          <w:color w:val="auto"/>
          <w:spacing w:val="0"/>
          <w:sz w:val="22"/>
          <w:szCs w:val="22"/>
          <w:shd w:val="clear"/>
        </w:rPr>
        <w:t>    单位负责人签字：</w:t>
      </w:r>
      <w:r>
        <w:rPr>
          <w:rFonts w:hint="eastAsia" w:ascii="宋体" w:hAnsi="宋体" w:eastAsia="宋体" w:cs="宋体"/>
          <w:i w:val="0"/>
          <w:iCs w:val="0"/>
          <w:caps w:val="0"/>
          <w:color w:val="auto"/>
          <w:spacing w:val="0"/>
          <w:sz w:val="22"/>
          <w:szCs w:val="22"/>
          <w:shd w:val="clear"/>
          <w:lang w:val="en-US" w:eastAsia="zh-CN"/>
        </w:rPr>
        <w:t>盘光平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left="603" w:leftChars="-94" w:right="0" w:hanging="800" w:hangingChars="400"/>
        <w:jc w:val="left"/>
        <w:textAlignment w:val="auto"/>
        <w:rPr>
          <w:rFonts w:hint="eastAsia" w:ascii="宋体" w:hAnsi="宋体" w:eastAsia="宋体" w:cs="宋体"/>
          <w:i w:val="0"/>
          <w:iCs w:val="0"/>
          <w:caps w:val="0"/>
          <w:color w:val="auto"/>
          <w:spacing w:val="0"/>
          <w:sz w:val="20"/>
          <w:szCs w:val="20"/>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left="603" w:leftChars="-94" w:right="0" w:hanging="800" w:hangingChars="4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说明：1.分值设定100分，其中预算执行率10分、产出指标50分、效益指标30分、满意度指标10分。除预算执行率外的指标应根据权重自行合理设定分值。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right="0" w:firstLine="400" w:firstLineChars="2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2.综合评价等级分为优秀（</w:t>
      </w:r>
      <w:r>
        <w:rPr>
          <w:rFonts w:hint="eastAsia" w:ascii="宋体" w:hAnsi="宋体" w:eastAsia="宋体" w:cs="宋体"/>
          <w:i w:val="0"/>
          <w:iCs w:val="0"/>
          <w:caps w:val="0"/>
          <w:color w:val="auto"/>
          <w:spacing w:val="0"/>
          <w:sz w:val="20"/>
          <w:szCs w:val="20"/>
          <w:shd w:val="clear"/>
          <w:lang w:val="en-US" w:eastAsia="zh-CN"/>
        </w:rPr>
        <w:t>S</w:t>
      </w:r>
      <w:r>
        <w:rPr>
          <w:rFonts w:hint="eastAsia" w:ascii="宋体" w:hAnsi="宋体" w:eastAsia="宋体" w:cs="宋体"/>
          <w:i w:val="0"/>
          <w:iCs w:val="0"/>
          <w:caps w:val="0"/>
          <w:color w:val="auto"/>
          <w:spacing w:val="0"/>
          <w:sz w:val="20"/>
          <w:szCs w:val="20"/>
          <w:shd w:val="clear"/>
        </w:rPr>
        <w:t>＞90）、良好（90</w:t>
      </w:r>
      <w:r>
        <w:rPr>
          <w:rFonts w:hint="eastAsia" w:ascii="宋体" w:hAnsi="宋体" w:eastAsia="宋体" w:cs="宋体"/>
          <w:i w:val="0"/>
          <w:iCs w:val="0"/>
          <w:caps w:val="0"/>
          <w:color w:val="auto"/>
          <w:spacing w:val="0"/>
          <w:sz w:val="20"/>
          <w:szCs w:val="20"/>
          <w:shd w:val="clear"/>
          <w:lang w:eastAsia="zh-CN"/>
        </w:rPr>
        <w:t>—</w:t>
      </w:r>
      <w:r>
        <w:rPr>
          <w:rFonts w:hint="eastAsia" w:ascii="宋体" w:hAnsi="宋体" w:eastAsia="宋体" w:cs="宋体"/>
          <w:i w:val="0"/>
          <w:iCs w:val="0"/>
          <w:caps w:val="0"/>
          <w:color w:val="auto"/>
          <w:spacing w:val="0"/>
          <w:sz w:val="20"/>
          <w:szCs w:val="20"/>
          <w:shd w:val="clear"/>
        </w:rPr>
        <w:t>80）、较差（80</w:t>
      </w:r>
      <w:r>
        <w:rPr>
          <w:rFonts w:hint="eastAsia" w:ascii="宋体" w:hAnsi="宋体" w:eastAsia="宋体" w:cs="宋体"/>
          <w:i w:val="0"/>
          <w:iCs w:val="0"/>
          <w:caps w:val="0"/>
          <w:color w:val="auto"/>
          <w:spacing w:val="0"/>
          <w:sz w:val="20"/>
          <w:szCs w:val="20"/>
          <w:shd w:val="clear"/>
          <w:lang w:val="en-US" w:eastAsia="zh-CN"/>
        </w:rPr>
        <w:t>—</w:t>
      </w:r>
      <w:r>
        <w:rPr>
          <w:rFonts w:hint="eastAsia" w:ascii="宋体" w:hAnsi="宋体" w:eastAsia="宋体" w:cs="宋体"/>
          <w:i w:val="0"/>
          <w:iCs w:val="0"/>
          <w:caps w:val="0"/>
          <w:color w:val="auto"/>
          <w:spacing w:val="0"/>
          <w:sz w:val="20"/>
          <w:szCs w:val="20"/>
          <w:shd w:val="clear"/>
        </w:rPr>
        <w:t>60）、差（S＜60）。</w:t>
      </w:r>
    </w:p>
    <w:p>
      <w:pPr>
        <w:keepNext w:val="0"/>
        <w:keepLines w:val="0"/>
        <w:pageBreakBefore w:val="0"/>
        <w:shd w:val="clear"/>
        <w:kinsoku/>
        <w:wordWrap/>
        <w:overflowPunct/>
        <w:topLinePunct w:val="0"/>
        <w:autoSpaceDE/>
        <w:autoSpaceDN/>
        <w:bidi w:val="0"/>
        <w:adjustRightInd/>
        <w:snapToGrid/>
        <w:spacing w:line="260" w:lineRule="exact"/>
        <w:ind w:firstLine="400" w:firstLineChars="200"/>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0"/>
          <w:szCs w:val="20"/>
          <w:shd w:val="clear"/>
        </w:rPr>
        <w:t>3.三级绩效指标按需</w:t>
      </w:r>
      <w:r>
        <w:rPr>
          <w:rFonts w:hint="eastAsia" w:ascii="宋体" w:hAnsi="宋体" w:eastAsia="宋体" w:cs="宋体"/>
          <w:i w:val="0"/>
          <w:iCs w:val="0"/>
          <w:caps w:val="0"/>
          <w:color w:val="auto"/>
          <w:spacing w:val="0"/>
          <w:sz w:val="22"/>
          <w:szCs w:val="22"/>
          <w:shd w:val="clear"/>
        </w:rPr>
        <w:t>自行</w:t>
      </w:r>
      <w:r>
        <w:rPr>
          <w:rFonts w:hint="eastAsia" w:ascii="宋体" w:hAnsi="宋体" w:eastAsia="宋体" w:cs="宋体"/>
          <w:i w:val="0"/>
          <w:iCs w:val="0"/>
          <w:caps w:val="0"/>
          <w:color w:val="auto"/>
          <w:spacing w:val="0"/>
          <w:sz w:val="22"/>
          <w:szCs w:val="22"/>
          <w:shd w:val="clear"/>
          <w:lang w:eastAsia="zh-CN"/>
        </w:rPr>
        <w:t>增减</w:t>
      </w:r>
      <w:r>
        <w:rPr>
          <w:rFonts w:hint="eastAsia" w:ascii="宋体" w:hAnsi="宋体" w:eastAsia="宋体" w:cs="宋体"/>
          <w:i w:val="0"/>
          <w:iCs w:val="0"/>
          <w:caps w:val="0"/>
          <w:color w:val="auto"/>
          <w:spacing w:val="0"/>
          <w:sz w:val="22"/>
          <w:szCs w:val="22"/>
          <w:shd w:val="clear"/>
        </w:rPr>
        <w:t>。个别不涉及的二级指标可自行删除。</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right="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临武县民政局2022年</w:t>
      </w:r>
      <w:r>
        <w:rPr>
          <w:rFonts w:hint="eastAsia" w:ascii="方正小标宋简体" w:hAnsi="方正小标宋简体" w:eastAsia="方正小标宋简体" w:cs="方正小标宋简体"/>
          <w:i w:val="0"/>
          <w:iCs w:val="0"/>
          <w:caps w:val="0"/>
          <w:color w:val="auto"/>
          <w:spacing w:val="0"/>
          <w:sz w:val="40"/>
          <w:szCs w:val="40"/>
          <w:shd w:val="clear"/>
        </w:rPr>
        <w:t>项目支出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right="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绩效自评报告</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240" w:lineRule="exact"/>
        <w:ind w:left="0" w:right="0" w:firstLine="640" w:firstLineChars="200"/>
        <w:jc w:val="both"/>
        <w:textAlignment w:val="auto"/>
        <w:rPr>
          <w:rFonts w:hint="default" w:ascii="Times New Roman" w:hAnsi="Times New Roman" w:eastAsia="仿宋" w:cs="Times New Roman"/>
          <w:color w:val="auto"/>
          <w:kern w:val="2"/>
          <w:sz w:val="32"/>
          <w:szCs w:val="32"/>
          <w:shd w:val="clear"/>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宋体" w:hAnsi="宋体" w:eastAsia="宋体" w:cs="宋体"/>
          <w:i w:val="0"/>
          <w:iCs w:val="0"/>
          <w:caps w:val="0"/>
          <w:color w:val="auto"/>
          <w:spacing w:val="0"/>
          <w:sz w:val="24"/>
          <w:szCs w:val="24"/>
          <w:shd w:val="clear"/>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湖南省人民政府办公厅关于全面实施预算绩效管理的实施意见》（湘办发〔2019〕10号）及《关于做好2022年预算绩效管理工作的通知》（临财绩〔2022〕124号）等文件精神，</w:t>
      </w:r>
      <w:r>
        <w:rPr>
          <w:rFonts w:hint="eastAsia" w:ascii="Times New Roman" w:hAnsi="Times New Roman" w:eastAsia="仿宋" w:cs="Times New Roman"/>
          <w:color w:val="auto"/>
          <w:kern w:val="2"/>
          <w:sz w:val="32"/>
          <w:szCs w:val="32"/>
          <w:shd w:val="clear"/>
          <w:lang w:val="en-US" w:eastAsia="zh-CN" w:bidi="ar"/>
        </w:rPr>
        <w:t>我单位</w:t>
      </w:r>
      <w:r>
        <w:rPr>
          <w:rFonts w:hint="default" w:ascii="Times New Roman" w:hAnsi="Times New Roman" w:eastAsia="仿宋" w:cs="Times New Roman"/>
          <w:color w:val="auto"/>
          <w:kern w:val="2"/>
          <w:sz w:val="32"/>
          <w:szCs w:val="32"/>
          <w:shd w:val="clear"/>
          <w:lang w:val="en-US" w:eastAsia="zh-CN" w:bidi="ar"/>
        </w:rPr>
        <w:t>对202</w:t>
      </w:r>
      <w:r>
        <w:rPr>
          <w:rFonts w:hint="eastAsia" w:ascii="Times New Roman" w:hAnsi="Times New Roman" w:eastAsia="仿宋" w:cs="Times New Roman"/>
          <w:color w:val="auto"/>
          <w:kern w:val="2"/>
          <w:sz w:val="32"/>
          <w:szCs w:val="32"/>
          <w:shd w:val="clear"/>
          <w:lang w:val="en-US" w:eastAsia="zh-CN" w:bidi="ar"/>
        </w:rPr>
        <w:t>2</w:t>
      </w:r>
      <w:r>
        <w:rPr>
          <w:rFonts w:hint="default" w:ascii="Times New Roman" w:hAnsi="Times New Roman" w:eastAsia="仿宋" w:cs="Times New Roman"/>
          <w:color w:val="auto"/>
          <w:kern w:val="2"/>
          <w:sz w:val="32"/>
          <w:szCs w:val="32"/>
          <w:shd w:val="clear"/>
          <w:lang w:val="en-US" w:eastAsia="zh-CN" w:bidi="ar"/>
        </w:rPr>
        <w:t>年</w:t>
      </w:r>
      <w:r>
        <w:rPr>
          <w:rFonts w:hint="eastAsia" w:ascii="Times New Roman" w:hAnsi="Times New Roman" w:eastAsia="仿宋" w:cs="Times New Roman"/>
          <w:color w:val="auto"/>
          <w:kern w:val="2"/>
          <w:sz w:val="32"/>
          <w:szCs w:val="32"/>
          <w:shd w:val="clear"/>
          <w:lang w:val="en-US" w:eastAsia="zh-CN" w:bidi="ar"/>
        </w:rPr>
        <w:t>民政专项项目</w:t>
      </w:r>
      <w:r>
        <w:rPr>
          <w:rFonts w:hint="eastAsia" w:ascii="仿宋" w:hAnsi="仿宋" w:eastAsia="仿宋" w:cs="仿宋"/>
          <w:color w:val="auto"/>
          <w:kern w:val="2"/>
          <w:sz w:val="32"/>
          <w:szCs w:val="32"/>
          <w:shd w:val="clear"/>
          <w:lang w:val="en-US" w:eastAsia="zh-CN" w:bidi="ar"/>
        </w:rPr>
        <w:t>（100万元以上专项经费）</w:t>
      </w:r>
      <w:r>
        <w:rPr>
          <w:rFonts w:hint="default" w:ascii="Times New Roman" w:hAnsi="Times New Roman" w:eastAsia="仿宋" w:cs="Times New Roman"/>
          <w:color w:val="auto"/>
          <w:kern w:val="2"/>
          <w:sz w:val="32"/>
          <w:szCs w:val="32"/>
          <w:shd w:val="clear"/>
          <w:lang w:val="en-US" w:eastAsia="zh-CN" w:bidi="ar"/>
        </w:rPr>
        <w:t>进行了专项绩效</w:t>
      </w:r>
      <w:r>
        <w:rPr>
          <w:rFonts w:hint="eastAsia" w:ascii="Times New Roman" w:hAnsi="Times New Roman" w:eastAsia="仿宋" w:cs="Times New Roman"/>
          <w:color w:val="auto"/>
          <w:kern w:val="2"/>
          <w:sz w:val="32"/>
          <w:szCs w:val="32"/>
          <w:shd w:val="clear"/>
          <w:lang w:val="en-US" w:eastAsia="zh-CN" w:bidi="ar"/>
        </w:rPr>
        <w:t>自评</w:t>
      </w:r>
      <w:r>
        <w:rPr>
          <w:rFonts w:hint="default" w:ascii="Times New Roman" w:hAnsi="Times New Roman" w:eastAsia="仿宋" w:cs="Times New Roman"/>
          <w:color w:val="auto"/>
          <w:kern w:val="2"/>
          <w:sz w:val="32"/>
          <w:szCs w:val="32"/>
          <w:shd w:val="clear"/>
          <w:lang w:val="en-US" w:eastAsia="zh-CN" w:bidi="ar"/>
        </w:rPr>
        <w:t>，现将绩效</w:t>
      </w:r>
      <w:r>
        <w:rPr>
          <w:rFonts w:hint="eastAsia" w:ascii="Times New Roman" w:hAnsi="Times New Roman" w:eastAsia="仿宋" w:cs="Times New Roman"/>
          <w:color w:val="auto"/>
          <w:kern w:val="2"/>
          <w:sz w:val="32"/>
          <w:szCs w:val="32"/>
          <w:shd w:val="clear"/>
          <w:lang w:val="en-US" w:eastAsia="zh-CN" w:bidi="ar"/>
        </w:rPr>
        <w:t>自</w:t>
      </w:r>
      <w:r>
        <w:rPr>
          <w:rFonts w:hint="default" w:ascii="Times New Roman" w:hAnsi="Times New Roman" w:eastAsia="仿宋" w:cs="Times New Roman"/>
          <w:color w:val="auto"/>
          <w:kern w:val="2"/>
          <w:sz w:val="32"/>
          <w:szCs w:val="32"/>
          <w:shd w:val="clear"/>
          <w:lang w:val="en-US" w:eastAsia="zh-CN" w:bidi="ar"/>
        </w:rPr>
        <w:t>评情况报告如下：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一、项目支出概况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firstLine="640" w:firstLineChars="200"/>
        <w:jc w:val="left"/>
        <w:textAlignment w:val="auto"/>
        <w:rPr>
          <w:rFonts w:hint="default" w:ascii="宋体" w:hAnsi="宋体" w:eastAsia="宋体" w:cs="宋体"/>
          <w:color w:val="auto"/>
          <w:sz w:val="22"/>
          <w:szCs w:val="22"/>
          <w:shd w:val="clear"/>
          <w:lang w:val="en-US"/>
        </w:rPr>
      </w:pPr>
      <w:r>
        <w:rPr>
          <w:rFonts w:hint="eastAsia" w:ascii="Times New Roman" w:hAnsi="Times New Roman" w:eastAsia="仿宋" w:cs="Times New Roman"/>
          <w:color w:val="auto"/>
          <w:kern w:val="2"/>
          <w:sz w:val="32"/>
          <w:szCs w:val="32"/>
          <w:shd w:val="clear"/>
          <w:lang w:val="en-US" w:eastAsia="zh-CN" w:bidi="ar"/>
        </w:rPr>
        <w:t>（1）残疾人“两项补贴”分别是指困难残疾人生活补贴和重度残疾人护理补贴，残疾人两项补贴通过惠民惠农财政补助资金“一卡通”发放，按75元/人·月标准按时发放到位，加强资金管理，确保专款专用。残疾人“两项补贴”实施困难残疾人生活补贴，惠及残疾人4804人以上；实施重度残疾人护理补贴，惠及残疾人5843人以上。残疾人两项补贴目标人群覆盖率达到100%，年度绩效目标基本实现。</w:t>
      </w:r>
    </w:p>
    <w:p>
      <w:pPr>
        <w:numPr>
          <w:ilvl w:val="0"/>
          <w:numId w:val="0"/>
        </w:numPr>
        <w:spacing w:line="560" w:lineRule="exact"/>
        <w:ind w:firstLine="640" w:firstLineChars="200"/>
        <w:rPr>
          <w:rFonts w:hint="eastAsia" w:ascii="仿宋" w:hAnsi="仿宋" w:eastAsia="仿宋" w:cs="Arial"/>
          <w:color w:val="333333"/>
          <w:spacing w:val="8"/>
          <w:sz w:val="30"/>
          <w:szCs w:val="30"/>
          <w:shd w:val="clear" w:color="auto" w:fill="FFFFFF"/>
          <w:lang w:val="en-US" w:eastAsia="zh-CN"/>
        </w:rPr>
      </w:pPr>
      <w:r>
        <w:rPr>
          <w:rFonts w:hint="eastAsia" w:ascii="仿宋" w:hAnsi="仿宋" w:eastAsia="仿宋" w:cs="仿宋"/>
          <w:i w:val="0"/>
          <w:iCs w:val="0"/>
          <w:caps w:val="0"/>
          <w:color w:val="auto"/>
          <w:spacing w:val="0"/>
          <w:sz w:val="32"/>
          <w:szCs w:val="32"/>
          <w:shd w:val="clear"/>
          <w:lang w:val="en-US" w:eastAsia="zh-CN"/>
        </w:rPr>
        <w:t>（2）城乡居民最低生活保障，</w:t>
      </w:r>
      <w:r>
        <w:rPr>
          <w:rFonts w:hint="eastAsia" w:ascii="仿宋" w:hAnsi="仿宋" w:eastAsia="仿宋" w:cs="Arial"/>
          <w:color w:val="333333"/>
          <w:spacing w:val="8"/>
          <w:sz w:val="30"/>
          <w:szCs w:val="30"/>
          <w:shd w:val="clear" w:color="auto" w:fill="FFFFFF"/>
        </w:rPr>
        <w:t>主要是政府对城乡家庭人均收入低于当地城乡最低生活保障标准的城乡困难家庭给予的差额救助，以保证该家庭成员基本生活所需的社会保障制度。</w:t>
      </w:r>
      <w:r>
        <w:rPr>
          <w:rFonts w:hint="eastAsia" w:ascii="仿宋" w:hAnsi="仿宋" w:eastAsia="仿宋" w:cs="Arial"/>
          <w:color w:val="333333"/>
          <w:spacing w:val="8"/>
          <w:sz w:val="30"/>
          <w:szCs w:val="30"/>
          <w:shd w:val="clear" w:color="auto" w:fill="FFFFFF"/>
          <w:lang w:val="en-US" w:eastAsia="zh-CN"/>
        </w:rPr>
        <w:t>绩效目标为保障城乡困难群体达到最低生活水平，按政策要求基本实现应保尽保；</w:t>
      </w:r>
    </w:p>
    <w:p>
      <w:pPr>
        <w:pStyle w:val="2"/>
        <w:numPr>
          <w:ilvl w:val="0"/>
          <w:numId w:val="0"/>
        </w:numPr>
        <w:ind w:firstLine="632" w:firstLineChars="200"/>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3）城乡特困人员救助供养支出，主要用于为特困人员提供救助供养所需支出，具体包括提供基本生活条件、照料护理服务、基本医疗服务所发生的支出，以及按规定办理丧葬事宜所发生的支出。绩效目标为对符合特困对象救助标准的老人每月及时足额发放特困金，本年度已完成该项目标。</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4）高龄老人补助资金主要对户口在本县区，年满80-99周岁，无固定收入的老年人发放的补助。80-89周岁的老人每人每月80元，89-99周岁的老人每人每月150元。2022年为全县6000多位高龄老年人及时足额发放补贴，让每位高龄老人享受到老年福利待遇，同时也帮助有困难的老人保障生活质量，让每位老年人获得感、幸福感、安全感不断提升，年度绩效目标已完成。</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（5）敬老院运行保障经费主要是给敬老院的日常经费、工作人员工资、购买工作人员社保以及敬老院机构责任险，离职工作人员补偿等支出。年度绩效目标为保障敬老院正常运转，本年度目标基本实现。</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default"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6）事实无人抚养儿童基本生活补贴主要指未满18周岁，父母双方均符合重残、重病或父母一方死亡、失踪等情形，导致父母失去抚养能力的儿童。年初绩效目标是对符合政策的事实无人抚养儿童保障到位，每月按时发放补贴；目标已完成，对全县300多名事实无人抚养儿童发放补贴。</w:t>
      </w:r>
    </w:p>
    <w:p>
      <w:pPr>
        <w:spacing w:line="56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7</w:t>
      </w:r>
      <w:r>
        <w:rPr>
          <w:rFonts w:hint="eastAsia" w:ascii="仿宋" w:hAnsi="仿宋" w:eastAsia="仿宋" w:cs="仿宋_GB2312"/>
          <w:sz w:val="30"/>
          <w:szCs w:val="30"/>
          <w:lang w:eastAsia="zh-CN"/>
        </w:rPr>
        <w:t>）</w:t>
      </w:r>
      <w:r>
        <w:rPr>
          <w:rFonts w:hint="eastAsia" w:ascii="仿宋" w:hAnsi="仿宋" w:eastAsia="仿宋" w:cs="仿宋_GB2312"/>
          <w:sz w:val="30"/>
          <w:szCs w:val="30"/>
        </w:rPr>
        <w:t>流浪乞讨人员救助</w:t>
      </w: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全年共救助78人次，流浪乞讨资金</w:t>
      </w:r>
      <w:r>
        <w:rPr>
          <w:rFonts w:hint="eastAsia" w:ascii="仿宋" w:hAnsi="仿宋" w:eastAsia="仿宋" w:cs="仿宋_GB2312"/>
          <w:sz w:val="30"/>
          <w:szCs w:val="30"/>
        </w:rPr>
        <w:t>全部用于流浪乞讨人员医疗费、生活补助、抚养费、返乡费以及农村留守儿童等支出。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二、项目资金使用及管理情况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（一）项目资金及自筹资金的安排落实、总投入等情况。</w:t>
      </w:r>
    </w:p>
    <w:tbl>
      <w:tblPr>
        <w:tblStyle w:val="11"/>
        <w:tblW w:w="9165"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755"/>
        <w:gridCol w:w="268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205" w:type="dxa"/>
            <w:noWrap w:val="0"/>
            <w:vAlign w:val="top"/>
          </w:tcPr>
          <w:p>
            <w:pPr>
              <w:ind w:firstLine="280" w:firstLineChars="100"/>
              <w:jc w:val="center"/>
              <w:rPr>
                <w:rFonts w:hint="default" w:ascii="仿宋_GB2312" w:eastAsia="仿宋_GB2312"/>
                <w:sz w:val="32"/>
                <w:szCs w:val="32"/>
                <w:vertAlign w:val="baseline"/>
                <w:lang w:val="en-US" w:eastAsia="zh-CN"/>
              </w:rPr>
            </w:pPr>
            <w:r>
              <w:rPr>
                <w:rFonts w:hint="eastAsia" w:ascii="仿宋_GB2312" w:eastAsia="仿宋_GB2312"/>
                <w:sz w:val="28"/>
                <w:szCs w:val="28"/>
                <w:vertAlign w:val="baseline"/>
                <w:lang w:val="en-US" w:eastAsia="zh-CN"/>
              </w:rPr>
              <w:t>项目名称</w:t>
            </w:r>
          </w:p>
        </w:tc>
        <w:tc>
          <w:tcPr>
            <w:tcW w:w="1755" w:type="dxa"/>
            <w:noWrap w:val="0"/>
            <w:vAlign w:val="top"/>
          </w:tcPr>
          <w:p>
            <w:pPr>
              <w:ind w:firstLine="280" w:firstLineChars="100"/>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资金总额</w:t>
            </w:r>
          </w:p>
        </w:tc>
        <w:tc>
          <w:tcPr>
            <w:tcW w:w="2685" w:type="dxa"/>
            <w:noWrap w:val="0"/>
            <w:vAlign w:val="top"/>
          </w:tcPr>
          <w:p>
            <w:pPr>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年度实施进度计划</w:t>
            </w:r>
          </w:p>
        </w:tc>
        <w:tc>
          <w:tcPr>
            <w:tcW w:w="2520" w:type="dxa"/>
            <w:noWrap w:val="0"/>
            <w:vAlign w:val="top"/>
          </w:tcPr>
          <w:p>
            <w:pPr>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资金是否按时到位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05" w:type="dxa"/>
            <w:noWrap w:val="0"/>
            <w:vAlign w:val="center"/>
          </w:tcPr>
          <w:p>
            <w:pPr>
              <w:jc w:val="center"/>
              <w:rPr>
                <w:rFonts w:hint="default" w:ascii="仿宋_GB2312" w:eastAsia="仿宋"/>
                <w:sz w:val="24"/>
                <w:szCs w:val="24"/>
                <w:vertAlign w:val="baseline"/>
                <w:lang w:val="en-US" w:eastAsia="zh-CN"/>
              </w:rPr>
            </w:pPr>
            <w:r>
              <w:rPr>
                <w:rFonts w:hint="eastAsia" w:ascii="仿宋_GB2312" w:eastAsia="仿宋"/>
                <w:sz w:val="24"/>
                <w:szCs w:val="24"/>
                <w:vertAlign w:val="baseline"/>
                <w:lang w:val="en-US" w:eastAsia="zh-CN"/>
              </w:rPr>
              <w:t>残疾人两项补贴</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宋体" w:hAnsi="宋体" w:eastAsia="宋体" w:cs="宋体"/>
                <w:color w:val="auto"/>
                <w:sz w:val="22"/>
                <w:szCs w:val="22"/>
                <w:shd w:val="clear"/>
                <w:lang w:val="en-US" w:eastAsia="zh-CN"/>
              </w:rPr>
              <w:t>823.84</w:t>
            </w:r>
          </w:p>
        </w:tc>
        <w:tc>
          <w:tcPr>
            <w:tcW w:w="268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
                <w:sz w:val="24"/>
                <w:szCs w:val="24"/>
                <w:vertAlign w:val="baseline"/>
                <w:lang w:val="en-US" w:eastAsia="zh-CN"/>
              </w:rPr>
              <w:t>城乡居民最低生活保障</w:t>
            </w:r>
          </w:p>
        </w:tc>
        <w:tc>
          <w:tcPr>
            <w:tcW w:w="1755" w:type="dxa"/>
            <w:noWrap w:val="0"/>
            <w:vAlign w:val="center"/>
          </w:tcPr>
          <w:p>
            <w:pPr>
              <w:jc w:val="center"/>
              <w:rPr>
                <w:rFonts w:hint="default" w:ascii="仿宋_GB2312" w:hAnsi="仿宋" w:eastAsia="仿宋_GB2312" w:cs="Times New Roman"/>
                <w:sz w:val="24"/>
                <w:szCs w:val="24"/>
                <w:vertAlign w:val="baseline"/>
                <w:lang w:val="en-US" w:eastAsia="zh-CN" w:bidi="ar-SA"/>
              </w:rPr>
            </w:pPr>
            <w:r>
              <w:rPr>
                <w:rFonts w:hint="eastAsia" w:ascii="仿宋_GB2312" w:hAnsi="仿宋" w:eastAsia="仿宋_GB2312" w:cs="Times New Roman"/>
                <w:sz w:val="24"/>
                <w:szCs w:val="24"/>
                <w:vertAlign w:val="baseline"/>
                <w:lang w:val="en-US" w:eastAsia="zh-CN" w:bidi="ar-SA"/>
              </w:rPr>
              <w:t>3978.88</w:t>
            </w:r>
          </w:p>
        </w:tc>
        <w:tc>
          <w:tcPr>
            <w:tcW w:w="2685"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
                <w:sz w:val="24"/>
                <w:szCs w:val="24"/>
                <w:vertAlign w:val="baseline"/>
                <w:lang w:val="en-US" w:eastAsia="zh-CN"/>
              </w:rPr>
              <w:t>城乡特困人员救助供养支出</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1312.41</w:t>
            </w:r>
          </w:p>
        </w:tc>
        <w:tc>
          <w:tcPr>
            <w:tcW w:w="268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default" w:ascii="仿宋" w:hAnsi="仿宋" w:eastAsia="仿宋" w:cs="仿宋_GB2312"/>
                <w:sz w:val="24"/>
                <w:szCs w:val="24"/>
                <w:lang w:val="en-US" w:eastAsia="zh-CN" w:bidi="ar-SA"/>
              </w:rPr>
            </w:pPr>
            <w:r>
              <w:rPr>
                <w:rFonts w:hint="eastAsia" w:ascii="仿宋_GB2312" w:eastAsia="仿宋"/>
                <w:sz w:val="24"/>
                <w:szCs w:val="24"/>
                <w:vertAlign w:val="baseline"/>
                <w:lang w:val="en-US" w:eastAsia="zh-CN"/>
              </w:rPr>
              <w:t>高龄老人补助资金</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704.1</w:t>
            </w:r>
          </w:p>
        </w:tc>
        <w:tc>
          <w:tcPr>
            <w:tcW w:w="268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
                <w:sz w:val="24"/>
                <w:szCs w:val="24"/>
                <w:vertAlign w:val="baseline"/>
                <w:lang w:val="en-US" w:eastAsia="zh-CN"/>
              </w:rPr>
              <w:t>敬老院运行保障经费</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306.75</w:t>
            </w:r>
          </w:p>
        </w:tc>
        <w:tc>
          <w:tcPr>
            <w:tcW w:w="268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 w:hAnsi="仿宋" w:eastAsia="仿宋" w:cs="仿宋_GB2312"/>
                <w:sz w:val="24"/>
                <w:szCs w:val="24"/>
                <w:lang w:val="en-US" w:eastAsia="zh-CN" w:bidi="ar-SA"/>
              </w:rPr>
            </w:pPr>
            <w:r>
              <w:rPr>
                <w:rFonts w:hint="eastAsia" w:ascii="仿宋_GB2312" w:eastAsia="仿宋"/>
                <w:sz w:val="24"/>
                <w:szCs w:val="24"/>
                <w:vertAlign w:val="baseline"/>
                <w:lang w:val="en-US" w:eastAsia="zh-CN"/>
              </w:rPr>
              <w:t>事实无人抚养儿童基本生活补贴</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230.63</w:t>
            </w:r>
          </w:p>
        </w:tc>
        <w:tc>
          <w:tcPr>
            <w:tcW w:w="268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205" w:type="dxa"/>
            <w:noWrap w:val="0"/>
            <w:vAlign w:val="center"/>
          </w:tcPr>
          <w:p>
            <w:pPr>
              <w:jc w:val="center"/>
              <w:rPr>
                <w:rFonts w:hint="default" w:ascii="仿宋_GB2312" w:eastAsia="仿宋_GB2312"/>
                <w:sz w:val="32"/>
                <w:szCs w:val="32"/>
                <w:vertAlign w:val="baseline"/>
                <w:lang w:val="en-US" w:eastAsia="zh-CN"/>
              </w:rPr>
            </w:pPr>
            <w:r>
              <w:rPr>
                <w:rFonts w:hint="eastAsia" w:ascii="仿宋_GB2312" w:eastAsia="仿宋"/>
                <w:sz w:val="24"/>
                <w:szCs w:val="24"/>
                <w:vertAlign w:val="baseline"/>
                <w:lang w:val="en-US" w:eastAsia="zh-CN"/>
              </w:rPr>
              <w:t>流浪乞讨</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116</w:t>
            </w:r>
          </w:p>
        </w:tc>
        <w:tc>
          <w:tcPr>
            <w:tcW w:w="268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i w:val="0"/>
          <w:iCs w:val="0"/>
          <w:caps w:val="0"/>
          <w:color w:val="auto"/>
          <w:spacing w:val="0"/>
          <w:sz w:val="32"/>
          <w:szCs w:val="3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（二）项目资金实际使用情况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以上表格中项目资金使用率为100%，并按时完成绩效目标。</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项目资金管理情况</w:t>
      </w:r>
    </w:p>
    <w:p>
      <w:pPr>
        <w:pStyle w:val="9"/>
        <w:widowControl/>
        <w:shd w:val="clear" w:color="auto" w:fill="FFFFFF"/>
        <w:spacing w:before="0" w:beforeAutospacing="0" w:after="0" w:afterAutospacing="0" w:line="525" w:lineRule="atLeast"/>
        <w:ind w:firstLine="600"/>
        <w:rPr>
          <w:rFonts w:hint="eastAsia" w:ascii="仿宋_GB2312" w:eastAsia="仿宋_GB2312"/>
          <w:sz w:val="32"/>
          <w:szCs w:val="32"/>
          <w:lang w:val="en-US" w:eastAsia="zh-CN"/>
        </w:rPr>
      </w:pPr>
      <w:r>
        <w:rPr>
          <w:rFonts w:hint="eastAsia" w:ascii="仿宋_GB2312" w:eastAsia="仿宋_GB2312"/>
          <w:sz w:val="32"/>
          <w:szCs w:val="32"/>
          <w:lang w:val="en-US" w:eastAsia="zh-CN"/>
        </w:rPr>
        <w:t>本单位对民政专项资金实行专项资金管理办法，做到专款专用；能够严格执行财政资金使用管理的相关法律法规规章制度；加强对于专项资金的监督和监管，成立以分管纪检的局领导为组长、分管财务的局领导为副组长，办公室、财务室人员为成员的监管小组，每半年对专项资金进行一次检查，对检查出的问题及时予以纠正，重大问题报局党组，情节严重的严格按各项目的管理规定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三、项目支出组织实施情况</w:t>
      </w:r>
    </w:p>
    <w:p>
      <w:pPr>
        <w:pStyle w:val="9"/>
        <w:widowControl/>
        <w:shd w:val="clear" w:color="auto" w:fill="FFFFFF"/>
        <w:spacing w:before="0" w:beforeAutospacing="0" w:after="0" w:afterAutospacing="0" w:line="525" w:lineRule="atLeast"/>
        <w:ind w:firstLine="6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严格执行财务会审程序，局会审领导小组由局党组全体成员、办公室主任和计财股长组成，对局所有开支发票实行会审，会审后必须有专门记录本将会审情况予以记录。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四、项目支出绩效情况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一</w:t>
      </w:r>
      <w:r>
        <w:rPr>
          <w:rFonts w:hint="eastAsia" w:ascii="仿宋" w:hAnsi="仿宋" w:eastAsia="仿宋" w:cs="仿宋"/>
          <w:i w:val="0"/>
          <w:iCs w:val="0"/>
          <w:caps w:val="0"/>
          <w:color w:val="auto"/>
          <w:spacing w:val="0"/>
          <w:sz w:val="32"/>
          <w:szCs w:val="32"/>
          <w:shd w:val="clear"/>
        </w:rPr>
        <w:t>）项目支出过程情况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资金每月数据由乡镇民政员上报给各业务股室，各业务股室汇总，并写资金申请报告，每月报告按时上交规划计财股统一去财政审批，审批完成后通过惠民惠农补贴“一卡通”系统发放到困难群众账户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二</w:t>
      </w:r>
      <w:r>
        <w:rPr>
          <w:rFonts w:hint="eastAsia" w:ascii="仿宋" w:hAnsi="仿宋" w:eastAsia="仿宋" w:cs="仿宋"/>
          <w:i w:val="0"/>
          <w:iCs w:val="0"/>
          <w:caps w:val="0"/>
          <w:color w:val="auto"/>
          <w:spacing w:val="0"/>
          <w:sz w:val="32"/>
          <w:szCs w:val="32"/>
          <w:shd w:val="clear"/>
        </w:rPr>
        <w:t>）项目支出产出情况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资金惠及全县的困难群众，其中残疾人两项补贴惠及4800人以上每月，城乡低保惠及9000多人，城乡特困供养救助惠及2000多人，事实无人抚养儿童惠及300人以上，保障覆盖率达100%，资金拨付及时率达100%，每月按时足额拨付到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三</w:t>
      </w:r>
      <w:r>
        <w:rPr>
          <w:rFonts w:hint="eastAsia" w:ascii="仿宋" w:hAnsi="仿宋" w:eastAsia="仿宋" w:cs="仿宋"/>
          <w:i w:val="0"/>
          <w:iCs w:val="0"/>
          <w:caps w:val="0"/>
          <w:color w:val="auto"/>
          <w:spacing w:val="0"/>
          <w:sz w:val="32"/>
          <w:szCs w:val="32"/>
          <w:shd w:val="clear"/>
        </w:rPr>
        <w:t>）项目支出效益情况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民政专项项目显著提高了困难群众的生活水平，起到了民生兜底保障作用，对符合政策的群体，长期发放救助资金，民政服务对象满意度达到90%以上。</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仿宋" w:hAnsi="仿宋" w:eastAsia="仿宋" w:cs="仿宋"/>
          <w:b/>
          <w:bCs/>
          <w:i w:val="0"/>
          <w:iCs w:val="0"/>
          <w:caps w:val="0"/>
          <w:color w:val="auto"/>
          <w:spacing w:val="0"/>
          <w:sz w:val="32"/>
          <w:szCs w:val="32"/>
          <w:shd w:val="clear"/>
        </w:rPr>
      </w:pPr>
      <w:r>
        <w:rPr>
          <w:rFonts w:hint="eastAsia" w:ascii="仿宋" w:hAnsi="仿宋" w:eastAsia="仿宋" w:cs="仿宋"/>
          <w:b/>
          <w:bCs/>
          <w:i w:val="0"/>
          <w:iCs w:val="0"/>
          <w:caps w:val="0"/>
          <w:color w:val="auto"/>
          <w:spacing w:val="0"/>
          <w:sz w:val="32"/>
          <w:szCs w:val="32"/>
          <w:shd w:val="clear"/>
        </w:rPr>
        <w:t>主要经验做法、存在的问题及原因分析</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ascii="仿宋" w:hAnsi="仿宋" w:eastAsia="仿宋" w:cs="仿宋_GB2312"/>
          <w:sz w:val="30"/>
          <w:szCs w:val="30"/>
        </w:rPr>
      </w:pP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1</w:t>
      </w:r>
      <w:r>
        <w:rPr>
          <w:rFonts w:hint="eastAsia" w:ascii="仿宋" w:hAnsi="仿宋" w:eastAsia="仿宋" w:cs="仿宋_GB2312"/>
          <w:sz w:val="30"/>
          <w:szCs w:val="30"/>
          <w:lang w:eastAsia="zh-CN"/>
        </w:rPr>
        <w:t>）</w:t>
      </w:r>
      <w:r>
        <w:rPr>
          <w:rFonts w:hint="eastAsia" w:ascii="仿宋" w:hAnsi="仿宋" w:eastAsia="仿宋" w:cs="仿宋_GB2312"/>
          <w:sz w:val="30"/>
          <w:szCs w:val="30"/>
        </w:rPr>
        <w:t>部分补助资金监管力度有待进一步提高</w:t>
      </w:r>
    </w:p>
    <w:p>
      <w:pPr>
        <w:spacing w:line="560" w:lineRule="exact"/>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对拨付到乡镇的资金监督力度还不够，资金发放不够及时或欠规范的情况仍然存在。</w:t>
      </w:r>
      <w:bookmarkStart w:id="0" w:name="_Toc389222914"/>
      <w:bookmarkEnd w:id="0"/>
      <w:bookmarkStart w:id="1" w:name="_Toc389232173"/>
      <w:bookmarkEnd w:id="1"/>
      <w:bookmarkStart w:id="2" w:name="_Toc389221845"/>
      <w:bookmarkEnd w:id="2"/>
      <w:bookmarkStart w:id="3" w:name="_Toc389220639"/>
      <w:bookmarkEnd w:id="3"/>
      <w:bookmarkStart w:id="4" w:name="_Toc389232147"/>
      <w:bookmarkEnd w:id="4"/>
    </w:p>
    <w:p>
      <w:pPr>
        <w:spacing w:line="56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2</w:t>
      </w:r>
      <w:r>
        <w:rPr>
          <w:rFonts w:hint="eastAsia" w:ascii="仿宋" w:hAnsi="仿宋" w:eastAsia="仿宋" w:cs="仿宋_GB2312"/>
          <w:sz w:val="30"/>
          <w:szCs w:val="30"/>
          <w:lang w:eastAsia="zh-CN"/>
        </w:rPr>
        <w:t>）</w:t>
      </w:r>
      <w:r>
        <w:rPr>
          <w:rFonts w:hint="eastAsia" w:ascii="仿宋" w:hAnsi="仿宋" w:eastAsia="仿宋" w:cs="仿宋_GB2312"/>
          <w:sz w:val="30"/>
          <w:szCs w:val="30"/>
        </w:rPr>
        <w:t>资金拨付不及时，部分资金仍未使用收到省级资金文件后，未及时与县财政部门协调将资金拨付位，造成部分资金尚未使用，且不同程度影响了工作进度。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w:t>
      </w:r>
      <w:r>
        <w:rPr>
          <w:rFonts w:hint="eastAsia" w:ascii="仿宋" w:hAnsi="仿宋" w:eastAsia="仿宋" w:cs="仿宋"/>
          <w:i w:val="0"/>
          <w:iCs w:val="0"/>
          <w:caps w:val="0"/>
          <w:color w:val="auto"/>
          <w:spacing w:val="0"/>
          <w:sz w:val="32"/>
          <w:szCs w:val="32"/>
          <w:shd w:val="clear"/>
        </w:rPr>
        <w:t>有关建议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w:t>
      </w:r>
      <w:r>
        <w:rPr>
          <w:rFonts w:hint="eastAsia" w:ascii="仿宋" w:hAnsi="仿宋" w:eastAsia="仿宋" w:cs="仿宋"/>
          <w:i w:val="0"/>
          <w:iCs w:val="0"/>
          <w:caps w:val="0"/>
          <w:color w:val="auto"/>
          <w:spacing w:val="0"/>
          <w:sz w:val="32"/>
          <w:szCs w:val="32"/>
          <w:shd w:val="clear"/>
        </w:rPr>
        <w:t>其他需要说明的问题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仿宋_GB2312" w:hAnsi="仿宋_GB2312" w:eastAsia="仿宋_GB2312" w:cs="仿宋_GB2312"/>
          <w:i w:val="0"/>
          <w:iCs w:val="0"/>
          <w:caps w:val="0"/>
          <w:color w:val="auto"/>
          <w:spacing w:val="0"/>
          <w:sz w:val="32"/>
          <w:szCs w:val="32"/>
          <w:shd w:val="clear"/>
          <w:lang w:eastAsia="zh-CN"/>
        </w:rPr>
        <w:t>附件</w:t>
      </w:r>
      <w:r>
        <w:rPr>
          <w:rFonts w:hint="eastAsia" w:ascii="仿宋_GB2312" w:hAnsi="仿宋_GB2312" w:eastAsia="仿宋_GB2312" w:cs="仿宋_GB2312"/>
          <w:i w:val="0"/>
          <w:iCs w:val="0"/>
          <w:caps w:val="0"/>
          <w:color w:val="auto"/>
          <w:spacing w:val="0"/>
          <w:sz w:val="32"/>
          <w:szCs w:val="32"/>
          <w:shd w:val="clear"/>
          <w:lang w:val="en-US" w:eastAsia="zh-CN"/>
        </w:rPr>
        <w:t xml:space="preserve">2-1      </w:t>
      </w: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3300" w:firstLineChars="1500"/>
        <w:jc w:val="both"/>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残疾人“两项补贴”</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823.84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823.84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900</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823.84</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91.5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83.84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实施困难残</w:t>
            </w:r>
            <w:r>
              <w:rPr>
                <w:rFonts w:hint="eastAsia" w:ascii="宋体" w:hAnsi="宋体" w:eastAsia="宋体" w:cs="宋体"/>
                <w:color w:val="auto"/>
                <w:sz w:val="22"/>
                <w:szCs w:val="22"/>
                <w:shd w:val="clear"/>
                <w:lang w:eastAsia="zh-CN"/>
              </w:rPr>
              <w:t>疾人</w:t>
            </w:r>
            <w:r>
              <w:rPr>
                <w:rFonts w:hint="eastAsia" w:ascii="宋体" w:hAnsi="宋体" w:eastAsia="宋体" w:cs="宋体"/>
                <w:color w:val="auto"/>
                <w:sz w:val="22"/>
                <w:szCs w:val="22"/>
                <w:shd w:val="clear"/>
              </w:rPr>
              <w:t>生活补贴，惠及残</w:t>
            </w:r>
            <w:r>
              <w:rPr>
                <w:rFonts w:hint="eastAsia" w:ascii="宋体" w:hAnsi="宋体" w:eastAsia="宋体" w:cs="宋体"/>
                <w:color w:val="auto"/>
                <w:sz w:val="22"/>
                <w:szCs w:val="22"/>
                <w:shd w:val="clear"/>
                <w:lang w:eastAsia="zh-CN"/>
              </w:rPr>
              <w:t>疾人</w:t>
            </w:r>
            <w:r>
              <w:rPr>
                <w:rFonts w:hint="eastAsia" w:ascii="宋体" w:hAnsi="宋体" w:eastAsia="宋体" w:cs="宋体"/>
                <w:color w:val="auto"/>
                <w:sz w:val="22"/>
                <w:szCs w:val="22"/>
                <w:shd w:val="clear"/>
              </w:rPr>
              <w:t>4800人以上；实施重度残疾人护理补贴，惠及残疾人5800人以上。残疾人两项补贴目标人群覆盖率达到100%。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实施困难残</w:t>
            </w:r>
            <w:r>
              <w:rPr>
                <w:rFonts w:hint="eastAsia" w:ascii="宋体" w:hAnsi="宋体" w:eastAsia="宋体" w:cs="宋体"/>
                <w:color w:val="auto"/>
                <w:sz w:val="22"/>
                <w:szCs w:val="22"/>
                <w:shd w:val="clear"/>
                <w:lang w:eastAsia="zh-CN"/>
              </w:rPr>
              <w:t>疾人</w:t>
            </w:r>
            <w:r>
              <w:rPr>
                <w:rFonts w:hint="eastAsia" w:ascii="宋体" w:hAnsi="宋体" w:eastAsia="宋体" w:cs="宋体"/>
                <w:color w:val="auto"/>
                <w:sz w:val="22"/>
                <w:szCs w:val="22"/>
                <w:shd w:val="clear"/>
              </w:rPr>
              <w:t>生活补贴，惠及残</w:t>
            </w:r>
            <w:r>
              <w:rPr>
                <w:rFonts w:hint="eastAsia" w:ascii="宋体" w:hAnsi="宋体" w:eastAsia="宋体" w:cs="宋体"/>
                <w:color w:val="auto"/>
                <w:sz w:val="22"/>
                <w:szCs w:val="22"/>
                <w:shd w:val="clear"/>
                <w:lang w:eastAsia="zh-CN"/>
              </w:rPr>
              <w:t>疾人</w:t>
            </w:r>
            <w:r>
              <w:rPr>
                <w:rFonts w:hint="eastAsia" w:ascii="宋体" w:hAnsi="宋体" w:eastAsia="宋体" w:cs="宋体"/>
                <w:color w:val="auto"/>
                <w:sz w:val="22"/>
                <w:szCs w:val="22"/>
                <w:shd w:val="clear"/>
                <w:lang w:val="en-US" w:eastAsia="zh-CN"/>
              </w:rPr>
              <w:t>4804</w:t>
            </w:r>
            <w:r>
              <w:rPr>
                <w:rFonts w:hint="eastAsia" w:ascii="宋体" w:hAnsi="宋体" w:eastAsia="宋体" w:cs="宋体"/>
                <w:color w:val="auto"/>
                <w:sz w:val="22"/>
                <w:szCs w:val="22"/>
                <w:shd w:val="clear"/>
              </w:rPr>
              <w:t>人以上；实施重度残疾人护理补贴，惠及残疾人58</w:t>
            </w:r>
            <w:r>
              <w:rPr>
                <w:rFonts w:hint="eastAsia" w:ascii="宋体" w:hAnsi="宋体" w:eastAsia="宋体" w:cs="宋体"/>
                <w:color w:val="auto"/>
                <w:sz w:val="22"/>
                <w:szCs w:val="22"/>
                <w:shd w:val="clear"/>
                <w:lang w:val="en-US" w:eastAsia="zh-CN"/>
              </w:rPr>
              <w:t>43</w:t>
            </w:r>
            <w:r>
              <w:rPr>
                <w:rFonts w:hint="eastAsia" w:ascii="宋体" w:hAnsi="宋体" w:eastAsia="宋体" w:cs="宋体"/>
                <w:color w:val="auto"/>
                <w:sz w:val="22"/>
                <w:szCs w:val="22"/>
                <w:shd w:val="clear"/>
              </w:rPr>
              <w:t>人以上。残疾人两项补贴目标人群覆盖率达到100%。</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困难残疾人生活补贴人数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≥4800人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4804人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补助发放准确率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困难残疾人生活补贴</w:t>
            </w:r>
            <w:r>
              <w:rPr>
                <w:rFonts w:hint="eastAsia" w:ascii="宋体" w:hAnsi="宋体" w:eastAsia="宋体" w:cs="宋体"/>
                <w:color w:val="auto"/>
                <w:sz w:val="22"/>
                <w:szCs w:val="22"/>
                <w:shd w:val="clear"/>
                <w:lang w:val="en-US" w:eastAsia="zh-CN"/>
              </w:rPr>
              <w:t>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75元/人.月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75元/人.月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残疾人两项补贴，是专门面向残疾人而建立的社会福利制度，有助于解决残疾人家庭的生产力，加快推进残疾人全面小康进程。</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提高困难残疾人生活水平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城市居民最低生活保障</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1082</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84.4%</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保障全县城市人口最低生活水平</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对全县符合条件的对象做到保尽保</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保障补助城市低保人数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1500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1619人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社会救助对象标准率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97%</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全年拨付城市最低生活保障金</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color w:val="auto"/>
                <w:sz w:val="22"/>
                <w:szCs w:val="22"/>
                <w:shd w:val="clear"/>
                <w:lang w:val="en-US" w:eastAsia="zh-CN"/>
              </w:rPr>
              <w:t>913.42万元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救助资金是专门面向困难群众而建立的社会福利制度，有助于解决困难家庭的生产、生活。加快推进全县全面小康进程。</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提高困难群众生活水平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城市特困供养人员生活补助</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126.56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126.56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144</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126.56</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87.8%</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126.56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对符合享受特困供养条件的特困对象按月发放特困补贴到位，覆盖率达到100%。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对符合享受特困供养条件的城市特困对象</w:t>
            </w:r>
            <w:r>
              <w:rPr>
                <w:rFonts w:hint="eastAsia" w:ascii="宋体" w:hAnsi="宋体" w:eastAsia="宋体" w:cs="宋体"/>
                <w:i w:val="0"/>
                <w:iCs w:val="0"/>
                <w:caps w:val="0"/>
                <w:color w:val="auto"/>
                <w:spacing w:val="0"/>
                <w:sz w:val="22"/>
                <w:szCs w:val="22"/>
                <w:shd w:val="clear"/>
                <w:lang w:val="en-US" w:eastAsia="zh-CN"/>
              </w:rPr>
              <w:t>151</w:t>
            </w:r>
            <w:r>
              <w:rPr>
                <w:rFonts w:hint="default" w:ascii="宋体" w:hAnsi="宋体" w:eastAsia="宋体" w:cs="宋体"/>
                <w:i w:val="0"/>
                <w:iCs w:val="0"/>
                <w:caps w:val="0"/>
                <w:color w:val="auto"/>
                <w:spacing w:val="0"/>
                <w:sz w:val="22"/>
                <w:szCs w:val="22"/>
                <w:shd w:val="clear"/>
                <w:lang w:val="en-US" w:eastAsia="zh-CN"/>
              </w:rPr>
              <w:t>人按月发放特困补贴到位，覆盖率达到100%。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保障补助城市特困人数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150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151人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城市特困补贴覆盖率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城市特困补贴标准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755元/月·人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755元/月·人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保障城市特困对象的基本生活</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城市特困供养补贴是向无劳动能力、无生活来源、无赡养、抚养、扶养或法定义务人无法履行法定义务的对象发放补贴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高龄老人补助资金</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704.1</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704.1</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740</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704.1</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704.1</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让每位高龄老人享受到老年福利待遇，同时也帮助有困难的老人保障生活质量，让每位老年人获得感、幸福感、安全感不断提升。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所有符合条件的老人享受惠民政策，实行动态管理，提升群众满意度。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高龄老人补贴人数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≥5800人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6125人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高龄老人补助覆盖率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98%</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80-89周岁高龄老人补助资金标准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80元/月·人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80元/月·人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对提高老年人生活质量及幸福指数作用</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体现对高龄老人的关爱</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敬老院运行保障经费</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344</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89.2%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both"/>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保障全县19所敬老院正常运转</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全县敬老院正常运转，工作人员工资、社保、工作经费等全部到位发放。</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保障敬老院数量</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19所</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19所</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敬老院工作人员工资发放及时率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全年敬老院运行保障经费</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306.75万元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both"/>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增加就业岗位，提高工作人员收入</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保障敬老院正常运转</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lang w:val="en-US" w:eastAsia="zh-CN"/>
              </w:rPr>
              <w:t>孤寡老人老有所依，老有所养</w:t>
            </w:r>
            <w:r>
              <w:rPr>
                <w:rFonts w:hint="eastAsia" w:ascii="宋体" w:hAnsi="宋体" w:eastAsia="宋体" w:cs="宋体"/>
                <w:color w:val="auto"/>
                <w:sz w:val="22"/>
                <w:szCs w:val="22"/>
                <w:shd w:val="clear"/>
              </w:rPr>
              <w:t>，提高特困人员生活质量</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96%</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事实无人抚养儿童基本生活补贴</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both"/>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185</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124.6%</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预计实施惠及全县享受事实无人抚养儿童</w:t>
            </w:r>
            <w:r>
              <w:rPr>
                <w:rFonts w:hint="eastAsia" w:ascii="宋体" w:hAnsi="宋体" w:eastAsia="宋体" w:cs="宋体"/>
                <w:color w:val="auto"/>
                <w:sz w:val="22"/>
                <w:szCs w:val="22"/>
                <w:shd w:val="clear"/>
                <w:lang w:val="en-US" w:eastAsia="zh-CN"/>
              </w:rPr>
              <w:t>3</w:t>
            </w:r>
            <w:r>
              <w:rPr>
                <w:rFonts w:hint="eastAsia" w:ascii="宋体" w:hAnsi="宋体" w:eastAsia="宋体" w:cs="宋体"/>
                <w:color w:val="auto"/>
                <w:sz w:val="22"/>
                <w:szCs w:val="22"/>
                <w:shd w:val="clear"/>
              </w:rPr>
              <w:t>00人，覆盖率达到100%。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保障全县321名事实无人抚养儿童生活补贴正常发放到位。</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保障补助事实无人抚养儿童基本生活补贴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3</w:t>
            </w:r>
            <w:r>
              <w:rPr>
                <w:rFonts w:hint="default" w:ascii="宋体" w:hAnsi="宋体" w:eastAsia="宋体" w:cs="宋体"/>
                <w:color w:val="auto"/>
                <w:sz w:val="22"/>
                <w:szCs w:val="22"/>
                <w:shd w:val="clear"/>
                <w:lang w:val="en-US" w:eastAsia="zh-CN"/>
              </w:rPr>
              <w:t>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321人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事实无人抚养儿童补助覆盖率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事实无人抚养儿童基本生活补贴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color w:val="auto"/>
                <w:sz w:val="22"/>
                <w:szCs w:val="22"/>
                <w:shd w:val="clear"/>
                <w:lang w:val="en-US" w:eastAsia="zh-CN"/>
              </w:rPr>
              <w:t>230.63万元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提高事实无人抚养儿童生活水平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对事实无人抚养儿童起到关键性作用，解决了事实无人抚养儿童的基本生活保障，有助于维护社会的和谐和稳定。</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流浪乞讨人员救助配套资金</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此项目是长期的工作，重点民生工程，要求对流浪乞讨人员救助救治和未成年人保护工作及时到位。</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建立健全长效未成年人保护机制和完成上级对我县救助管理机构标准化建设年度考核需要。</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留守儿童关爱活动次数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4次</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4次</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巡逻范围覆盖率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96%</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全年流浪乞讨救助成本</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116万元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关爱，帮助成年人健康成长、流浪乞讨人员返乡</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w:t>
            </w:r>
            <w:bookmarkStart w:id="5" w:name="_GoBack"/>
            <w:bookmarkEnd w:id="5"/>
            <w:r>
              <w:rPr>
                <w:rFonts w:hint="eastAsia" w:ascii="宋体" w:hAnsi="宋体" w:eastAsia="宋体" w:cs="宋体"/>
                <w:i w:val="0"/>
                <w:iCs w:val="0"/>
                <w:caps w:val="0"/>
                <w:color w:val="auto"/>
                <w:spacing w:val="0"/>
                <w:sz w:val="22"/>
                <w:szCs w:val="22"/>
                <w:shd w:val="clear"/>
                <w:lang w:val="en-US" w:eastAsia="zh-CN"/>
              </w:rPr>
              <w:t>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完善社会救助体系，维护社会和谐稳定</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农村特困供养人员生活补助</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1185.84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1185.84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1163</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1185.84</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1185.84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对符合享受特困供养条件的特困对象按月发放特困补贴到位，覆盖率达到100%。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对符合享受特困供养条件的农村特困对象1762人按月发放特困补贴到位，覆盖率达到100%。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保障补助农村特困对象人数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≥17</w:t>
            </w:r>
            <w:r>
              <w:rPr>
                <w:rFonts w:hint="eastAsia" w:ascii="宋体" w:hAnsi="宋体" w:eastAsia="宋体" w:cs="宋体"/>
                <w:color w:val="auto"/>
                <w:sz w:val="22"/>
                <w:szCs w:val="22"/>
                <w:shd w:val="clear"/>
                <w:lang w:val="en-US" w:eastAsia="zh-CN"/>
              </w:rPr>
              <w:t>00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1762人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农村特困补贴覆盖率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农村特困补贴标准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550元/月·人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550元/月·人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提高了农村特困对象的生活标准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农村特困供养补贴是向无劳动能力、无生活来源、无赡养、抚养、扶养或法定义务人无法履行法定义务的对象发放补贴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i w:val="0"/>
                <w:iCs w:val="0"/>
                <w:caps w:val="0"/>
                <w:color w:val="auto"/>
                <w:spacing w:val="0"/>
                <w:sz w:val="22"/>
                <w:szCs w:val="22"/>
                <w:shd w:val="clear"/>
              </w:rPr>
              <w:t>偏差原因及分析</w:t>
            </w:r>
            <w:r>
              <w:rPr>
                <w:rFonts w:hint="eastAsia" w:ascii="宋体" w:hAnsi="宋体" w:eastAsia="宋体" w:cs="宋体"/>
                <w:i w:val="0"/>
                <w:iCs w:val="0"/>
                <w:caps w:val="0"/>
                <w:color w:val="auto"/>
                <w:spacing w:val="0"/>
                <w:sz w:val="22"/>
                <w:szCs w:val="22"/>
                <w:shd w:val="clear"/>
                <w:lang w:val="en-US" w:eastAsia="zh-CN"/>
              </w:rPr>
              <w:t xml:space="preserve">   </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4"/>
        <w:rPr>
          <w:rFonts w:hint="eastAsia"/>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1AC91"/>
    <w:multiLevelType w:val="singleLevel"/>
    <w:tmpl w:val="94D1AC91"/>
    <w:lvl w:ilvl="0" w:tentative="0">
      <w:start w:val="5"/>
      <w:numFmt w:val="chineseCounting"/>
      <w:suff w:val="nothing"/>
      <w:lvlText w:val="%1、"/>
      <w:lvlJc w:val="left"/>
      <w:rPr>
        <w:rFonts w:hint="eastAsia"/>
      </w:rPr>
    </w:lvl>
  </w:abstractNum>
  <w:abstractNum w:abstractNumId="1">
    <w:nsid w:val="EA967870"/>
    <w:multiLevelType w:val="singleLevel"/>
    <w:tmpl w:val="EA96787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7245723A"/>
    <w:rsid w:val="00401EF0"/>
    <w:rsid w:val="010F7FF3"/>
    <w:rsid w:val="022E25FB"/>
    <w:rsid w:val="0245255E"/>
    <w:rsid w:val="02603088"/>
    <w:rsid w:val="02995FEB"/>
    <w:rsid w:val="033D5264"/>
    <w:rsid w:val="03CF4961"/>
    <w:rsid w:val="042301AC"/>
    <w:rsid w:val="04B63387"/>
    <w:rsid w:val="04B77E0D"/>
    <w:rsid w:val="054B35C3"/>
    <w:rsid w:val="06450328"/>
    <w:rsid w:val="06814708"/>
    <w:rsid w:val="06B76F9F"/>
    <w:rsid w:val="06FC16F3"/>
    <w:rsid w:val="07230D36"/>
    <w:rsid w:val="077E2A1A"/>
    <w:rsid w:val="094B10AF"/>
    <w:rsid w:val="09B41F48"/>
    <w:rsid w:val="0A07483B"/>
    <w:rsid w:val="0A9929F9"/>
    <w:rsid w:val="0AA846E9"/>
    <w:rsid w:val="0BE71260"/>
    <w:rsid w:val="0C6466E1"/>
    <w:rsid w:val="0CEA7974"/>
    <w:rsid w:val="0D682472"/>
    <w:rsid w:val="0E917FFF"/>
    <w:rsid w:val="0F7009EE"/>
    <w:rsid w:val="1073137A"/>
    <w:rsid w:val="107764B9"/>
    <w:rsid w:val="108D4E6A"/>
    <w:rsid w:val="109B4C35"/>
    <w:rsid w:val="115644E4"/>
    <w:rsid w:val="119D2B93"/>
    <w:rsid w:val="12641A3E"/>
    <w:rsid w:val="12721F33"/>
    <w:rsid w:val="12D45EB2"/>
    <w:rsid w:val="133B1436"/>
    <w:rsid w:val="13E32F41"/>
    <w:rsid w:val="13F92C1A"/>
    <w:rsid w:val="14E563CA"/>
    <w:rsid w:val="15585783"/>
    <w:rsid w:val="16134E47"/>
    <w:rsid w:val="170216D4"/>
    <w:rsid w:val="17243292"/>
    <w:rsid w:val="17540224"/>
    <w:rsid w:val="176F30D9"/>
    <w:rsid w:val="17760779"/>
    <w:rsid w:val="17C9075D"/>
    <w:rsid w:val="18C334F1"/>
    <w:rsid w:val="19524A5C"/>
    <w:rsid w:val="19C8082D"/>
    <w:rsid w:val="1A1F2220"/>
    <w:rsid w:val="1A2E5948"/>
    <w:rsid w:val="1A901EF6"/>
    <w:rsid w:val="1A9B3595"/>
    <w:rsid w:val="1B1846C4"/>
    <w:rsid w:val="1BAE48D1"/>
    <w:rsid w:val="1BBB2388"/>
    <w:rsid w:val="1CCB6AF5"/>
    <w:rsid w:val="1D1F6C76"/>
    <w:rsid w:val="1D4F483B"/>
    <w:rsid w:val="1DCD32B3"/>
    <w:rsid w:val="1DE543E1"/>
    <w:rsid w:val="1E8B4DAE"/>
    <w:rsid w:val="1ED36C18"/>
    <w:rsid w:val="1F1E4956"/>
    <w:rsid w:val="1FFE6D36"/>
    <w:rsid w:val="200F1F5F"/>
    <w:rsid w:val="20C504C5"/>
    <w:rsid w:val="21071CDB"/>
    <w:rsid w:val="2138320D"/>
    <w:rsid w:val="22B411C5"/>
    <w:rsid w:val="232D4E1E"/>
    <w:rsid w:val="23682685"/>
    <w:rsid w:val="23E34DBA"/>
    <w:rsid w:val="240735BF"/>
    <w:rsid w:val="252E08C3"/>
    <w:rsid w:val="253D608C"/>
    <w:rsid w:val="25611511"/>
    <w:rsid w:val="2743281C"/>
    <w:rsid w:val="276123FF"/>
    <w:rsid w:val="277770CC"/>
    <w:rsid w:val="28262B81"/>
    <w:rsid w:val="2865176D"/>
    <w:rsid w:val="28CE0900"/>
    <w:rsid w:val="28DF4243"/>
    <w:rsid w:val="28E84091"/>
    <w:rsid w:val="290D7B43"/>
    <w:rsid w:val="29EB132B"/>
    <w:rsid w:val="2A2E1A1A"/>
    <w:rsid w:val="2B1262F8"/>
    <w:rsid w:val="2B4329C8"/>
    <w:rsid w:val="2B842E39"/>
    <w:rsid w:val="2D615AE3"/>
    <w:rsid w:val="2D97699E"/>
    <w:rsid w:val="2DB75CBF"/>
    <w:rsid w:val="2E1F48AC"/>
    <w:rsid w:val="2E39365B"/>
    <w:rsid w:val="2EAC5345"/>
    <w:rsid w:val="2EEB4E55"/>
    <w:rsid w:val="2EFF1B96"/>
    <w:rsid w:val="2F755D20"/>
    <w:rsid w:val="2F8C4A36"/>
    <w:rsid w:val="2FB64054"/>
    <w:rsid w:val="30631F11"/>
    <w:rsid w:val="313C3E13"/>
    <w:rsid w:val="31657EB4"/>
    <w:rsid w:val="31DB36C5"/>
    <w:rsid w:val="32214C3B"/>
    <w:rsid w:val="32790AC8"/>
    <w:rsid w:val="32823EE8"/>
    <w:rsid w:val="32D45F12"/>
    <w:rsid w:val="32F75DAA"/>
    <w:rsid w:val="33B2157D"/>
    <w:rsid w:val="35396712"/>
    <w:rsid w:val="35DC5E14"/>
    <w:rsid w:val="35EB5C31"/>
    <w:rsid w:val="36A21964"/>
    <w:rsid w:val="36C360DB"/>
    <w:rsid w:val="371B63C4"/>
    <w:rsid w:val="387D2D43"/>
    <w:rsid w:val="388879FA"/>
    <w:rsid w:val="394547C2"/>
    <w:rsid w:val="39B9672B"/>
    <w:rsid w:val="39DF059A"/>
    <w:rsid w:val="39FB1584"/>
    <w:rsid w:val="3A8E4115"/>
    <w:rsid w:val="3C4F1ECA"/>
    <w:rsid w:val="3D82381C"/>
    <w:rsid w:val="3DB12EEE"/>
    <w:rsid w:val="3E097DBF"/>
    <w:rsid w:val="3E22661F"/>
    <w:rsid w:val="3E662954"/>
    <w:rsid w:val="3E6E61BD"/>
    <w:rsid w:val="3E793D04"/>
    <w:rsid w:val="3F830D60"/>
    <w:rsid w:val="408323D9"/>
    <w:rsid w:val="40B808FD"/>
    <w:rsid w:val="4113402D"/>
    <w:rsid w:val="411A78E3"/>
    <w:rsid w:val="43492D15"/>
    <w:rsid w:val="435F4A82"/>
    <w:rsid w:val="43A07D1D"/>
    <w:rsid w:val="43AA578B"/>
    <w:rsid w:val="43C456ED"/>
    <w:rsid w:val="43FD3BB7"/>
    <w:rsid w:val="44452732"/>
    <w:rsid w:val="44AE4597"/>
    <w:rsid w:val="46A41391"/>
    <w:rsid w:val="46D47B97"/>
    <w:rsid w:val="472122CE"/>
    <w:rsid w:val="478524B9"/>
    <w:rsid w:val="47A83EDA"/>
    <w:rsid w:val="47DC0918"/>
    <w:rsid w:val="484F02A2"/>
    <w:rsid w:val="4885617A"/>
    <w:rsid w:val="48CA1C78"/>
    <w:rsid w:val="49732475"/>
    <w:rsid w:val="4A491FC0"/>
    <w:rsid w:val="4A5F41F7"/>
    <w:rsid w:val="4B5A0E94"/>
    <w:rsid w:val="4B683B54"/>
    <w:rsid w:val="4C664B91"/>
    <w:rsid w:val="4C6A2056"/>
    <w:rsid w:val="4CB86A61"/>
    <w:rsid w:val="4DB137E5"/>
    <w:rsid w:val="4E42262F"/>
    <w:rsid w:val="4ECB7AE7"/>
    <w:rsid w:val="50212524"/>
    <w:rsid w:val="50BA0E8E"/>
    <w:rsid w:val="50CD46F4"/>
    <w:rsid w:val="51575D99"/>
    <w:rsid w:val="51A24DA2"/>
    <w:rsid w:val="51BF35BA"/>
    <w:rsid w:val="51EB2412"/>
    <w:rsid w:val="528D2449"/>
    <w:rsid w:val="52B57B9F"/>
    <w:rsid w:val="52F208F2"/>
    <w:rsid w:val="54696B77"/>
    <w:rsid w:val="54A161D3"/>
    <w:rsid w:val="54B26E32"/>
    <w:rsid w:val="55E720C8"/>
    <w:rsid w:val="55F65AB0"/>
    <w:rsid w:val="564451BE"/>
    <w:rsid w:val="56D97388"/>
    <w:rsid w:val="56FE52F8"/>
    <w:rsid w:val="57166594"/>
    <w:rsid w:val="577D0DE5"/>
    <w:rsid w:val="57D76DD3"/>
    <w:rsid w:val="59F24396"/>
    <w:rsid w:val="5A015378"/>
    <w:rsid w:val="5A1C1328"/>
    <w:rsid w:val="5ABD68DC"/>
    <w:rsid w:val="5AD12104"/>
    <w:rsid w:val="5BC740C4"/>
    <w:rsid w:val="5C1F15AA"/>
    <w:rsid w:val="5C825851"/>
    <w:rsid w:val="5C831129"/>
    <w:rsid w:val="5CCB517E"/>
    <w:rsid w:val="5D053197"/>
    <w:rsid w:val="5D8F5880"/>
    <w:rsid w:val="5DCB5A6E"/>
    <w:rsid w:val="5EF15EFB"/>
    <w:rsid w:val="5F190156"/>
    <w:rsid w:val="602745A7"/>
    <w:rsid w:val="60395667"/>
    <w:rsid w:val="608F6AEF"/>
    <w:rsid w:val="60933AC5"/>
    <w:rsid w:val="60E05F5A"/>
    <w:rsid w:val="61B66EC2"/>
    <w:rsid w:val="62411ECE"/>
    <w:rsid w:val="62C07B66"/>
    <w:rsid w:val="63626220"/>
    <w:rsid w:val="63B933B2"/>
    <w:rsid w:val="648816F5"/>
    <w:rsid w:val="64BF55B7"/>
    <w:rsid w:val="653E7C49"/>
    <w:rsid w:val="66C54011"/>
    <w:rsid w:val="678F2833"/>
    <w:rsid w:val="67B72F70"/>
    <w:rsid w:val="67CB3251"/>
    <w:rsid w:val="68333D6B"/>
    <w:rsid w:val="684C0A9B"/>
    <w:rsid w:val="68C25EBA"/>
    <w:rsid w:val="6A590391"/>
    <w:rsid w:val="6A6B5F35"/>
    <w:rsid w:val="6ACC4704"/>
    <w:rsid w:val="6C047BD5"/>
    <w:rsid w:val="6CA1134D"/>
    <w:rsid w:val="6CD30313"/>
    <w:rsid w:val="6DA33161"/>
    <w:rsid w:val="6DD52D5D"/>
    <w:rsid w:val="6DF62141"/>
    <w:rsid w:val="6E3F0655"/>
    <w:rsid w:val="6E545DCD"/>
    <w:rsid w:val="701B67C5"/>
    <w:rsid w:val="702200E2"/>
    <w:rsid w:val="70B10182"/>
    <w:rsid w:val="70FF05DF"/>
    <w:rsid w:val="71293B07"/>
    <w:rsid w:val="7245723A"/>
    <w:rsid w:val="73830C7C"/>
    <w:rsid w:val="73837E53"/>
    <w:rsid w:val="73A965B8"/>
    <w:rsid w:val="74952BF7"/>
    <w:rsid w:val="74A04E8B"/>
    <w:rsid w:val="75380D11"/>
    <w:rsid w:val="757C508D"/>
    <w:rsid w:val="7596612A"/>
    <w:rsid w:val="75EF4C20"/>
    <w:rsid w:val="76210533"/>
    <w:rsid w:val="7689305C"/>
    <w:rsid w:val="76AE703A"/>
    <w:rsid w:val="76F8783F"/>
    <w:rsid w:val="77356731"/>
    <w:rsid w:val="78237601"/>
    <w:rsid w:val="78D637D9"/>
    <w:rsid w:val="791A2159"/>
    <w:rsid w:val="79526AAF"/>
    <w:rsid w:val="7A137647"/>
    <w:rsid w:val="7BCF1E6A"/>
    <w:rsid w:val="7C700F9F"/>
    <w:rsid w:val="7E8C2BC8"/>
    <w:rsid w:val="7E974F8F"/>
    <w:rsid w:val="7EB103EB"/>
    <w:rsid w:val="7F9A0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1"/>
    <w:rPr>
      <w:rFonts w:ascii="宋体" w:hAnsi="宋体" w:eastAsia="宋体" w:cs="宋体"/>
      <w:sz w:val="32"/>
      <w:szCs w:val="32"/>
    </w:rPr>
  </w:style>
  <w:style w:type="paragraph" w:customStyle="1" w:styleId="5">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4986</Words>
  <Characters>5164</Characters>
  <Lines>0</Lines>
  <Paragraphs>0</Paragraphs>
  <TotalTime>99</TotalTime>
  <ScaleCrop>false</ScaleCrop>
  <LinksUpToDate>false</LinksUpToDate>
  <CharactersWithSpaces>5427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空城旧梦</cp:lastModifiedBy>
  <cp:lastPrinted>2023-07-26T03:08:00Z</cp:lastPrinted>
  <dcterms:modified xsi:type="dcterms:W3CDTF">2024-01-15T02:59:33Z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4DA7DDAC30B84643BB83984FF7753B29_13</vt:lpwstr>
  </property>
</Properties>
</file>