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240" w:afterLines="100"/>
        <w:jc w:val="center"/>
        <w:rPr>
          <w:rFonts w:eastAsia="楷体_GB2312"/>
          <w:bCs/>
          <w:kern w:val="0"/>
          <w:sz w:val="32"/>
          <w:szCs w:val="32"/>
        </w:rPr>
      </w:pPr>
      <w:r>
        <w:rPr>
          <w:rFonts w:hint="eastAsia" w:eastAsia="方正小标宋_GBK"/>
          <w:bCs/>
          <w:kern w:val="0"/>
          <w:sz w:val="36"/>
          <w:szCs w:val="36"/>
          <w:lang w:val="en-US" w:eastAsia="zh-CN"/>
        </w:rPr>
        <w:t>2020</w:t>
      </w:r>
      <w:r>
        <w:rPr>
          <w:rFonts w:eastAsia="方正小标宋_GBK"/>
          <w:bCs/>
          <w:kern w:val="0"/>
          <w:sz w:val="36"/>
          <w:szCs w:val="36"/>
        </w:rPr>
        <w:t>年部门整体支出绩效目标表</w:t>
      </w:r>
    </w:p>
    <w:p>
      <w:pPr>
        <w:widowControl/>
        <w:tabs>
          <w:tab w:val="left" w:pos="2593"/>
        </w:tabs>
        <w:jc w:val="left"/>
        <w:rPr>
          <w:rFonts w:hint="eastAsia" w:ascii="仿宋_GB2312" w:eastAsia="仿宋_GB2312"/>
          <w:kern w:val="0"/>
          <w:szCs w:val="21"/>
        </w:rPr>
      </w:pPr>
      <w:r>
        <w:rPr>
          <w:rFonts w:hint="eastAsia" w:ascii="仿宋_GB2312" w:eastAsia="仿宋_GB2312"/>
          <w:kern w:val="0"/>
          <w:sz w:val="24"/>
          <w:szCs w:val="21"/>
        </w:rPr>
        <w:t xml:space="preserve"> 填报单位：（盖章）</w:t>
      </w:r>
      <w:r>
        <w:rPr>
          <w:rFonts w:hint="eastAsia" w:ascii="仿宋_GB2312" w:eastAsia="仿宋_GB2312"/>
          <w:kern w:val="0"/>
          <w:szCs w:val="21"/>
        </w:rPr>
        <w:tab/>
      </w:r>
    </w:p>
    <w:tbl>
      <w:tblPr>
        <w:tblStyle w:val="2"/>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362"/>
        <w:gridCol w:w="1656"/>
        <w:gridCol w:w="677"/>
        <w:gridCol w:w="2578"/>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部门名称</w:t>
            </w:r>
          </w:p>
        </w:tc>
        <w:tc>
          <w:tcPr>
            <w:tcW w:w="7896" w:type="dxa"/>
            <w:gridSpan w:val="5"/>
            <w:shd w:val="clear" w:color="auto" w:fill="auto"/>
            <w:noWrap w:val="0"/>
            <w:vAlign w:val="center"/>
          </w:tcPr>
          <w:p>
            <w:pPr>
              <w:widowControl/>
              <w:jc w:val="both"/>
              <w:rPr>
                <w:rFonts w:hint="eastAsia" w:ascii="仿宋_GB2312" w:eastAsia="仿宋_GB2312"/>
                <w:kern w:val="0"/>
                <w:szCs w:val="21"/>
              </w:rPr>
            </w:pPr>
            <w:r>
              <w:rPr>
                <w:rFonts w:hint="eastAsia" w:ascii="仿宋_GB2312" w:eastAsia="仿宋_GB2312"/>
                <w:kern w:val="0"/>
                <w:szCs w:val="21"/>
                <w:lang w:eastAsia="zh-CN"/>
              </w:rPr>
              <w:t>临武县市场监督管理局</w:t>
            </w:r>
            <w:r>
              <w:rPr>
                <w:rFonts w:hint="eastAsia" w:ascii="仿宋_GB2312"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restart"/>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年度预算申请</w:t>
            </w:r>
            <w:r>
              <w:rPr>
                <w:rFonts w:hint="eastAsia" w:ascii="仿宋_GB2312" w:eastAsia="仿宋_GB2312"/>
                <w:kern w:val="0"/>
                <w:szCs w:val="21"/>
              </w:rPr>
              <w:br w:type="textWrapping"/>
            </w:r>
            <w:r>
              <w:rPr>
                <w:rFonts w:hint="eastAsia" w:ascii="仿宋_GB2312" w:eastAsia="仿宋_GB2312"/>
                <w:kern w:val="0"/>
                <w:szCs w:val="21"/>
              </w:rPr>
              <w:t>（万元）</w:t>
            </w:r>
          </w:p>
        </w:tc>
        <w:tc>
          <w:tcPr>
            <w:tcW w:w="7896" w:type="dxa"/>
            <w:gridSpan w:val="5"/>
            <w:shd w:val="clear" w:color="auto" w:fill="auto"/>
            <w:noWrap w:val="0"/>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资金总额：</w:t>
            </w:r>
            <w:r>
              <w:rPr>
                <w:rFonts w:hint="eastAsia" w:ascii="仿宋_GB2312" w:eastAsia="仿宋_GB2312"/>
                <w:kern w:val="0"/>
                <w:szCs w:val="21"/>
                <w:lang w:val="en-US" w:eastAsia="zh-CN"/>
              </w:rPr>
              <w:t>1598.3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shd w:val="clear" w:color="auto" w:fill="auto"/>
            <w:noWrap w:val="0"/>
            <w:vAlign w:val="center"/>
          </w:tcPr>
          <w:p>
            <w:pPr>
              <w:widowControl/>
              <w:jc w:val="left"/>
              <w:rPr>
                <w:rFonts w:hint="eastAsia" w:ascii="仿宋_GB2312" w:eastAsia="仿宋_GB2312"/>
                <w:kern w:val="0"/>
                <w:szCs w:val="21"/>
              </w:rPr>
            </w:pPr>
          </w:p>
        </w:tc>
        <w:tc>
          <w:tcPr>
            <w:tcW w:w="3695" w:type="dxa"/>
            <w:gridSpan w:val="3"/>
            <w:shd w:val="clear" w:color="auto" w:fill="auto"/>
            <w:noWrap w:val="0"/>
            <w:vAlign w:val="center"/>
          </w:tcPr>
          <w:p>
            <w:pPr>
              <w:widowControl/>
              <w:jc w:val="left"/>
              <w:rPr>
                <w:rFonts w:hint="eastAsia" w:ascii="仿宋_GB2312" w:eastAsia="仿宋_GB2312"/>
                <w:kern w:val="0"/>
                <w:szCs w:val="21"/>
              </w:rPr>
            </w:pPr>
            <w:r>
              <w:rPr>
                <w:rFonts w:hint="eastAsia" w:ascii="仿宋_GB2312" w:eastAsia="仿宋_GB2312"/>
                <w:kern w:val="0"/>
                <w:szCs w:val="21"/>
              </w:rPr>
              <w:t>按收入性质分：</w:t>
            </w:r>
          </w:p>
        </w:tc>
        <w:tc>
          <w:tcPr>
            <w:tcW w:w="4201" w:type="dxa"/>
            <w:gridSpan w:val="2"/>
            <w:shd w:val="clear" w:color="auto" w:fill="auto"/>
            <w:noWrap w:val="0"/>
            <w:vAlign w:val="center"/>
          </w:tcPr>
          <w:p>
            <w:pPr>
              <w:widowControl/>
              <w:jc w:val="left"/>
              <w:rPr>
                <w:rFonts w:hint="eastAsia" w:ascii="仿宋_GB2312" w:eastAsia="仿宋_GB2312"/>
                <w:kern w:val="0"/>
                <w:szCs w:val="21"/>
              </w:rPr>
            </w:pPr>
            <w:r>
              <w:rPr>
                <w:rFonts w:hint="eastAsia" w:ascii="仿宋_GB2312" w:eastAsia="仿宋_GB2312"/>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shd w:val="clear" w:color="auto" w:fill="auto"/>
            <w:noWrap w:val="0"/>
            <w:vAlign w:val="center"/>
          </w:tcPr>
          <w:p>
            <w:pPr>
              <w:widowControl/>
              <w:jc w:val="left"/>
              <w:rPr>
                <w:rFonts w:hint="eastAsia" w:ascii="仿宋_GB2312" w:eastAsia="仿宋_GB2312"/>
                <w:kern w:val="0"/>
                <w:szCs w:val="21"/>
              </w:rPr>
            </w:pPr>
          </w:p>
        </w:tc>
        <w:tc>
          <w:tcPr>
            <w:tcW w:w="3695" w:type="dxa"/>
            <w:gridSpan w:val="3"/>
            <w:shd w:val="clear" w:color="auto" w:fill="auto"/>
            <w:noWrap w:val="0"/>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其中：  一般公共预算：</w:t>
            </w:r>
            <w:r>
              <w:rPr>
                <w:rFonts w:hint="eastAsia" w:ascii="仿宋_GB2312" w:eastAsia="仿宋_GB2312"/>
                <w:kern w:val="0"/>
                <w:szCs w:val="21"/>
                <w:lang w:val="en-US" w:eastAsia="zh-CN"/>
              </w:rPr>
              <w:t>1558.3</w:t>
            </w:r>
          </w:p>
        </w:tc>
        <w:tc>
          <w:tcPr>
            <w:tcW w:w="4201" w:type="dxa"/>
            <w:gridSpan w:val="2"/>
            <w:shd w:val="clear" w:color="auto" w:fill="auto"/>
            <w:noWrap w:val="0"/>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其中： 基本支出：</w:t>
            </w:r>
            <w:r>
              <w:rPr>
                <w:rFonts w:hint="eastAsia" w:ascii="仿宋_GB2312" w:eastAsia="仿宋_GB2312"/>
                <w:kern w:val="0"/>
                <w:szCs w:val="21"/>
                <w:lang w:val="en-US" w:eastAsia="zh-CN"/>
              </w:rPr>
              <w:t>1419.3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shd w:val="clear" w:color="auto" w:fill="auto"/>
            <w:noWrap w:val="0"/>
            <w:vAlign w:val="center"/>
          </w:tcPr>
          <w:p>
            <w:pPr>
              <w:widowControl/>
              <w:jc w:val="left"/>
              <w:rPr>
                <w:rFonts w:hint="eastAsia" w:ascii="仿宋_GB2312" w:eastAsia="仿宋_GB2312"/>
                <w:kern w:val="0"/>
                <w:szCs w:val="21"/>
              </w:rPr>
            </w:pPr>
          </w:p>
        </w:tc>
        <w:tc>
          <w:tcPr>
            <w:tcW w:w="3695" w:type="dxa"/>
            <w:gridSpan w:val="3"/>
            <w:shd w:val="clear" w:color="auto" w:fill="auto"/>
            <w:noWrap w:val="0"/>
            <w:vAlign w:val="center"/>
          </w:tcPr>
          <w:p>
            <w:pPr>
              <w:widowControl/>
              <w:jc w:val="left"/>
              <w:rPr>
                <w:rFonts w:hint="eastAsia" w:ascii="仿宋_GB2312" w:eastAsia="仿宋_GB2312"/>
                <w:kern w:val="0"/>
                <w:szCs w:val="21"/>
              </w:rPr>
            </w:pPr>
            <w:r>
              <w:rPr>
                <w:rFonts w:hint="eastAsia" w:ascii="仿宋_GB2312" w:eastAsia="仿宋_GB2312"/>
                <w:kern w:val="0"/>
                <w:szCs w:val="21"/>
              </w:rPr>
              <w:t xml:space="preserve">       政府性基金拨款：</w:t>
            </w:r>
          </w:p>
        </w:tc>
        <w:tc>
          <w:tcPr>
            <w:tcW w:w="4201" w:type="dxa"/>
            <w:gridSpan w:val="2"/>
            <w:shd w:val="clear" w:color="auto" w:fill="auto"/>
            <w:noWrap w:val="0"/>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 xml:space="preserve">       项目支出：</w:t>
            </w:r>
            <w:r>
              <w:rPr>
                <w:rFonts w:hint="eastAsia" w:ascii="仿宋_GB2312" w:eastAsia="仿宋_GB2312"/>
                <w:kern w:val="0"/>
                <w:szCs w:val="21"/>
                <w:lang w:val="en-US" w:eastAsia="zh-C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shd w:val="clear" w:color="auto" w:fill="auto"/>
            <w:noWrap w:val="0"/>
            <w:vAlign w:val="center"/>
          </w:tcPr>
          <w:p>
            <w:pPr>
              <w:widowControl/>
              <w:jc w:val="left"/>
              <w:rPr>
                <w:rFonts w:hint="eastAsia" w:ascii="仿宋_GB2312" w:eastAsia="仿宋_GB2312"/>
                <w:kern w:val="0"/>
                <w:szCs w:val="21"/>
              </w:rPr>
            </w:pPr>
          </w:p>
        </w:tc>
        <w:tc>
          <w:tcPr>
            <w:tcW w:w="3695" w:type="dxa"/>
            <w:gridSpan w:val="3"/>
            <w:shd w:val="clear" w:color="auto" w:fill="auto"/>
            <w:noWrap w:val="0"/>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纳入专户管理的非税收入拨款：</w:t>
            </w:r>
            <w:r>
              <w:rPr>
                <w:rFonts w:hint="eastAsia" w:ascii="仿宋_GB2312" w:eastAsia="仿宋_GB2312"/>
                <w:kern w:val="0"/>
                <w:szCs w:val="21"/>
                <w:lang w:val="en-US" w:eastAsia="zh-CN"/>
              </w:rPr>
              <w:t>221</w:t>
            </w:r>
          </w:p>
        </w:tc>
        <w:tc>
          <w:tcPr>
            <w:tcW w:w="4201" w:type="dxa"/>
            <w:gridSpan w:val="2"/>
            <w:shd w:val="clear" w:color="auto" w:fill="auto"/>
            <w:noWrap w:val="0"/>
            <w:vAlign w:val="center"/>
          </w:tcPr>
          <w:p>
            <w:pPr>
              <w:widowControl/>
              <w:jc w:val="left"/>
              <w:rPr>
                <w:rFonts w:hint="eastAsia" w:ascii="仿宋_GB2312" w:eastAsia="仿宋_GB2312"/>
                <w:kern w:val="0"/>
                <w:szCs w:val="21"/>
              </w:rPr>
            </w:pP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shd w:val="clear" w:color="auto" w:fill="auto"/>
            <w:noWrap w:val="0"/>
            <w:vAlign w:val="center"/>
          </w:tcPr>
          <w:p>
            <w:pPr>
              <w:widowControl/>
              <w:jc w:val="left"/>
              <w:rPr>
                <w:rFonts w:hint="eastAsia" w:ascii="仿宋_GB2312" w:eastAsia="仿宋_GB2312"/>
                <w:kern w:val="0"/>
                <w:szCs w:val="21"/>
              </w:rPr>
            </w:pPr>
          </w:p>
        </w:tc>
        <w:tc>
          <w:tcPr>
            <w:tcW w:w="3695" w:type="dxa"/>
            <w:gridSpan w:val="3"/>
            <w:shd w:val="clear" w:color="auto" w:fill="auto"/>
            <w:noWrap w:val="0"/>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 xml:space="preserve">             其他资金：</w:t>
            </w:r>
            <w:r>
              <w:rPr>
                <w:rFonts w:hint="eastAsia" w:ascii="仿宋_GB2312" w:eastAsia="仿宋_GB2312"/>
                <w:kern w:val="0"/>
                <w:szCs w:val="21"/>
                <w:lang w:val="en-US" w:eastAsia="zh-CN"/>
              </w:rPr>
              <w:t>20</w:t>
            </w:r>
          </w:p>
        </w:tc>
        <w:tc>
          <w:tcPr>
            <w:tcW w:w="4201" w:type="dxa"/>
            <w:gridSpan w:val="2"/>
            <w:shd w:val="clear" w:color="auto" w:fill="auto"/>
            <w:noWrap w:val="0"/>
            <w:vAlign w:val="center"/>
          </w:tcPr>
          <w:p>
            <w:pPr>
              <w:widowControl/>
              <w:jc w:val="left"/>
              <w:rPr>
                <w:rFonts w:hint="eastAsia"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46" w:type="dxa"/>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部门职能</w:t>
            </w:r>
          </w:p>
          <w:p>
            <w:pPr>
              <w:widowControl/>
              <w:jc w:val="center"/>
              <w:rPr>
                <w:rFonts w:hint="eastAsia" w:ascii="仿宋_GB2312" w:eastAsia="仿宋_GB2312"/>
                <w:kern w:val="0"/>
                <w:szCs w:val="21"/>
              </w:rPr>
            </w:pPr>
            <w:r>
              <w:rPr>
                <w:rFonts w:hint="eastAsia" w:ascii="仿宋_GB2312" w:eastAsia="仿宋_GB2312"/>
                <w:kern w:val="0"/>
                <w:szCs w:val="21"/>
              </w:rPr>
              <w:t>职责概述</w:t>
            </w:r>
          </w:p>
        </w:tc>
        <w:tc>
          <w:tcPr>
            <w:tcW w:w="7896" w:type="dxa"/>
            <w:gridSpan w:val="5"/>
            <w:shd w:val="clear" w:color="auto" w:fill="auto"/>
            <w:noWrap w:val="0"/>
            <w:vAlign w:val="center"/>
          </w:tcPr>
          <w:p>
            <w:pPr>
              <w:widowControl/>
              <w:jc w:val="left"/>
              <w:rPr>
                <w:rFonts w:hint="eastAsia" w:ascii="仿宋_GB2312" w:eastAsia="仿宋_GB2312"/>
                <w:kern w:val="0"/>
                <w:szCs w:val="21"/>
              </w:rPr>
            </w:pPr>
            <w:r>
              <w:rPr>
                <w:rFonts w:hint="eastAsia" w:ascii="仿宋_GB2312" w:eastAsia="仿宋_GB2312"/>
                <w:kern w:val="0"/>
                <w:szCs w:val="21"/>
              </w:rPr>
              <w:t>（一）负责市场综合监督管理、行政审批监督管理、市场主体信用体系建设。</w:t>
            </w:r>
          </w:p>
          <w:p>
            <w:pPr>
              <w:widowControl/>
              <w:jc w:val="left"/>
              <w:rPr>
                <w:rFonts w:hint="eastAsia" w:ascii="仿宋_GB2312" w:eastAsia="仿宋_GB2312"/>
                <w:kern w:val="0"/>
                <w:szCs w:val="21"/>
              </w:rPr>
            </w:pPr>
            <w:r>
              <w:rPr>
                <w:rFonts w:hint="eastAsia" w:ascii="仿宋_GB2312" w:eastAsia="仿宋_GB2312"/>
                <w:kern w:val="0"/>
                <w:szCs w:val="21"/>
              </w:rPr>
              <w:t>（二）负责全县市场监管综合执法工作、反垄断统一执法、监督管理市场秩序。</w:t>
            </w:r>
          </w:p>
          <w:p>
            <w:pPr>
              <w:widowControl/>
              <w:jc w:val="left"/>
              <w:rPr>
                <w:rFonts w:hint="eastAsia" w:ascii="仿宋_GB2312" w:eastAsia="仿宋_GB2312"/>
                <w:kern w:val="0"/>
                <w:szCs w:val="21"/>
              </w:rPr>
            </w:pPr>
            <w:r>
              <w:rPr>
                <w:rFonts w:hint="eastAsia" w:ascii="仿宋_GB2312" w:eastAsia="仿宋_GB2312"/>
                <w:kern w:val="0"/>
                <w:szCs w:val="21"/>
              </w:rPr>
              <w:t>（三）负责宏观质量管理、产品质量安全监督管理、特种设备安全监督管理。</w:t>
            </w:r>
          </w:p>
          <w:p>
            <w:pPr>
              <w:widowControl/>
              <w:jc w:val="left"/>
              <w:rPr>
                <w:rFonts w:hint="eastAsia" w:ascii="仿宋_GB2312" w:eastAsia="仿宋_GB2312"/>
                <w:kern w:val="0"/>
                <w:szCs w:val="21"/>
              </w:rPr>
            </w:pPr>
            <w:r>
              <w:rPr>
                <w:rFonts w:hint="eastAsia" w:ascii="仿宋_GB2312" w:eastAsia="仿宋_GB2312"/>
                <w:kern w:val="0"/>
                <w:szCs w:val="21"/>
              </w:rPr>
              <w:t>（四）负责食品安全监督管理综合协调、食品安全监督管理。</w:t>
            </w:r>
          </w:p>
          <w:p>
            <w:pPr>
              <w:widowControl/>
              <w:jc w:val="left"/>
              <w:rPr>
                <w:rFonts w:hint="eastAsia" w:ascii="仿宋_GB2312" w:eastAsia="仿宋_GB2312"/>
                <w:kern w:val="0"/>
                <w:szCs w:val="21"/>
              </w:rPr>
            </w:pPr>
            <w:r>
              <w:rPr>
                <w:rFonts w:hint="eastAsia" w:ascii="仿宋_GB2312" w:eastAsia="仿宋_GB2312"/>
                <w:kern w:val="0"/>
                <w:szCs w:val="21"/>
              </w:rPr>
              <w:t xml:space="preserve">（五）负责药品（含中药、民族药，下同）零售、使用环节安全和医疗器械、化妆品经营、使用环节安全的监督管理、负责职责范围内的药品、医疗器械和化妆品标准管理。及其上市后风险管理、组织实施药品、医疗器械和化妆品监督检查。  </w:t>
            </w:r>
          </w:p>
          <w:p>
            <w:pPr>
              <w:widowControl/>
              <w:jc w:val="left"/>
              <w:rPr>
                <w:rFonts w:hint="eastAsia" w:ascii="仿宋_GB2312" w:eastAsia="仿宋_GB2312"/>
                <w:kern w:val="0"/>
                <w:szCs w:val="21"/>
              </w:rPr>
            </w:pPr>
            <w:r>
              <w:rPr>
                <w:rFonts w:hint="eastAsia" w:ascii="仿宋_GB2312" w:eastAsia="仿宋_GB2312"/>
                <w:kern w:val="0"/>
                <w:szCs w:val="21"/>
              </w:rPr>
              <w:t xml:space="preserve">（六）负责统一管理计量工作、统一管理标准化工作、依法监督检验检测工作、统一管理、监督和综合协调全县认证认可工作。  </w:t>
            </w:r>
          </w:p>
          <w:p>
            <w:pPr>
              <w:widowControl/>
              <w:jc w:val="left"/>
              <w:rPr>
                <w:rFonts w:hint="eastAsia" w:ascii="仿宋_GB2312" w:eastAsia="仿宋_GB2312"/>
                <w:kern w:val="0"/>
                <w:szCs w:val="21"/>
              </w:rPr>
            </w:pPr>
            <w:r>
              <w:rPr>
                <w:rFonts w:hint="eastAsia" w:ascii="仿宋_GB2312" w:eastAsia="仿宋_GB2312"/>
                <w:kern w:val="0"/>
                <w:szCs w:val="21"/>
              </w:rPr>
              <w:t>（七）负责市场监督管理、知识产权领域科技和信息化建设、新闻宣传、对外交流与合作、负责实施知识产权战略，推进知识产权强县建设、负责保护知识产权、负责知识产权创造运用。</w:t>
            </w:r>
          </w:p>
          <w:p>
            <w:pPr>
              <w:widowControl/>
              <w:jc w:val="left"/>
              <w:rPr>
                <w:rFonts w:hint="eastAsia" w:ascii="仿宋_GB2312" w:eastAsia="仿宋_GB2312"/>
                <w:kern w:val="0"/>
                <w:szCs w:val="21"/>
              </w:rPr>
            </w:pPr>
            <w:r>
              <w:rPr>
                <w:rFonts w:hint="eastAsia" w:ascii="仿宋_GB2312" w:eastAsia="仿宋_GB2312"/>
                <w:kern w:val="0"/>
                <w:szCs w:val="21"/>
              </w:rPr>
              <w:t>（八）负责组织开展有关服务领域消费维权工作，查处制售假冒伪劣等违法行为，指导消费者咨询、申诉、举报受理、处理和网络体系建设等工作，保护经营者、消费者合法权益。</w:t>
            </w:r>
          </w:p>
          <w:p>
            <w:pPr>
              <w:widowControl/>
              <w:jc w:val="left"/>
              <w:rPr>
                <w:rFonts w:hint="eastAsia" w:ascii="仿宋_GB2312" w:eastAsia="仿宋_GB2312"/>
                <w:kern w:val="0"/>
                <w:szCs w:val="21"/>
              </w:rPr>
            </w:pPr>
            <w:r>
              <w:rPr>
                <w:rFonts w:hint="eastAsia" w:ascii="仿宋_GB2312" w:eastAsia="仿宋_GB2312"/>
                <w:kern w:val="0"/>
                <w:szCs w:val="21"/>
              </w:rPr>
              <w:t>（九）划入原县食品药品工商质量监督管理局（县食品安全委员会办公室）的职责、县发展和改革局的价格监督检查与反垄断执法职责以及原县经济和科技商务局的经营者集中反垄断执法职责、知识产权管理职责。</w:t>
            </w:r>
          </w:p>
          <w:p>
            <w:pPr>
              <w:widowControl/>
              <w:jc w:val="left"/>
              <w:rPr>
                <w:rFonts w:hint="eastAsia" w:ascii="仿宋_GB2312" w:eastAsia="仿宋_GB2312"/>
                <w:kern w:val="0"/>
                <w:szCs w:val="21"/>
              </w:rPr>
            </w:pPr>
            <w:r>
              <w:rPr>
                <w:rFonts w:hint="eastAsia" w:ascii="仿宋_GB2312" w:eastAsia="仿宋_GB2312"/>
                <w:kern w:val="0"/>
                <w:szCs w:val="21"/>
              </w:rPr>
              <w:t>（十）完成县委、县政府交办的其他任务。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546" w:type="dxa"/>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整体绩效目标</w:t>
            </w:r>
          </w:p>
        </w:tc>
        <w:tc>
          <w:tcPr>
            <w:tcW w:w="7896" w:type="dxa"/>
            <w:gridSpan w:val="5"/>
            <w:shd w:val="clear" w:color="auto" w:fill="auto"/>
            <w:noWrap w:val="0"/>
            <w:vAlign w:val="center"/>
          </w:tcPr>
          <w:p>
            <w:pPr>
              <w:widowControl/>
              <w:numPr>
                <w:ilvl w:val="0"/>
                <w:numId w:val="0"/>
              </w:numPr>
              <w:ind w:firstLine="420" w:firstLineChars="200"/>
              <w:jc w:val="left"/>
              <w:rPr>
                <w:rFonts w:hint="eastAsia" w:ascii="仿宋_GB2312" w:eastAsia="仿宋_GB2312"/>
                <w:kern w:val="0"/>
                <w:szCs w:val="21"/>
              </w:rPr>
            </w:pPr>
            <w:r>
              <w:rPr>
                <w:rFonts w:hint="eastAsia" w:ascii="仿宋_GB2312" w:eastAsia="仿宋_GB2312"/>
                <w:kern w:val="0"/>
                <w:szCs w:val="21"/>
              </w:rPr>
              <w:t>按上级文件布置开展定期不定期的食品药品安全监管专项整治活动，加强食品药品经营户的信息公示牌上墙、培训等工作；完成市局下达的食品药品抽检专项任务；建立食品智慧监管平台建设工作；抓好药品医疗器械的日常监管工作及不良反</w:t>
            </w:r>
            <w:r>
              <w:rPr>
                <w:rFonts w:hint="eastAsia" w:ascii="仿宋_GB2312" w:eastAsia="仿宋_GB2312"/>
                <w:kern w:val="0"/>
                <w:szCs w:val="21"/>
                <w:lang w:eastAsia="zh-CN"/>
              </w:rPr>
              <w:t>应</w:t>
            </w:r>
            <w:r>
              <w:rPr>
                <w:rFonts w:hint="eastAsia" w:ascii="仿宋_GB2312" w:eastAsia="仿宋_GB2312"/>
                <w:kern w:val="0"/>
                <w:szCs w:val="21"/>
              </w:rPr>
              <w:t>数据的上报工作；开展县食安委应急能力处置、培训工作、督察、协调等工作；食品快速检验车主要用于快速完成对县内食品监督抽查、快速检验等等任务；食品药品举报奖励主要是多渠道收集食品药品违法犯罪信息，加大打击力度，确保人民舌尖上的安全。</w:t>
            </w:r>
          </w:p>
          <w:p>
            <w:pPr>
              <w:widowControl/>
              <w:numPr>
                <w:ilvl w:val="0"/>
                <w:numId w:val="0"/>
              </w:numPr>
              <w:ind w:firstLine="420" w:firstLineChars="200"/>
              <w:jc w:val="left"/>
              <w:rPr>
                <w:rFonts w:hint="eastAsia" w:ascii="仿宋_GB2312" w:eastAsia="仿宋_GB2312"/>
                <w:kern w:val="0"/>
                <w:szCs w:val="21"/>
              </w:rPr>
            </w:pPr>
            <w:r>
              <w:rPr>
                <w:rFonts w:hint="eastAsia" w:ascii="仿宋_GB2312" w:eastAsia="仿宋_GB2312"/>
                <w:kern w:val="0"/>
                <w:szCs w:val="21"/>
              </w:rPr>
              <w:t>以“打假保民生、打假保名优、打假保农业、打假保节日”</w:t>
            </w:r>
            <w:bookmarkStart w:id="0" w:name="_GoBack"/>
            <w:bookmarkEnd w:id="0"/>
            <w:r>
              <w:rPr>
                <w:rFonts w:hint="eastAsia" w:ascii="仿宋_GB2312" w:eastAsia="仿宋_GB2312"/>
                <w:kern w:val="0"/>
                <w:szCs w:val="21"/>
              </w:rPr>
              <w:t>的方针；组织开展、打击传销、“红盾护农”、打击假冒伪劣、价格监督与反不正当竞争、扫黄打非、反垄断与打击传销、广告监管、消费维权、查处取缔无照经营、整顿虚假广告等经济秩序专项整治行动；实施商标战略、深化商事制度改革、做好企业信用监管及双</w:t>
            </w:r>
            <w:r>
              <w:rPr>
                <w:rFonts w:hint="eastAsia" w:ascii="仿宋_GB2312" w:eastAsia="仿宋_GB2312"/>
                <w:kern w:val="0"/>
                <w:szCs w:val="21"/>
                <w:lang w:eastAsia="zh-CN"/>
              </w:rPr>
              <w:t>双随机、一公开</w:t>
            </w:r>
            <w:r>
              <w:rPr>
                <w:rFonts w:hint="eastAsia" w:ascii="仿宋_GB2312" w:eastAsia="仿宋_GB2312"/>
                <w:kern w:val="0"/>
                <w:szCs w:val="21"/>
              </w:rPr>
              <w:t>监管等工作；完善并更新消费者维权网络平台建设，充分发挥12315的资信平台作用，受理各类投诉举报电话，在规定时间内做好处置消工作，并做好后续跟踪记录</w:t>
            </w:r>
            <w:r>
              <w:rPr>
                <w:rFonts w:hint="eastAsia" w:ascii="仿宋_GB2312" w:eastAsia="仿宋_GB2312"/>
                <w:kern w:val="0"/>
                <w:szCs w:val="21"/>
                <w:lang w:eastAsia="zh-CN"/>
              </w:rPr>
              <w:t>。</w:t>
            </w:r>
          </w:p>
          <w:p>
            <w:pPr>
              <w:widowControl/>
              <w:jc w:val="left"/>
              <w:rPr>
                <w:rFonts w:hint="eastAsia" w:ascii="仿宋_GB2312" w:eastAsia="仿宋_GB2312"/>
                <w:kern w:val="0"/>
                <w:szCs w:val="21"/>
              </w:rPr>
            </w:pPr>
            <w:r>
              <w:rPr>
                <w:rFonts w:hint="eastAsia" w:ascii="仿宋_GB2312" w:eastAsia="仿宋_GB2312"/>
                <w:kern w:val="0"/>
                <w:szCs w:val="21"/>
              </w:rPr>
              <w:t>全面实施“以质取胜”战略，帮助企业健全质量标准体系、质量安全保障体系和质量诚信体系。制定我县支柱产业、传统产业、新兴产业、旅游服务业等产业品牌培训计划，引导和支持企业争创名优品牌及“政府质量奖”等质量奖项；定时不定时开展市场上的产品质量抽检活动；减轻乡镇医院和农贸市场小商贩的经济负担，保证农贸市场和乡镇医院计量数据准确；负责全县特种设备、化学危险品容器的日常质量监督与安全监察，承担特种设备事故的调查处理工作，控制万台设备事故率和人员死亡率，按规定要求履行工作职能，确保重大危险源，保证区域内特种设备生产、使用的安全</w:t>
            </w:r>
            <w:r>
              <w:rPr>
                <w:rFonts w:hint="eastAsia" w:ascii="仿宋_GB2312" w:eastAsia="仿宋_GB2312"/>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restart"/>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部门整体支出</w:t>
            </w:r>
          </w:p>
          <w:p>
            <w:pPr>
              <w:jc w:val="center"/>
              <w:rPr>
                <w:rFonts w:hint="eastAsia" w:ascii="仿宋_GB2312" w:eastAsia="仿宋_GB2312"/>
                <w:kern w:val="0"/>
                <w:szCs w:val="21"/>
              </w:rPr>
            </w:pPr>
            <w:r>
              <w:rPr>
                <w:rFonts w:hint="eastAsia" w:ascii="仿宋_GB2312" w:eastAsia="仿宋_GB2312"/>
                <w:kern w:val="0"/>
                <w:szCs w:val="21"/>
              </w:rPr>
              <w:t>年度绩效指标</w:t>
            </w:r>
          </w:p>
        </w:tc>
        <w:tc>
          <w:tcPr>
            <w:tcW w:w="1362" w:type="dxa"/>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一级指标</w:t>
            </w:r>
          </w:p>
        </w:tc>
        <w:tc>
          <w:tcPr>
            <w:tcW w:w="1656" w:type="dxa"/>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二级指标</w:t>
            </w:r>
          </w:p>
        </w:tc>
        <w:tc>
          <w:tcPr>
            <w:tcW w:w="3255" w:type="dxa"/>
            <w:gridSpan w:val="2"/>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三级指标</w:t>
            </w:r>
          </w:p>
        </w:tc>
        <w:tc>
          <w:tcPr>
            <w:tcW w:w="1623" w:type="dxa"/>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center"/>
              <w:rPr>
                <w:rFonts w:hint="eastAsia" w:ascii="仿宋_GB2312" w:eastAsia="仿宋_GB2312"/>
                <w:kern w:val="0"/>
                <w:szCs w:val="21"/>
              </w:rPr>
            </w:pPr>
          </w:p>
        </w:tc>
        <w:tc>
          <w:tcPr>
            <w:tcW w:w="1362" w:type="dxa"/>
            <w:vMerge w:val="restart"/>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产出指标</w:t>
            </w:r>
          </w:p>
        </w:tc>
        <w:tc>
          <w:tcPr>
            <w:tcW w:w="1656" w:type="dxa"/>
            <w:vMerge w:val="restart"/>
            <w:noWrap w:val="0"/>
            <w:vAlign w:val="center"/>
          </w:tcPr>
          <w:p>
            <w:pPr>
              <w:jc w:val="center"/>
              <w:rPr>
                <w:rFonts w:hint="eastAsia" w:ascii="仿宋_GB2312" w:eastAsia="仿宋_GB2312"/>
                <w:kern w:val="0"/>
                <w:szCs w:val="21"/>
              </w:rPr>
            </w:pPr>
            <w:r>
              <w:rPr>
                <w:rFonts w:hint="eastAsia" w:ascii="仿宋_GB2312" w:eastAsia="仿宋_GB2312"/>
                <w:kern w:val="0"/>
                <w:szCs w:val="21"/>
              </w:rPr>
              <w:t>数量指标</w:t>
            </w:r>
          </w:p>
        </w:tc>
        <w:tc>
          <w:tcPr>
            <w:tcW w:w="3255" w:type="dxa"/>
            <w:gridSpan w:val="2"/>
            <w:noWrap w:val="0"/>
            <w:vAlign w:val="center"/>
          </w:tcPr>
          <w:p>
            <w:pPr>
              <w:jc w:val="both"/>
              <w:rPr>
                <w:rFonts w:hint="eastAsia" w:ascii="仿宋_GB2312" w:eastAsia="仿宋_GB2312"/>
                <w:kern w:val="0"/>
                <w:szCs w:val="21"/>
              </w:rPr>
            </w:pPr>
            <w:r>
              <w:rPr>
                <w:rFonts w:hint="eastAsia" w:ascii="仿宋_GB2312" w:eastAsia="仿宋_GB2312"/>
                <w:kern w:val="0"/>
                <w:szCs w:val="21"/>
              </w:rPr>
              <w:t>开展食品安全重大整治和联合检查行动</w:t>
            </w:r>
          </w:p>
        </w:tc>
        <w:tc>
          <w:tcPr>
            <w:tcW w:w="1623" w:type="dxa"/>
            <w:noWrap w:val="0"/>
            <w:vAlign w:val="center"/>
          </w:tcPr>
          <w:p>
            <w:pPr>
              <w:jc w:val="center"/>
              <w:rPr>
                <w:rFonts w:hint="eastAsia" w:ascii="仿宋_GB2312" w:eastAsia="仿宋_GB2312"/>
                <w:kern w:val="0"/>
                <w:szCs w:val="21"/>
              </w:rPr>
            </w:pPr>
            <w:r>
              <w:rPr>
                <w:rFonts w:hint="eastAsia" w:ascii="仿宋_GB2312" w:eastAsia="仿宋_GB2312"/>
                <w:kern w:val="0"/>
                <w:szCs w:val="21"/>
              </w:rPr>
              <w:t>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center"/>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continue"/>
            <w:noWrap w:val="0"/>
            <w:vAlign w:val="center"/>
          </w:tcPr>
          <w:p>
            <w:pPr>
              <w:jc w:val="center"/>
              <w:rPr>
                <w:rFonts w:hint="eastAsia" w:ascii="仿宋_GB2312" w:eastAsia="仿宋_GB2312"/>
                <w:kern w:val="0"/>
                <w:szCs w:val="21"/>
              </w:rPr>
            </w:pPr>
          </w:p>
        </w:tc>
        <w:tc>
          <w:tcPr>
            <w:tcW w:w="3255" w:type="dxa"/>
            <w:gridSpan w:val="2"/>
            <w:noWrap w:val="0"/>
            <w:vAlign w:val="center"/>
          </w:tcPr>
          <w:p>
            <w:pPr>
              <w:jc w:val="both"/>
              <w:rPr>
                <w:rFonts w:hint="eastAsia" w:ascii="仿宋_GB2312" w:eastAsia="仿宋_GB2312"/>
                <w:kern w:val="0"/>
                <w:szCs w:val="21"/>
              </w:rPr>
            </w:pPr>
            <w:r>
              <w:rPr>
                <w:rFonts w:hint="eastAsia" w:ascii="仿宋_GB2312" w:eastAsia="仿宋_GB2312"/>
                <w:kern w:val="0"/>
                <w:szCs w:val="21"/>
              </w:rPr>
              <w:t>维护市场秩序的执法打假专项整治活动出动执法人员</w:t>
            </w:r>
          </w:p>
        </w:tc>
        <w:tc>
          <w:tcPr>
            <w:tcW w:w="1623" w:type="dxa"/>
            <w:noWrap w:val="0"/>
            <w:vAlign w:val="center"/>
          </w:tcPr>
          <w:p>
            <w:pPr>
              <w:jc w:val="center"/>
              <w:rPr>
                <w:rFonts w:hint="eastAsia" w:ascii="仿宋_GB2312" w:eastAsia="仿宋_GB2312"/>
                <w:kern w:val="0"/>
                <w:szCs w:val="21"/>
              </w:rPr>
            </w:pPr>
            <w:r>
              <w:rPr>
                <w:rFonts w:hint="eastAsia" w:ascii="仿宋_GB2312" w:eastAsia="仿宋_GB2312"/>
                <w:kern w:val="0"/>
                <w:szCs w:val="21"/>
              </w:rPr>
              <w:t>2300人次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center"/>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continue"/>
            <w:noWrap w:val="0"/>
            <w:vAlign w:val="center"/>
          </w:tcPr>
          <w:p>
            <w:pPr>
              <w:jc w:val="center"/>
              <w:rPr>
                <w:rFonts w:hint="eastAsia" w:ascii="仿宋_GB2312" w:eastAsia="仿宋_GB2312"/>
                <w:kern w:val="0"/>
                <w:szCs w:val="21"/>
              </w:rPr>
            </w:pPr>
          </w:p>
        </w:tc>
        <w:tc>
          <w:tcPr>
            <w:tcW w:w="3255" w:type="dxa"/>
            <w:gridSpan w:val="2"/>
            <w:noWrap w:val="0"/>
            <w:vAlign w:val="center"/>
          </w:tcPr>
          <w:p>
            <w:pPr>
              <w:jc w:val="both"/>
              <w:rPr>
                <w:rFonts w:hint="eastAsia" w:ascii="仿宋_GB2312" w:eastAsia="仿宋_GB2312"/>
                <w:kern w:val="0"/>
                <w:szCs w:val="21"/>
              </w:rPr>
            </w:pPr>
            <w:r>
              <w:rPr>
                <w:rFonts w:hint="eastAsia" w:ascii="仿宋_GB2312" w:eastAsia="仿宋_GB2312"/>
                <w:kern w:val="0"/>
                <w:szCs w:val="21"/>
              </w:rPr>
              <w:t>完成市局下达的202</w:t>
            </w:r>
            <w:r>
              <w:rPr>
                <w:rFonts w:hint="eastAsia" w:ascii="仿宋_GB2312" w:eastAsia="仿宋_GB2312"/>
                <w:kern w:val="0"/>
                <w:szCs w:val="21"/>
                <w:lang w:val="en-US" w:eastAsia="zh-CN"/>
              </w:rPr>
              <w:t>0</w:t>
            </w:r>
            <w:r>
              <w:rPr>
                <w:rFonts w:hint="eastAsia" w:ascii="仿宋_GB2312" w:eastAsia="仿宋_GB2312"/>
                <w:kern w:val="0"/>
                <w:szCs w:val="21"/>
              </w:rPr>
              <w:t>年食品、农产品抽检任务</w:t>
            </w:r>
          </w:p>
        </w:tc>
        <w:tc>
          <w:tcPr>
            <w:tcW w:w="1623" w:type="dxa"/>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970批次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center"/>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continue"/>
            <w:noWrap w:val="0"/>
            <w:vAlign w:val="center"/>
          </w:tcPr>
          <w:p>
            <w:pPr>
              <w:jc w:val="center"/>
              <w:rPr>
                <w:rFonts w:hint="eastAsia" w:ascii="仿宋_GB2312" w:eastAsia="仿宋_GB2312"/>
                <w:kern w:val="0"/>
                <w:szCs w:val="21"/>
              </w:rPr>
            </w:pPr>
          </w:p>
        </w:tc>
        <w:tc>
          <w:tcPr>
            <w:tcW w:w="3255" w:type="dxa"/>
            <w:gridSpan w:val="2"/>
            <w:noWrap w:val="0"/>
            <w:vAlign w:val="center"/>
          </w:tcPr>
          <w:p>
            <w:pPr>
              <w:jc w:val="both"/>
              <w:rPr>
                <w:rFonts w:hint="eastAsia" w:ascii="仿宋_GB2312" w:eastAsia="仿宋_GB2312"/>
                <w:kern w:val="0"/>
                <w:szCs w:val="21"/>
              </w:rPr>
            </w:pPr>
            <w:r>
              <w:rPr>
                <w:rFonts w:hint="eastAsia" w:ascii="仿宋_GB2312" w:eastAsia="仿宋_GB2312"/>
                <w:kern w:val="0"/>
                <w:szCs w:val="21"/>
              </w:rPr>
              <w:t>农贸市场计量器具及乡镇医疗机构计量器具检测检定</w:t>
            </w:r>
          </w:p>
        </w:tc>
        <w:tc>
          <w:tcPr>
            <w:tcW w:w="1623" w:type="dxa"/>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800余台次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center"/>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restart"/>
            <w:noWrap w:val="0"/>
            <w:vAlign w:val="center"/>
          </w:tcPr>
          <w:p>
            <w:pPr>
              <w:jc w:val="center"/>
              <w:rPr>
                <w:rFonts w:hint="eastAsia" w:ascii="仿宋_GB2312" w:eastAsia="仿宋_GB2312"/>
                <w:kern w:val="0"/>
                <w:szCs w:val="21"/>
              </w:rPr>
            </w:pPr>
            <w:r>
              <w:rPr>
                <w:rFonts w:hint="eastAsia" w:ascii="仿宋_GB2312" w:eastAsia="仿宋_GB2312"/>
                <w:kern w:val="0"/>
                <w:szCs w:val="21"/>
              </w:rPr>
              <w:t>质量指标</w:t>
            </w:r>
          </w:p>
        </w:tc>
        <w:tc>
          <w:tcPr>
            <w:tcW w:w="3255" w:type="dxa"/>
            <w:gridSpan w:val="2"/>
            <w:noWrap w:val="0"/>
            <w:vAlign w:val="center"/>
          </w:tcPr>
          <w:p>
            <w:pPr>
              <w:jc w:val="both"/>
              <w:rPr>
                <w:rFonts w:hint="eastAsia" w:ascii="仿宋_GB2312" w:eastAsia="仿宋_GB2312"/>
                <w:kern w:val="0"/>
                <w:szCs w:val="21"/>
                <w:lang w:eastAsia="zh-CN"/>
              </w:rPr>
            </w:pPr>
            <w:r>
              <w:rPr>
                <w:rFonts w:hint="eastAsia" w:ascii="仿宋_GB2312" w:eastAsia="仿宋_GB2312"/>
                <w:kern w:val="0"/>
                <w:szCs w:val="21"/>
                <w:lang w:eastAsia="zh-CN"/>
              </w:rPr>
              <w:t>消费申报举报办结率、市场巡查覆盖率、市场监管覆盖率</w:t>
            </w:r>
          </w:p>
        </w:tc>
        <w:tc>
          <w:tcPr>
            <w:tcW w:w="1623" w:type="dxa"/>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center"/>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continue"/>
            <w:noWrap w:val="0"/>
            <w:vAlign w:val="center"/>
          </w:tcPr>
          <w:p>
            <w:pPr>
              <w:jc w:val="center"/>
              <w:rPr>
                <w:rFonts w:hint="eastAsia" w:ascii="仿宋_GB2312" w:eastAsia="仿宋_GB2312"/>
                <w:kern w:val="0"/>
                <w:szCs w:val="21"/>
              </w:rPr>
            </w:pPr>
          </w:p>
        </w:tc>
        <w:tc>
          <w:tcPr>
            <w:tcW w:w="3255" w:type="dxa"/>
            <w:gridSpan w:val="2"/>
            <w:noWrap w:val="0"/>
            <w:vAlign w:val="center"/>
          </w:tcPr>
          <w:p>
            <w:pPr>
              <w:jc w:val="both"/>
              <w:rPr>
                <w:rFonts w:hint="eastAsia" w:ascii="仿宋_GB2312" w:eastAsia="仿宋_GB2312"/>
                <w:kern w:val="0"/>
                <w:szCs w:val="21"/>
                <w:lang w:eastAsia="zh-CN"/>
              </w:rPr>
            </w:pPr>
            <w:r>
              <w:rPr>
                <w:rFonts w:hint="eastAsia" w:ascii="仿宋_GB2312" w:eastAsia="仿宋_GB2312"/>
                <w:kern w:val="0"/>
                <w:szCs w:val="21"/>
                <w:lang w:eastAsia="zh-CN"/>
              </w:rPr>
              <w:t>严格依法查处各类违法违行为，完成抽检率</w:t>
            </w:r>
          </w:p>
        </w:tc>
        <w:tc>
          <w:tcPr>
            <w:tcW w:w="1623" w:type="dxa"/>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center"/>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restart"/>
            <w:noWrap w:val="0"/>
            <w:vAlign w:val="center"/>
          </w:tcPr>
          <w:p>
            <w:pPr>
              <w:jc w:val="center"/>
              <w:rPr>
                <w:rFonts w:hint="eastAsia" w:ascii="仿宋_GB2312" w:eastAsia="仿宋_GB2312"/>
                <w:kern w:val="0"/>
                <w:szCs w:val="21"/>
              </w:rPr>
            </w:pPr>
            <w:r>
              <w:rPr>
                <w:rFonts w:hint="eastAsia" w:ascii="仿宋_GB2312" w:eastAsia="仿宋_GB2312"/>
                <w:kern w:val="0"/>
                <w:szCs w:val="21"/>
              </w:rPr>
              <w:t>成本指标</w:t>
            </w:r>
          </w:p>
        </w:tc>
        <w:tc>
          <w:tcPr>
            <w:tcW w:w="3255" w:type="dxa"/>
            <w:gridSpan w:val="2"/>
            <w:noWrap w:val="0"/>
            <w:vAlign w:val="center"/>
          </w:tcPr>
          <w:p>
            <w:pPr>
              <w:jc w:val="center"/>
              <w:rPr>
                <w:rFonts w:hint="eastAsia" w:ascii="仿宋_GB2312" w:eastAsia="仿宋_GB2312"/>
                <w:kern w:val="0"/>
                <w:szCs w:val="21"/>
              </w:rPr>
            </w:pPr>
          </w:p>
        </w:tc>
        <w:tc>
          <w:tcPr>
            <w:tcW w:w="1623" w:type="dxa"/>
            <w:noWrap w:val="0"/>
            <w:vAlign w:val="center"/>
          </w:tcPr>
          <w:p>
            <w:pPr>
              <w:jc w:val="center"/>
              <w:rPr>
                <w:rFonts w:hint="eastAsia"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center"/>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continue"/>
            <w:noWrap w:val="0"/>
            <w:vAlign w:val="center"/>
          </w:tcPr>
          <w:p>
            <w:pPr>
              <w:jc w:val="center"/>
              <w:rPr>
                <w:rFonts w:hint="eastAsia" w:ascii="仿宋_GB2312" w:eastAsia="仿宋_GB2312"/>
                <w:kern w:val="0"/>
                <w:szCs w:val="21"/>
              </w:rPr>
            </w:pPr>
          </w:p>
        </w:tc>
        <w:tc>
          <w:tcPr>
            <w:tcW w:w="3255" w:type="dxa"/>
            <w:gridSpan w:val="2"/>
            <w:noWrap w:val="0"/>
            <w:vAlign w:val="center"/>
          </w:tcPr>
          <w:p>
            <w:pPr>
              <w:jc w:val="center"/>
              <w:rPr>
                <w:rFonts w:hint="eastAsia" w:ascii="仿宋_GB2312" w:eastAsia="仿宋_GB2312"/>
                <w:kern w:val="0"/>
                <w:szCs w:val="21"/>
              </w:rPr>
            </w:pPr>
            <w:r>
              <w:rPr>
                <w:rFonts w:hint="eastAsia" w:ascii="仿宋_GB2312" w:eastAsia="仿宋_GB2312"/>
                <w:kern w:val="0"/>
                <w:szCs w:val="21"/>
              </w:rPr>
              <w:t>……</w:t>
            </w:r>
          </w:p>
        </w:tc>
        <w:tc>
          <w:tcPr>
            <w:tcW w:w="1623" w:type="dxa"/>
            <w:noWrap w:val="0"/>
            <w:vAlign w:val="center"/>
          </w:tcPr>
          <w:p>
            <w:pPr>
              <w:jc w:val="center"/>
              <w:rPr>
                <w:rFonts w:hint="eastAsia"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center"/>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restart"/>
            <w:noWrap w:val="0"/>
            <w:vAlign w:val="center"/>
          </w:tcPr>
          <w:p>
            <w:pPr>
              <w:jc w:val="center"/>
              <w:rPr>
                <w:rFonts w:hint="eastAsia" w:ascii="仿宋_GB2312" w:eastAsia="仿宋_GB2312"/>
                <w:kern w:val="0"/>
                <w:szCs w:val="21"/>
              </w:rPr>
            </w:pPr>
            <w:r>
              <w:rPr>
                <w:rFonts w:hint="eastAsia" w:ascii="仿宋_GB2312" w:eastAsia="仿宋_GB2312"/>
                <w:kern w:val="0"/>
                <w:szCs w:val="21"/>
              </w:rPr>
              <w:t>时效指标</w:t>
            </w:r>
          </w:p>
        </w:tc>
        <w:tc>
          <w:tcPr>
            <w:tcW w:w="32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Times New Roman" w:eastAsia="仿宋_GB2312" w:cs="Times New Roman"/>
                <w:color w:val="000000"/>
                <w:kern w:val="0"/>
                <w:sz w:val="21"/>
                <w:szCs w:val="21"/>
                <w:lang w:val="en-US" w:eastAsia="zh-CN" w:bidi="ar-SA"/>
              </w:rPr>
            </w:pPr>
            <w:r>
              <w:rPr>
                <w:rFonts w:hint="eastAsia" w:ascii="仿宋_GB2312" w:eastAsia="仿宋_GB2312"/>
                <w:color w:val="000000"/>
                <w:kern w:val="0"/>
                <w:szCs w:val="21"/>
                <w:lang w:eastAsia="zh-CN"/>
              </w:rPr>
              <w:t>工作整</w:t>
            </w:r>
            <w:r>
              <w:rPr>
                <w:rFonts w:hint="eastAsia" w:ascii="仿宋_GB2312" w:eastAsia="仿宋_GB2312"/>
                <w:color w:val="000000"/>
                <w:kern w:val="0"/>
                <w:szCs w:val="21"/>
                <w:lang w:val="en-US" w:eastAsia="zh-CN"/>
              </w:rPr>
              <w:t>体完成时间2020年底</w:t>
            </w:r>
            <w:r>
              <w:rPr>
                <w:rFonts w:hint="eastAsia" w:ascii="仿宋_GB2312" w:eastAsia="仿宋_GB2312"/>
                <w:color w:val="000000"/>
                <w:kern w:val="0"/>
                <w:szCs w:val="21"/>
              </w:rPr>
              <w:t>　</w:t>
            </w:r>
          </w:p>
        </w:tc>
        <w:tc>
          <w:tcPr>
            <w:tcW w:w="162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Times New Roman" w:eastAsia="仿宋_GB2312" w:cs="Times New Roman"/>
                <w:color w:val="000000"/>
                <w:kern w:val="0"/>
                <w:sz w:val="21"/>
                <w:szCs w:val="21"/>
                <w:lang w:val="en-US" w:eastAsia="zh-CN" w:bidi="ar-SA"/>
              </w:rPr>
            </w:pPr>
            <w:r>
              <w:rPr>
                <w:rFonts w:hint="eastAsia" w:ascii="仿宋_GB2312" w:eastAsia="仿宋_GB2312"/>
                <w:color w:val="000000"/>
                <w:kern w:val="0"/>
                <w:szCs w:val="21"/>
                <w:lang w:eastAsia="zh-CN"/>
              </w:rPr>
              <w:t>工作整</w:t>
            </w:r>
            <w:r>
              <w:rPr>
                <w:rFonts w:hint="eastAsia" w:ascii="仿宋_GB2312" w:eastAsia="仿宋_GB2312"/>
                <w:color w:val="000000"/>
                <w:kern w:val="0"/>
                <w:szCs w:val="21"/>
                <w:lang w:val="en-US" w:eastAsia="zh-CN"/>
              </w:rPr>
              <w:t>体完成时间2020年底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center"/>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continue"/>
            <w:noWrap w:val="0"/>
            <w:vAlign w:val="center"/>
          </w:tcPr>
          <w:p>
            <w:pPr>
              <w:jc w:val="center"/>
              <w:rPr>
                <w:rFonts w:hint="eastAsia" w:ascii="仿宋_GB2312" w:eastAsia="仿宋_GB2312"/>
                <w:kern w:val="0"/>
                <w:szCs w:val="21"/>
              </w:rPr>
            </w:pPr>
          </w:p>
        </w:tc>
        <w:tc>
          <w:tcPr>
            <w:tcW w:w="3255" w:type="dxa"/>
            <w:gridSpan w:val="2"/>
            <w:noWrap w:val="0"/>
            <w:vAlign w:val="center"/>
          </w:tcPr>
          <w:p>
            <w:pPr>
              <w:jc w:val="center"/>
              <w:rPr>
                <w:rFonts w:hint="eastAsia" w:ascii="仿宋_GB2312" w:eastAsia="仿宋_GB2312"/>
                <w:kern w:val="0"/>
                <w:szCs w:val="21"/>
              </w:rPr>
            </w:pPr>
            <w:r>
              <w:rPr>
                <w:rFonts w:hint="eastAsia" w:ascii="仿宋_GB2312" w:eastAsia="仿宋_GB2312"/>
                <w:kern w:val="0"/>
                <w:szCs w:val="21"/>
              </w:rPr>
              <w:t>……</w:t>
            </w:r>
          </w:p>
        </w:tc>
        <w:tc>
          <w:tcPr>
            <w:tcW w:w="1623" w:type="dxa"/>
            <w:noWrap w:val="0"/>
            <w:vAlign w:val="center"/>
          </w:tcPr>
          <w:p>
            <w:pPr>
              <w:jc w:val="center"/>
              <w:rPr>
                <w:rFonts w:hint="eastAsia"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left"/>
              <w:rPr>
                <w:rFonts w:hint="eastAsia" w:ascii="仿宋_GB2312" w:eastAsia="仿宋_GB2312"/>
                <w:kern w:val="0"/>
                <w:szCs w:val="21"/>
              </w:rPr>
            </w:pPr>
          </w:p>
        </w:tc>
        <w:tc>
          <w:tcPr>
            <w:tcW w:w="1362" w:type="dxa"/>
            <w:vMerge w:val="restart"/>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效益指标</w:t>
            </w:r>
          </w:p>
        </w:tc>
        <w:tc>
          <w:tcPr>
            <w:tcW w:w="1656" w:type="dxa"/>
            <w:vMerge w:val="restart"/>
            <w:noWrap w:val="0"/>
            <w:vAlign w:val="center"/>
          </w:tcPr>
          <w:p>
            <w:pPr>
              <w:jc w:val="center"/>
              <w:rPr>
                <w:rFonts w:hint="eastAsia" w:ascii="仿宋_GB2312" w:eastAsia="仿宋_GB2312"/>
                <w:kern w:val="0"/>
                <w:szCs w:val="21"/>
              </w:rPr>
            </w:pPr>
            <w:r>
              <w:rPr>
                <w:rFonts w:hint="eastAsia" w:ascii="仿宋_GB2312" w:eastAsia="仿宋_GB2312"/>
                <w:kern w:val="0"/>
                <w:szCs w:val="21"/>
              </w:rPr>
              <w:t>经济效益指标</w:t>
            </w:r>
          </w:p>
        </w:tc>
        <w:tc>
          <w:tcPr>
            <w:tcW w:w="3255" w:type="dxa"/>
            <w:gridSpan w:val="2"/>
            <w:noWrap w:val="0"/>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开展日常监管和专项检查</w:t>
            </w:r>
          </w:p>
        </w:tc>
        <w:tc>
          <w:tcPr>
            <w:tcW w:w="1623" w:type="dxa"/>
            <w:noWrap w:val="0"/>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罚没金额</w:t>
            </w:r>
            <w:r>
              <w:rPr>
                <w:rFonts w:hint="eastAsia" w:ascii="仿宋_GB2312" w:eastAsia="仿宋_GB2312"/>
                <w:kern w:val="0"/>
                <w:szCs w:val="21"/>
                <w:lang w:val="en-US" w:eastAsia="zh-CN"/>
              </w:rPr>
              <w:t>336</w:t>
            </w:r>
            <w:r>
              <w:rPr>
                <w:rFonts w:hint="eastAsia" w:ascii="仿宋_GB2312" w:eastAsia="仿宋_GB2312"/>
                <w:kern w:val="0"/>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left"/>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continue"/>
            <w:noWrap w:val="0"/>
            <w:vAlign w:val="center"/>
          </w:tcPr>
          <w:p>
            <w:pPr>
              <w:jc w:val="center"/>
              <w:rPr>
                <w:rFonts w:hint="eastAsia" w:ascii="仿宋_GB2312" w:eastAsia="仿宋_GB2312"/>
                <w:kern w:val="0"/>
                <w:szCs w:val="21"/>
              </w:rPr>
            </w:pPr>
          </w:p>
        </w:tc>
        <w:tc>
          <w:tcPr>
            <w:tcW w:w="3255" w:type="dxa"/>
            <w:gridSpan w:val="2"/>
            <w:noWrap w:val="0"/>
            <w:vAlign w:val="center"/>
          </w:tcPr>
          <w:p>
            <w:pPr>
              <w:jc w:val="center"/>
              <w:rPr>
                <w:rFonts w:hint="eastAsia" w:ascii="仿宋_GB2312" w:eastAsia="仿宋_GB2312"/>
                <w:kern w:val="0"/>
                <w:szCs w:val="21"/>
              </w:rPr>
            </w:pPr>
            <w:r>
              <w:rPr>
                <w:rFonts w:hint="eastAsia" w:ascii="仿宋_GB2312" w:eastAsia="仿宋_GB2312"/>
                <w:kern w:val="0"/>
                <w:szCs w:val="21"/>
              </w:rPr>
              <w:t>……</w:t>
            </w:r>
          </w:p>
        </w:tc>
        <w:tc>
          <w:tcPr>
            <w:tcW w:w="1623" w:type="dxa"/>
            <w:noWrap w:val="0"/>
            <w:vAlign w:val="center"/>
          </w:tcPr>
          <w:p>
            <w:pPr>
              <w:jc w:val="center"/>
              <w:rPr>
                <w:rFonts w:hint="eastAsia"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left"/>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restart"/>
            <w:noWrap w:val="0"/>
            <w:vAlign w:val="center"/>
          </w:tcPr>
          <w:p>
            <w:pPr>
              <w:jc w:val="center"/>
              <w:rPr>
                <w:rFonts w:hint="eastAsia" w:ascii="仿宋_GB2312" w:eastAsia="仿宋_GB2312"/>
                <w:kern w:val="0"/>
                <w:szCs w:val="21"/>
              </w:rPr>
            </w:pPr>
            <w:r>
              <w:rPr>
                <w:rFonts w:hint="eastAsia" w:ascii="仿宋_GB2312" w:eastAsia="仿宋_GB2312"/>
                <w:kern w:val="0"/>
                <w:szCs w:val="21"/>
              </w:rPr>
              <w:t>社会效益指标</w:t>
            </w:r>
          </w:p>
        </w:tc>
        <w:tc>
          <w:tcPr>
            <w:tcW w:w="3255" w:type="dxa"/>
            <w:gridSpan w:val="2"/>
            <w:noWrap w:val="0"/>
            <w:vAlign w:val="center"/>
          </w:tcPr>
          <w:p>
            <w:pPr>
              <w:jc w:val="both"/>
              <w:rPr>
                <w:rFonts w:hint="eastAsia" w:ascii="仿宋_GB2312" w:eastAsia="仿宋_GB2312"/>
                <w:kern w:val="0"/>
                <w:szCs w:val="21"/>
                <w:lang w:eastAsia="zh-CN"/>
              </w:rPr>
            </w:pPr>
            <w:r>
              <w:rPr>
                <w:rFonts w:hint="eastAsia" w:ascii="仿宋_GB2312" w:eastAsia="仿宋_GB2312"/>
                <w:kern w:val="0"/>
                <w:szCs w:val="21"/>
                <w:lang w:eastAsia="zh-CN"/>
              </w:rPr>
              <w:t>加强全县食品药品监管能力建设，提高队伍监管执法能力</w:t>
            </w:r>
          </w:p>
        </w:tc>
        <w:tc>
          <w:tcPr>
            <w:tcW w:w="1623" w:type="dxa"/>
            <w:noWrap w:val="0"/>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left"/>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continue"/>
            <w:noWrap w:val="0"/>
            <w:vAlign w:val="center"/>
          </w:tcPr>
          <w:p>
            <w:pPr>
              <w:jc w:val="center"/>
              <w:rPr>
                <w:rFonts w:hint="eastAsia" w:ascii="仿宋_GB2312" w:eastAsia="仿宋_GB2312"/>
                <w:kern w:val="0"/>
                <w:szCs w:val="21"/>
              </w:rPr>
            </w:pPr>
          </w:p>
        </w:tc>
        <w:tc>
          <w:tcPr>
            <w:tcW w:w="3255" w:type="dxa"/>
            <w:gridSpan w:val="2"/>
            <w:noWrap w:val="0"/>
            <w:vAlign w:val="center"/>
          </w:tcPr>
          <w:p>
            <w:pPr>
              <w:jc w:val="both"/>
              <w:rPr>
                <w:rFonts w:hint="eastAsia" w:ascii="仿宋_GB2312" w:eastAsia="仿宋_GB2312"/>
                <w:kern w:val="0"/>
                <w:szCs w:val="21"/>
                <w:lang w:eastAsia="zh-CN"/>
              </w:rPr>
            </w:pPr>
            <w:r>
              <w:rPr>
                <w:rFonts w:hint="eastAsia" w:ascii="仿宋_GB2312" w:eastAsia="仿宋_GB2312"/>
                <w:kern w:val="0"/>
                <w:szCs w:val="21"/>
                <w:lang w:eastAsia="zh-CN"/>
              </w:rPr>
              <w:t>加强市场监管和产品质量监管，严格依法查处各类违法违规行为</w:t>
            </w:r>
          </w:p>
        </w:tc>
        <w:tc>
          <w:tcPr>
            <w:tcW w:w="1623" w:type="dxa"/>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left"/>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restart"/>
            <w:noWrap w:val="0"/>
            <w:vAlign w:val="center"/>
          </w:tcPr>
          <w:p>
            <w:pPr>
              <w:jc w:val="center"/>
              <w:rPr>
                <w:rFonts w:hint="eastAsia" w:ascii="仿宋_GB2312" w:eastAsia="仿宋_GB2312"/>
                <w:kern w:val="0"/>
                <w:szCs w:val="21"/>
              </w:rPr>
            </w:pPr>
            <w:r>
              <w:rPr>
                <w:rFonts w:hint="eastAsia" w:ascii="仿宋_GB2312" w:eastAsia="仿宋_GB2312"/>
                <w:kern w:val="0"/>
                <w:szCs w:val="21"/>
              </w:rPr>
              <w:t>生态效益指标</w:t>
            </w:r>
          </w:p>
        </w:tc>
        <w:tc>
          <w:tcPr>
            <w:tcW w:w="3255" w:type="dxa"/>
            <w:gridSpan w:val="2"/>
            <w:noWrap w:val="0"/>
            <w:vAlign w:val="center"/>
          </w:tcPr>
          <w:p>
            <w:pPr>
              <w:jc w:val="both"/>
              <w:rPr>
                <w:rFonts w:hint="default" w:ascii="仿宋_GB2312" w:eastAsia="仿宋_GB2312"/>
                <w:kern w:val="0"/>
                <w:szCs w:val="21"/>
                <w:lang w:val="en-US" w:eastAsia="zh-CN"/>
              </w:rPr>
            </w:pPr>
          </w:p>
        </w:tc>
        <w:tc>
          <w:tcPr>
            <w:tcW w:w="1623" w:type="dxa"/>
            <w:noWrap w:val="0"/>
            <w:vAlign w:val="center"/>
          </w:tcPr>
          <w:p>
            <w:pPr>
              <w:jc w:val="center"/>
              <w:rPr>
                <w:rFonts w:hint="eastAsia"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left"/>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continue"/>
            <w:noWrap w:val="0"/>
            <w:vAlign w:val="center"/>
          </w:tcPr>
          <w:p>
            <w:pPr>
              <w:jc w:val="center"/>
              <w:rPr>
                <w:rFonts w:hint="eastAsia" w:ascii="仿宋_GB2312" w:eastAsia="仿宋_GB2312"/>
                <w:kern w:val="0"/>
                <w:szCs w:val="21"/>
              </w:rPr>
            </w:pPr>
          </w:p>
        </w:tc>
        <w:tc>
          <w:tcPr>
            <w:tcW w:w="3255" w:type="dxa"/>
            <w:gridSpan w:val="2"/>
            <w:noWrap w:val="0"/>
            <w:vAlign w:val="center"/>
          </w:tcPr>
          <w:p>
            <w:pPr>
              <w:jc w:val="center"/>
              <w:rPr>
                <w:rFonts w:hint="eastAsia" w:ascii="仿宋_GB2312" w:eastAsia="仿宋_GB2312"/>
                <w:kern w:val="0"/>
                <w:szCs w:val="21"/>
              </w:rPr>
            </w:pPr>
            <w:r>
              <w:rPr>
                <w:rFonts w:hint="eastAsia" w:ascii="仿宋_GB2312" w:eastAsia="仿宋_GB2312"/>
                <w:kern w:val="0"/>
                <w:szCs w:val="21"/>
              </w:rPr>
              <w:t>……</w:t>
            </w:r>
          </w:p>
        </w:tc>
        <w:tc>
          <w:tcPr>
            <w:tcW w:w="1623" w:type="dxa"/>
            <w:noWrap w:val="0"/>
            <w:vAlign w:val="center"/>
          </w:tcPr>
          <w:p>
            <w:pPr>
              <w:jc w:val="center"/>
              <w:rPr>
                <w:rFonts w:hint="eastAsia"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left"/>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restart"/>
            <w:noWrap w:val="0"/>
            <w:vAlign w:val="center"/>
          </w:tcPr>
          <w:p>
            <w:pPr>
              <w:jc w:val="center"/>
              <w:rPr>
                <w:rFonts w:hint="eastAsia" w:ascii="仿宋_GB2312" w:eastAsia="仿宋_GB2312"/>
                <w:kern w:val="0"/>
                <w:szCs w:val="21"/>
              </w:rPr>
            </w:pPr>
            <w:r>
              <w:rPr>
                <w:rFonts w:hint="eastAsia" w:ascii="仿宋_GB2312" w:eastAsia="仿宋_GB2312"/>
                <w:kern w:val="0"/>
                <w:szCs w:val="21"/>
              </w:rPr>
              <w:t>可持续影响</w:t>
            </w:r>
          </w:p>
          <w:p>
            <w:pPr>
              <w:jc w:val="center"/>
              <w:rPr>
                <w:rFonts w:hint="eastAsia" w:ascii="仿宋_GB2312" w:eastAsia="仿宋_GB2312"/>
                <w:kern w:val="0"/>
                <w:szCs w:val="21"/>
              </w:rPr>
            </w:pPr>
            <w:r>
              <w:rPr>
                <w:rFonts w:hint="eastAsia" w:ascii="仿宋_GB2312" w:eastAsia="仿宋_GB2312"/>
                <w:kern w:val="0"/>
                <w:szCs w:val="21"/>
              </w:rPr>
              <w:t>指标</w:t>
            </w:r>
          </w:p>
        </w:tc>
        <w:tc>
          <w:tcPr>
            <w:tcW w:w="3255" w:type="dxa"/>
            <w:gridSpan w:val="2"/>
            <w:noWrap w:val="0"/>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市场监管能力建设</w:t>
            </w:r>
          </w:p>
        </w:tc>
        <w:tc>
          <w:tcPr>
            <w:tcW w:w="1623" w:type="dxa"/>
            <w:noWrap w:val="0"/>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left"/>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continue"/>
            <w:noWrap w:val="0"/>
            <w:vAlign w:val="center"/>
          </w:tcPr>
          <w:p>
            <w:pPr>
              <w:jc w:val="center"/>
              <w:rPr>
                <w:rFonts w:hint="eastAsia" w:ascii="仿宋_GB2312" w:eastAsia="仿宋_GB2312"/>
                <w:kern w:val="0"/>
                <w:szCs w:val="21"/>
              </w:rPr>
            </w:pPr>
          </w:p>
        </w:tc>
        <w:tc>
          <w:tcPr>
            <w:tcW w:w="3255" w:type="dxa"/>
            <w:gridSpan w:val="2"/>
            <w:noWrap w:val="0"/>
            <w:vAlign w:val="center"/>
          </w:tcPr>
          <w:p>
            <w:pPr>
              <w:jc w:val="center"/>
              <w:rPr>
                <w:rFonts w:hint="eastAsia" w:ascii="仿宋_GB2312" w:eastAsia="仿宋_GB2312"/>
                <w:kern w:val="0"/>
                <w:szCs w:val="21"/>
              </w:rPr>
            </w:pPr>
            <w:r>
              <w:rPr>
                <w:rFonts w:hint="eastAsia" w:ascii="仿宋_GB2312" w:eastAsia="仿宋_GB2312"/>
                <w:kern w:val="0"/>
                <w:szCs w:val="21"/>
              </w:rPr>
              <w:t>……</w:t>
            </w:r>
          </w:p>
        </w:tc>
        <w:tc>
          <w:tcPr>
            <w:tcW w:w="1623" w:type="dxa"/>
            <w:noWrap w:val="0"/>
            <w:vAlign w:val="center"/>
          </w:tcPr>
          <w:p>
            <w:pPr>
              <w:jc w:val="center"/>
              <w:rPr>
                <w:rFonts w:hint="eastAsia"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left"/>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restart"/>
            <w:noWrap w:val="0"/>
            <w:vAlign w:val="center"/>
          </w:tcPr>
          <w:p>
            <w:pPr>
              <w:jc w:val="center"/>
              <w:rPr>
                <w:rFonts w:hint="eastAsia" w:ascii="仿宋_GB2312" w:eastAsia="仿宋_GB2312"/>
                <w:kern w:val="0"/>
                <w:szCs w:val="21"/>
              </w:rPr>
            </w:pPr>
            <w:r>
              <w:rPr>
                <w:rFonts w:hint="eastAsia" w:ascii="仿宋_GB2312" w:eastAsia="仿宋_GB2312"/>
                <w:kern w:val="0"/>
                <w:szCs w:val="21"/>
              </w:rPr>
              <w:t>社会公众或服务对象满意度</w:t>
            </w:r>
          </w:p>
        </w:tc>
        <w:tc>
          <w:tcPr>
            <w:tcW w:w="3255" w:type="dxa"/>
            <w:gridSpan w:val="2"/>
            <w:noWrap w:val="0"/>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群众满意度</w:t>
            </w:r>
          </w:p>
        </w:tc>
        <w:tc>
          <w:tcPr>
            <w:tcW w:w="1623" w:type="dxa"/>
            <w:noWrap w:val="0"/>
            <w:vAlign w:val="center"/>
          </w:tcPr>
          <w:p>
            <w:pPr>
              <w:jc w:val="center"/>
              <w:rPr>
                <w:rFonts w:hint="default" w:ascii="仿宋_GB2312" w:eastAsia="仿宋_GB2312"/>
                <w:kern w:val="0"/>
                <w:szCs w:val="21"/>
                <w:lang w:val="en-US" w:eastAsia="zh-CN"/>
              </w:rPr>
            </w:pPr>
            <w:r>
              <w:rPr>
                <w:rFonts w:hint="default" w:ascii="Arial" w:hAnsi="Arial" w:eastAsia="仿宋_GB2312" w:cs="Arial"/>
                <w:kern w:val="0"/>
                <w:szCs w:val="21"/>
              </w:rPr>
              <w:t>≥</w:t>
            </w:r>
            <w:r>
              <w:rPr>
                <w:rFonts w:hint="eastAsia" w:ascii="仿宋_GB2312" w:eastAsia="仿宋_GB2312"/>
                <w:kern w:val="0"/>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6" w:type="dxa"/>
            <w:vMerge w:val="continue"/>
            <w:noWrap w:val="0"/>
            <w:vAlign w:val="center"/>
          </w:tcPr>
          <w:p>
            <w:pPr>
              <w:widowControl/>
              <w:jc w:val="left"/>
              <w:rPr>
                <w:rFonts w:hint="eastAsia" w:ascii="仿宋_GB2312" w:eastAsia="仿宋_GB2312"/>
                <w:kern w:val="0"/>
                <w:szCs w:val="21"/>
              </w:rPr>
            </w:pPr>
          </w:p>
        </w:tc>
        <w:tc>
          <w:tcPr>
            <w:tcW w:w="1362" w:type="dxa"/>
            <w:vMerge w:val="continue"/>
            <w:noWrap w:val="0"/>
            <w:vAlign w:val="center"/>
          </w:tcPr>
          <w:p>
            <w:pPr>
              <w:widowControl/>
              <w:jc w:val="center"/>
              <w:rPr>
                <w:rFonts w:hint="eastAsia" w:ascii="仿宋_GB2312" w:eastAsia="仿宋_GB2312"/>
                <w:kern w:val="0"/>
                <w:szCs w:val="21"/>
              </w:rPr>
            </w:pPr>
          </w:p>
        </w:tc>
        <w:tc>
          <w:tcPr>
            <w:tcW w:w="1656" w:type="dxa"/>
            <w:vMerge w:val="continue"/>
            <w:noWrap w:val="0"/>
            <w:vAlign w:val="center"/>
          </w:tcPr>
          <w:p>
            <w:pPr>
              <w:jc w:val="center"/>
              <w:rPr>
                <w:rFonts w:hint="eastAsia" w:ascii="仿宋_GB2312" w:eastAsia="仿宋_GB2312"/>
                <w:kern w:val="0"/>
                <w:szCs w:val="21"/>
              </w:rPr>
            </w:pPr>
          </w:p>
        </w:tc>
        <w:tc>
          <w:tcPr>
            <w:tcW w:w="3255" w:type="dxa"/>
            <w:gridSpan w:val="2"/>
            <w:noWrap w:val="0"/>
            <w:vAlign w:val="center"/>
          </w:tcPr>
          <w:p>
            <w:pPr>
              <w:jc w:val="center"/>
              <w:rPr>
                <w:rFonts w:hint="eastAsia" w:ascii="仿宋_GB2312" w:eastAsia="仿宋_GB2312"/>
                <w:kern w:val="0"/>
                <w:szCs w:val="21"/>
              </w:rPr>
            </w:pPr>
            <w:r>
              <w:rPr>
                <w:rFonts w:hint="eastAsia" w:ascii="仿宋_GB2312" w:eastAsia="仿宋_GB2312"/>
                <w:kern w:val="0"/>
                <w:szCs w:val="21"/>
              </w:rPr>
              <w:t>……</w:t>
            </w:r>
          </w:p>
        </w:tc>
        <w:tc>
          <w:tcPr>
            <w:tcW w:w="1623" w:type="dxa"/>
            <w:noWrap w:val="0"/>
            <w:vAlign w:val="center"/>
          </w:tcPr>
          <w:p>
            <w:pPr>
              <w:jc w:val="center"/>
              <w:rPr>
                <w:rFonts w:hint="eastAsia" w:ascii="仿宋_GB2312" w:eastAsia="仿宋_GB2312"/>
                <w:kern w:val="0"/>
                <w:szCs w:val="21"/>
              </w:rPr>
            </w:pPr>
          </w:p>
        </w:tc>
      </w:tr>
    </w:tbl>
    <w:p>
      <w:pPr>
        <w:widowControl/>
        <w:tabs>
          <w:tab w:val="left" w:pos="2203"/>
          <w:tab w:val="left" w:pos="4145"/>
          <w:tab w:val="left" w:pos="5718"/>
          <w:tab w:val="left" w:pos="6938"/>
          <w:tab w:val="left" w:pos="8139"/>
        </w:tabs>
        <w:jc w:val="left"/>
        <w:rPr>
          <w:kern w:val="0"/>
          <w:szCs w:val="21"/>
        </w:rPr>
      </w:pPr>
    </w:p>
    <w:p>
      <w:pPr>
        <w:widowControl/>
        <w:tabs>
          <w:tab w:val="left" w:pos="2310"/>
          <w:tab w:val="left" w:pos="4455"/>
          <w:tab w:val="left" w:pos="6660"/>
          <w:tab w:val="left" w:pos="6938"/>
          <w:tab w:val="left" w:pos="8139"/>
        </w:tabs>
        <w:jc w:val="left"/>
        <w:rPr>
          <w:rFonts w:hint="eastAsia" w:ascii="仿宋_GB2312" w:eastAsia="仿宋_GB2312"/>
          <w:kern w:val="0"/>
          <w:szCs w:val="21"/>
          <w:lang w:eastAsia="zh-CN"/>
        </w:rPr>
      </w:pPr>
      <w:r>
        <w:rPr>
          <w:rFonts w:hint="eastAsia" w:ascii="仿宋_GB2312" w:eastAsia="仿宋_GB2312"/>
          <w:kern w:val="0"/>
          <w:szCs w:val="21"/>
        </w:rPr>
        <w:t>填报人：</w:t>
      </w:r>
      <w:r>
        <w:rPr>
          <w:rFonts w:hint="eastAsia" w:ascii="仿宋_GB2312" w:eastAsia="仿宋_GB2312"/>
          <w:kern w:val="0"/>
          <w:szCs w:val="21"/>
          <w:lang w:eastAsia="zh-CN"/>
        </w:rPr>
        <w:t>赖玲</w:t>
      </w:r>
      <w:r>
        <w:rPr>
          <w:rFonts w:hint="eastAsia" w:ascii="仿宋_GB2312" w:eastAsia="仿宋_GB2312"/>
          <w:kern w:val="0"/>
          <w:szCs w:val="21"/>
          <w:lang w:val="en-US" w:eastAsia="zh-CN"/>
        </w:rPr>
        <w:t xml:space="preserve">   </w:t>
      </w:r>
      <w:r>
        <w:rPr>
          <w:rFonts w:hint="eastAsia" w:ascii="仿宋_GB2312" w:eastAsia="仿宋_GB2312"/>
          <w:kern w:val="0"/>
          <w:szCs w:val="21"/>
        </w:rPr>
        <w:t>联系电话：</w:t>
      </w:r>
      <w:r>
        <w:rPr>
          <w:rFonts w:hint="eastAsia" w:ascii="仿宋_GB2312" w:eastAsia="仿宋_GB2312"/>
          <w:kern w:val="0"/>
          <w:szCs w:val="21"/>
          <w:lang w:val="en-US" w:eastAsia="zh-CN"/>
        </w:rPr>
        <w:t xml:space="preserve">6337156   </w:t>
      </w:r>
      <w:r>
        <w:rPr>
          <w:rFonts w:hint="eastAsia" w:ascii="仿宋_GB2312" w:eastAsia="仿宋_GB2312"/>
          <w:kern w:val="0"/>
          <w:szCs w:val="21"/>
        </w:rPr>
        <w:t>填报日期：</w:t>
      </w:r>
      <w:r>
        <w:rPr>
          <w:rFonts w:hint="eastAsia" w:ascii="仿宋_GB2312" w:eastAsia="仿宋_GB2312"/>
          <w:kern w:val="0"/>
          <w:szCs w:val="21"/>
          <w:lang w:val="en-US" w:eastAsia="zh-CN"/>
        </w:rPr>
        <w:t xml:space="preserve">2021年1月   </w:t>
      </w:r>
      <w:r>
        <w:rPr>
          <w:rFonts w:hint="eastAsia" w:ascii="仿宋_GB2312" w:eastAsia="仿宋_GB2312"/>
          <w:kern w:val="0"/>
          <w:szCs w:val="21"/>
        </w:rPr>
        <w:t>项目负责人签字：</w:t>
      </w:r>
      <w:r>
        <w:rPr>
          <w:rFonts w:hint="eastAsia" w:ascii="仿宋_GB2312" w:eastAsia="仿宋_GB2312"/>
          <w:kern w:val="0"/>
          <w:szCs w:val="21"/>
          <w:lang w:eastAsia="zh-CN"/>
        </w:rPr>
        <w:t>杨飞</w:t>
      </w:r>
    </w:p>
    <w:p>
      <w:pPr>
        <w:jc w:val="both"/>
        <w:rPr>
          <w:rFonts w:hint="eastAsia" w:eastAsia="方正小标宋_GBK"/>
          <w:bCs/>
          <w:kern w:val="0"/>
          <w:sz w:val="36"/>
          <w:szCs w:val="36"/>
          <w:lang w:val="en-US" w:eastAsia="zh-CN"/>
        </w:rPr>
      </w:pPr>
    </w:p>
    <w:p>
      <w:pPr>
        <w:widowControl/>
        <w:jc w:val="left"/>
        <w:rPr>
          <w:rFonts w:hint="eastAsia" w:ascii="仿宋_GB2312" w:eastAsia="仿宋_GB2312"/>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2B054BC-65B1-4927-A917-070F2885D61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E724E793-93CE-426B-9134-F0A3F89E0EA5}"/>
  </w:font>
  <w:font w:name="方正小标宋_GBK">
    <w:panose1 w:val="03000509000000000000"/>
    <w:charset w:val="86"/>
    <w:family w:val="script"/>
    <w:pitch w:val="default"/>
    <w:sig w:usb0="00000001" w:usb1="080E0000" w:usb2="00000000" w:usb3="00000000" w:csb0="00040000" w:csb1="00000000"/>
    <w:embedRegular r:id="rId3" w:fontKey="{17267742-04F8-4700-BC38-6C31FB47E0AC}"/>
  </w:font>
  <w:font w:name="仿宋_GB2312">
    <w:panose1 w:val="02010609030101010101"/>
    <w:charset w:val="86"/>
    <w:family w:val="modern"/>
    <w:pitch w:val="default"/>
    <w:sig w:usb0="00000001" w:usb1="080E0000" w:usb2="00000000" w:usb3="00000000" w:csb0="00040000" w:csb1="00000000"/>
    <w:embedRegular r:id="rId4" w:fontKey="{ACE4B70F-9A9A-45C5-9876-CD7DB6E05F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 w:name="KSO_WPS_MARK_KEY" w:val="2b78e0ab-32f2-430a-b083-82221beb43c5"/>
  </w:docVars>
  <w:rsids>
    <w:rsidRoot w:val="677454E7"/>
    <w:rsid w:val="05D61488"/>
    <w:rsid w:val="07AD21BA"/>
    <w:rsid w:val="0C5677F5"/>
    <w:rsid w:val="131B7112"/>
    <w:rsid w:val="18552BC1"/>
    <w:rsid w:val="3A2B1971"/>
    <w:rsid w:val="46B954D4"/>
    <w:rsid w:val="47414E8B"/>
    <w:rsid w:val="4FBE74BD"/>
    <w:rsid w:val="51DE0808"/>
    <w:rsid w:val="552702BB"/>
    <w:rsid w:val="5FCE1B40"/>
    <w:rsid w:val="677454E7"/>
    <w:rsid w:val="684263FF"/>
    <w:rsid w:val="6F305646"/>
    <w:rsid w:val="7F2706F7"/>
    <w:rsid w:val="7FE50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autoRedefine/>
    <w:qFormat/>
    <w:uiPriority w:val="0"/>
    <w:rPr>
      <w:rFonts w:hint="eastAsia" w:ascii="宋体" w:hAnsi="宋体" w:eastAsia="宋体" w:cs="宋体"/>
      <w:color w:val="000000"/>
      <w:sz w:val="18"/>
      <w:szCs w:val="18"/>
      <w:u w:val="none"/>
    </w:rPr>
  </w:style>
  <w:style w:type="character" w:customStyle="1" w:styleId="5">
    <w:name w:val="font31"/>
    <w:basedOn w:val="3"/>
    <w:autoRedefine/>
    <w:qFormat/>
    <w:uiPriority w:val="0"/>
    <w:rPr>
      <w:rFonts w:hint="default" w:ascii="Times New Roman" w:hAnsi="Times New Roman" w:cs="Times New Roman"/>
      <w:color w:val="000000"/>
      <w:sz w:val="18"/>
      <w:szCs w:val="18"/>
      <w:u w:val="none"/>
    </w:rPr>
  </w:style>
  <w:style w:type="character" w:customStyle="1" w:styleId="6">
    <w:name w:val="font21"/>
    <w:basedOn w:val="3"/>
    <w:autoRedefine/>
    <w:qFormat/>
    <w:uiPriority w:val="0"/>
    <w:rPr>
      <w:rFonts w:hint="eastAsia" w:ascii="宋体" w:hAnsi="宋体" w:eastAsia="宋体" w:cs="宋体"/>
      <w:color w:val="000000"/>
      <w:sz w:val="18"/>
      <w:szCs w:val="18"/>
      <w:u w:val="none"/>
    </w:rPr>
  </w:style>
  <w:style w:type="paragraph" w:customStyle="1" w:styleId="7">
    <w:name w:val="Table Paragraph"/>
    <w:basedOn w:val="1"/>
    <w:autoRedefine/>
    <w:qFormat/>
    <w:uiPriority w:val="0"/>
    <w:rPr>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1793</Words>
  <Characters>1859</Characters>
  <Lines>0</Lines>
  <Paragraphs>0</Paragraphs>
  <TotalTime>27</TotalTime>
  <ScaleCrop>false</ScaleCrop>
  <LinksUpToDate>false</LinksUpToDate>
  <CharactersWithSpaces>1913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2021-03-11T08:58:00Z</dcterms:created>
  <dc:creator>Administrator</dc:creator>
  <cp:lastModifiedBy>空城旧梦</cp:lastModifiedBy>
  <dcterms:modified xsi:type="dcterms:W3CDTF">2024-04-23T03:47:07Z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235A9974A794492782EA4FE598F91BE1</vt:lpwstr>
  </property>
</Properties>
</file>