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lang w:eastAsia="zh-CN"/>
        </w:rPr>
        <w:t>临武县发展和改革</w:t>
      </w:r>
      <w:r>
        <w:rPr>
          <w:rFonts w:hint="eastAsia" w:asciiTheme="majorEastAsia" w:hAnsiTheme="majorEastAsia" w:eastAsiaTheme="majorEastAsia"/>
          <w:b/>
          <w:sz w:val="36"/>
          <w:szCs w:val="36"/>
        </w:rPr>
        <w:t>局</w:t>
      </w:r>
      <w:r>
        <w:rPr>
          <w:rFonts w:hint="eastAsia" w:asciiTheme="majorEastAsia" w:hAnsiTheme="majorEastAsia" w:eastAsiaTheme="majorEastAsia"/>
          <w:b/>
          <w:sz w:val="36"/>
          <w:szCs w:val="36"/>
          <w:lang w:eastAsia="zh-CN"/>
        </w:rPr>
        <w:t>202</w:t>
      </w:r>
      <w:r>
        <w:rPr>
          <w:rFonts w:hint="eastAsia" w:asciiTheme="majorEastAsia" w:hAnsiTheme="majorEastAsia" w:eastAsiaTheme="majorEastAsia"/>
          <w:b/>
          <w:sz w:val="36"/>
          <w:szCs w:val="36"/>
          <w:lang w:val="en-US" w:eastAsia="zh-CN"/>
        </w:rPr>
        <w:t>2</w:t>
      </w:r>
      <w:r>
        <w:rPr>
          <w:rFonts w:hint="eastAsia" w:asciiTheme="majorEastAsia" w:hAnsiTheme="majorEastAsia" w:eastAsiaTheme="majorEastAsia"/>
          <w:b/>
          <w:sz w:val="36"/>
          <w:szCs w:val="36"/>
        </w:rPr>
        <w:t>年度部门整体支出绩效</w:t>
      </w:r>
    </w:p>
    <w:p>
      <w:pPr>
        <w:jc w:val="center"/>
        <w:rPr>
          <w:rFonts w:hint="eastAsia" w:ascii="仿宋_GB2312" w:eastAsiaTheme="majorEastAsia"/>
          <w:sz w:val="32"/>
          <w:szCs w:val="32"/>
          <w:lang w:val="en-US" w:eastAsia="zh-CN"/>
        </w:rPr>
      </w:pPr>
      <w:r>
        <w:rPr>
          <w:rFonts w:hint="eastAsia" w:asciiTheme="majorEastAsia" w:hAnsiTheme="majorEastAsia" w:eastAsiaTheme="majorEastAsia"/>
          <w:b/>
          <w:sz w:val="36"/>
          <w:szCs w:val="36"/>
          <w:lang w:eastAsia="zh-CN"/>
        </w:rPr>
        <w:t>自评</w:t>
      </w:r>
      <w:r>
        <w:rPr>
          <w:rFonts w:hint="eastAsia" w:asciiTheme="majorEastAsia" w:hAnsiTheme="majorEastAsia" w:eastAsiaTheme="majorEastAsia"/>
          <w:b/>
          <w:sz w:val="36"/>
          <w:szCs w:val="36"/>
        </w:rPr>
        <w:t>报告</w:t>
      </w:r>
      <w:r>
        <w:rPr>
          <w:rFonts w:hint="eastAsia" w:asciiTheme="majorEastAsia" w:hAnsiTheme="majorEastAsia" w:eastAsiaTheme="majorEastAsia"/>
          <w:b/>
          <w:sz w:val="36"/>
          <w:szCs w:val="36"/>
          <w:lang w:eastAsia="zh-CN"/>
        </w:rPr>
        <w:t>及自评表</w:t>
      </w:r>
    </w:p>
    <w:p>
      <w:pPr>
        <w:ind w:firstLine="640" w:firstLineChars="200"/>
        <w:rPr>
          <w:rFonts w:ascii="仿宋_GB2312" w:eastAsia="仿宋_GB2312"/>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我单位特对202</w:t>
      </w:r>
      <w:r>
        <w:rPr>
          <w:rFonts w:hint="eastAsia" w:ascii="仿宋_GB2312" w:eastAsia="仿宋_GB2312"/>
          <w:sz w:val="32"/>
          <w:szCs w:val="32"/>
          <w:lang w:val="en-US" w:eastAsia="zh-CN"/>
        </w:rPr>
        <w:t>2</w:t>
      </w:r>
      <w:r>
        <w:rPr>
          <w:rFonts w:hint="eastAsia" w:ascii="仿宋_GB2312" w:eastAsia="仿宋_GB2312"/>
          <w:sz w:val="32"/>
          <w:szCs w:val="32"/>
        </w:rPr>
        <w:t>年度部门整体支出进行了绩效评价，现将有关情况报告如下：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eastAsia="仿宋_GB2312" w:cs="仿宋_GB2312"/>
          <w:sz w:val="32"/>
          <w:szCs w:val="32"/>
          <w:lang w:eastAsia="zh-CN"/>
        </w:rPr>
      </w:pPr>
      <w:r>
        <w:rPr>
          <w:rFonts w:hint="eastAsia" w:ascii="仿宋" w:hAnsi="仿宋" w:eastAsia="仿宋" w:cs="仿宋"/>
          <w:sz w:val="30"/>
          <w:szCs w:val="30"/>
          <w:shd w:val="clear" w:fill="FFFFFF"/>
        </w:rPr>
        <w:t>临武县发展和改革局设有</w:t>
      </w:r>
      <w:r>
        <w:rPr>
          <w:rFonts w:hint="eastAsia" w:ascii="仿宋" w:hAnsi="仿宋" w:eastAsia="仿宋" w:cs="仿宋"/>
          <w:sz w:val="30"/>
          <w:szCs w:val="30"/>
          <w:shd w:val="clear" w:fill="FFFFFF"/>
          <w:lang w:val="en-US" w:eastAsia="zh-CN"/>
        </w:rPr>
        <w:t>11</w:t>
      </w:r>
      <w:r>
        <w:rPr>
          <w:rFonts w:hint="eastAsia" w:ascii="仿宋" w:hAnsi="仿宋" w:eastAsia="仿宋" w:cs="仿宋"/>
          <w:sz w:val="30"/>
          <w:szCs w:val="30"/>
          <w:shd w:val="clear" w:fill="FFFFFF"/>
        </w:rPr>
        <w:t>个</w:t>
      </w:r>
      <w:r>
        <w:rPr>
          <w:rFonts w:hint="eastAsia" w:ascii="仿宋" w:hAnsi="仿宋" w:eastAsia="仿宋" w:cs="仿宋"/>
          <w:sz w:val="30"/>
          <w:szCs w:val="30"/>
          <w:shd w:val="clear" w:fill="FFFFFF"/>
          <w:lang w:val="en-US" w:eastAsia="zh-CN"/>
        </w:rPr>
        <w:t>内设</w:t>
      </w:r>
      <w:r>
        <w:rPr>
          <w:rFonts w:hint="eastAsia" w:ascii="仿宋" w:hAnsi="仿宋" w:eastAsia="仿宋" w:cs="仿宋"/>
          <w:sz w:val="30"/>
          <w:szCs w:val="30"/>
          <w:shd w:val="clear" w:fill="FFFFFF"/>
        </w:rPr>
        <w:t>机构，包括办公室、</w:t>
      </w:r>
      <w:r>
        <w:rPr>
          <w:rFonts w:hint="eastAsia" w:eastAsia="仿宋_GB2312" w:cs="仿宋_GB2312"/>
          <w:sz w:val="32"/>
          <w:szCs w:val="32"/>
        </w:rPr>
        <w:t>综合股（县国民经济动员办公室）</w:t>
      </w:r>
      <w:r>
        <w:rPr>
          <w:rFonts w:hint="eastAsia" w:ascii="仿宋" w:hAnsi="仿宋" w:eastAsia="仿宋" w:cs="仿宋"/>
          <w:sz w:val="30"/>
          <w:szCs w:val="30"/>
          <w:shd w:val="clear" w:fill="FFFFFF"/>
        </w:rPr>
        <w:t>、</w:t>
      </w:r>
      <w:r>
        <w:rPr>
          <w:rFonts w:hint="eastAsia" w:ascii="Times New Roman" w:hAnsi="Times New Roman" w:eastAsia="仿宋_GB2312" w:cs="仿宋_GB2312"/>
          <w:sz w:val="32"/>
          <w:szCs w:val="32"/>
        </w:rPr>
        <w:t>优化经济发展环境股（法规股、招投标办）</w:t>
      </w:r>
      <w:r>
        <w:rPr>
          <w:rFonts w:hint="eastAsia" w:ascii="仿宋" w:hAnsi="仿宋" w:eastAsia="仿宋" w:cs="仿宋"/>
          <w:sz w:val="30"/>
          <w:szCs w:val="30"/>
          <w:shd w:val="clear" w:fill="FFFFFF"/>
        </w:rPr>
        <w:t>、</w:t>
      </w:r>
      <w:r>
        <w:rPr>
          <w:rFonts w:hint="eastAsia" w:eastAsia="仿宋_GB2312" w:cs="仿宋_GB2312"/>
          <w:sz w:val="32"/>
          <w:szCs w:val="32"/>
        </w:rPr>
        <w:t>投资管理和评估督导股</w:t>
      </w:r>
      <w:r>
        <w:rPr>
          <w:rFonts w:hint="eastAsia" w:eastAsia="仿宋_GB2312" w:cs="仿宋_GB2312"/>
          <w:sz w:val="32"/>
          <w:szCs w:val="32"/>
          <w:lang w:eastAsia="zh-CN"/>
        </w:rPr>
        <w:t>、</w:t>
      </w:r>
      <w:r>
        <w:rPr>
          <w:rFonts w:hint="eastAsia" w:ascii="仿宋_GB2312" w:eastAsia="仿宋_GB2312"/>
          <w:sz w:val="32"/>
          <w:szCs w:val="32"/>
        </w:rPr>
        <w:t>行政审批股（互联网+监督）</w:t>
      </w:r>
      <w:r>
        <w:rPr>
          <w:rFonts w:hint="eastAsia" w:ascii="仿宋" w:hAnsi="仿宋" w:eastAsia="仿宋" w:cs="仿宋"/>
          <w:sz w:val="30"/>
          <w:szCs w:val="30"/>
          <w:shd w:val="clear" w:fill="FFFFFF"/>
        </w:rPr>
        <w:t>、</w:t>
      </w:r>
      <w:r>
        <w:rPr>
          <w:rFonts w:hint="eastAsia" w:eastAsia="仿宋_GB2312" w:cs="仿宋_GB2312"/>
          <w:sz w:val="32"/>
          <w:szCs w:val="32"/>
        </w:rPr>
        <w:t>农村经济股（易地搬迁、以工代赈办、指导粮食行业发展股）</w:t>
      </w:r>
      <w:r>
        <w:rPr>
          <w:rFonts w:hint="eastAsia" w:eastAsia="仿宋_GB2312" w:cs="仿宋_GB2312"/>
          <w:sz w:val="32"/>
          <w:szCs w:val="32"/>
          <w:lang w:eastAsia="zh-CN"/>
        </w:rPr>
        <w:t>、</w:t>
      </w:r>
      <w:r>
        <w:rPr>
          <w:rFonts w:hint="eastAsia" w:ascii="Times New Roman" w:hAnsi="Times New Roman" w:eastAsia="仿宋_GB2312" w:cs="Times New Roman"/>
          <w:spacing w:val="-4"/>
          <w:sz w:val="32"/>
          <w:szCs w:val="32"/>
        </w:rPr>
        <w:t>服务业和基础产业股（工业和高技术产业股）</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仿宋_GB2312"/>
          <w:sz w:val="32"/>
          <w:szCs w:val="32"/>
        </w:rPr>
        <w:t>社会发展和地区经济股</w:t>
      </w:r>
      <w:r>
        <w:rPr>
          <w:rFonts w:hint="eastAsia" w:ascii="Times New Roman" w:hAnsi="Times New Roman" w:eastAsia="仿宋_GB2312" w:cs="仿宋_GB2312"/>
          <w:sz w:val="32"/>
          <w:szCs w:val="32"/>
          <w:lang w:eastAsia="zh-CN"/>
        </w:rPr>
        <w:t>、</w:t>
      </w:r>
      <w:r>
        <w:rPr>
          <w:rFonts w:hint="eastAsia" w:eastAsia="仿宋_GB2312" w:cs="仿宋_GB2312"/>
          <w:sz w:val="32"/>
          <w:szCs w:val="32"/>
        </w:rPr>
        <w:t>资源环境股（能源股）</w:t>
      </w:r>
      <w:r>
        <w:rPr>
          <w:rFonts w:hint="eastAsia" w:eastAsia="仿宋_GB2312" w:cs="仿宋_GB2312"/>
          <w:sz w:val="32"/>
          <w:szCs w:val="32"/>
          <w:lang w:eastAsia="zh-CN"/>
        </w:rPr>
        <w:t>、</w:t>
      </w:r>
      <w:r>
        <w:rPr>
          <w:rFonts w:hint="eastAsia" w:eastAsia="仿宋_GB2312" w:cs="仿宋_GB2312"/>
          <w:sz w:val="32"/>
          <w:szCs w:val="32"/>
        </w:rPr>
        <w:t>物价和行政事业收费管理股</w:t>
      </w:r>
      <w:r>
        <w:rPr>
          <w:rFonts w:hint="eastAsia" w:eastAsia="仿宋_GB2312" w:cs="仿宋_GB2312"/>
          <w:sz w:val="32"/>
          <w:szCs w:val="32"/>
          <w:lang w:eastAsia="zh-CN"/>
        </w:rPr>
        <w:t>、</w:t>
      </w:r>
      <w:r>
        <w:rPr>
          <w:rFonts w:eastAsia="仿宋_GB2312" w:cs="仿宋_GB2312"/>
          <w:sz w:val="32"/>
          <w:szCs w:val="32"/>
        </w:rPr>
        <w:t>粮</w:t>
      </w:r>
      <w:r>
        <w:rPr>
          <w:rFonts w:hint="eastAsia" w:eastAsia="仿宋_GB2312" w:cs="仿宋_GB2312"/>
          <w:sz w:val="32"/>
          <w:szCs w:val="32"/>
        </w:rPr>
        <w:t>食和</w:t>
      </w:r>
      <w:r>
        <w:rPr>
          <w:rFonts w:eastAsia="仿宋_GB2312" w:cs="仿宋_GB2312"/>
          <w:sz w:val="32"/>
          <w:szCs w:val="32"/>
        </w:rPr>
        <w:t>物资储备</w:t>
      </w:r>
      <w:r>
        <w:rPr>
          <w:rFonts w:hint="eastAsia" w:eastAsia="仿宋_GB2312" w:cs="仿宋_GB2312"/>
          <w:sz w:val="32"/>
          <w:szCs w:val="32"/>
        </w:rPr>
        <w:t>管理股</w:t>
      </w:r>
      <w:r>
        <w:rPr>
          <w:rFonts w:hint="eastAsia" w:eastAsia="仿宋_GB2312" w:cs="仿宋_GB2312"/>
          <w:sz w:val="32"/>
          <w:szCs w:val="32"/>
          <w:lang w:eastAsia="zh-CN"/>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临武县发展和改革局现实有编制48个，其中行政编制12个，事业编制31个，自筹编制（财政未统发）5个。含临武县价格成本调查队的2个全拨编制和2个自筹（财政未统发）编制；临武县粮食和物资储备管理局3个自筹（财政未统发）编制。实有在职人数55人，其中行政编制26人，事业编制25人，自筹（财政未统发）编制5人。退休人员65人，临聘人员5人。</w:t>
      </w:r>
    </w:p>
    <w:p>
      <w:pPr>
        <w:numPr>
          <w:ilvl w:val="0"/>
          <w:numId w:val="1"/>
        </w:numPr>
        <w:ind w:firstLine="643" w:firstLineChars="200"/>
        <w:rPr>
          <w:rFonts w:hint="eastAsia" w:ascii="仿宋_GB2312" w:eastAsia="仿宋_GB2312"/>
          <w:b/>
          <w:sz w:val="32"/>
          <w:szCs w:val="32"/>
        </w:rPr>
      </w:pPr>
      <w:r>
        <w:rPr>
          <w:rFonts w:hint="eastAsia" w:ascii="仿宋_GB2312" w:eastAsia="仿宋_GB2312"/>
          <w:b/>
          <w:sz w:val="32"/>
          <w:szCs w:val="32"/>
        </w:rPr>
        <w:t>部门主要工作职责</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）拟订并组织实施全县国民经济和社会发展战略、中长</w:t>
      </w:r>
      <w:r>
        <w:rPr>
          <w:rFonts w:hint="eastAsia" w:ascii="仿宋" w:hAnsi="仿宋" w:eastAsia="仿宋" w:cs="仿宋"/>
          <w:spacing w:val="2"/>
          <w:sz w:val="30"/>
          <w:szCs w:val="30"/>
        </w:rPr>
        <w:t>期规划和年度计划，统筹协调相关总体规划、区域规划与专项规划；提出全县国民经济发展、价格总水平调控和优化重大经济结构的目标、政策，提出综合运用各种经济手段和政策的建议，受县政府委托向县人民代表大会提交国民经济和社会发展计划报告。</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研究分析全县宏观经济运行、总量平衡、经济安全和总体产业安全等重要问题并提出宏观调控政策建议，协调解决经济运行中的重大问题。组织开展重大战略规划、重大政策、重大工程等评估指导，提出相关调整建议。</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）汇</w:t>
      </w:r>
      <w:r>
        <w:rPr>
          <w:rFonts w:hint="eastAsia" w:ascii="仿宋" w:hAnsi="仿宋" w:eastAsia="仿宋" w:cs="仿宋"/>
          <w:spacing w:val="-6"/>
          <w:sz w:val="30"/>
          <w:szCs w:val="30"/>
        </w:rPr>
        <w:t>总社会资金总体运行情况，参与制定财政、金融、土地政策并综合分析政策执行效果。会同有关部门完善宏观调控协调机制，统筹推进产业、创业等投资基金的发展和制度建设。</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指导推进和综合协调全县经济体制改革，研究全县经济体制改革和对外开放重大问题，组织拟订综合性经济体制改革方案，协调有关专项改革方案。会同有关部门搞好专项改革之间的衔接。指导经济体制改革试点和改革试验区工作，组织推进“两型”社会建设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拟订全县固定资产投资总规模和投资结构的调控目标、政策及措施。负责中央、省、市财政性建设资金项目的申报。提出财政性建设资金和专项建设资金安排意见，指导和监督政策性贷款的使用方向。规划全县重大建设项目和生产力布局，按规定权限审批、核准、审核、备案跨地区、跨行业、跨领域和涉及综合平衡、重大布局的重大建设项目、外资项目、境外投资项目。研究提出全县利用外资和境外投资的战略、规划、总量平衡和结构优化的目标和政策。指导和监督国外贷款建设资金的使用，引导民间投资方向。研究提出县重点建设项目计划。</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组织拟订综合性产业政策，负责协调第一、二、三产业发展的重大问题并衔接平衡相关发展规划和重大政策，负责统筹交通运输体系发展规划与国民经济和社会发展规划的衔接平衡；协调农业和农村经济社会发展的重大问题。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贯彻落实国家中部崛起、长江经济带开发建设的政策措施。研究分析县域经济和城镇化发展情况，组织编制区域规划并协调实施。拟订促进老少边穷地区加快发展的战略、规划和重大政策，拟订并组织实施全县易地扶贫搬迁和以工代赈规划和计划。会同有关部门研究拟订全县城镇化发展战略和重大政策措施；制定开发区发展规划和政策。负责开发区设立、调区、扩区审核、申报以及发展情况调度、统计、考核等工作，协调开发区发展有关矛盾和问题。统筹协调区域合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）承担重要商品总量平衡和宏观调控，编制重要农产品、工业品和原材料进出口总量平衡计划并监督执行，根据经济运行情况对计划进行调整。</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负责社会发展与国民经济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10</w:t>
      </w:r>
      <w:r>
        <w:rPr>
          <w:rFonts w:hint="eastAsia" w:ascii="仿宋" w:hAnsi="仿宋" w:eastAsia="仿宋" w:cs="仿宋"/>
          <w:sz w:val="30"/>
          <w:szCs w:val="30"/>
        </w:rPr>
        <w:t>）研究分析经济社会与资源、环境协调发展的重大问题，研究提出能源消费总量控制目标的建议，牵头拟订能源消费总量控制工作方案并组织实施。负责节能降耗的综合协调工作，组织拟订发展循环经济、能源资源节约和综合利用规划、政策并协调实施。负责全县节能监察、考核的组织、指导、协</w:t>
      </w:r>
      <w:r>
        <w:rPr>
          <w:rFonts w:hint="eastAsia" w:ascii="仿宋" w:hAnsi="仿宋" w:eastAsia="仿宋" w:cs="仿宋"/>
          <w:spacing w:val="-6"/>
          <w:sz w:val="30"/>
          <w:szCs w:val="30"/>
        </w:rPr>
        <w:t>调。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w:t>
      </w:r>
    </w:p>
    <w:p>
      <w:pPr>
        <w:pStyle w:val="4"/>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11</w:t>
      </w:r>
      <w:r>
        <w:rPr>
          <w:rFonts w:hint="eastAsia" w:ascii="仿宋" w:hAnsi="仿宋" w:eastAsia="仿宋" w:cs="仿宋"/>
          <w:sz w:val="30"/>
          <w:szCs w:val="30"/>
        </w:rPr>
        <w:t>）拟订并组织实施全县能源发展战略、规划和政策，推进全县能源体制改革。组织拟订并实施煤炭、石油、天然气、电力、新能源和再生能源产业政策，组织实施相关产业（煤炭除外）标准，指导、协调农村能源发展。研究提出煤炭资源合理开发利用意见并指导实施，组织实施煤炭产业结构调整，统筹协调煤炭物流规划布局。会同有关部门负责全县煤矿生产能力监管的指导工作，协调有关部门推进煤气层开发、淘汰煤炭落后产能工作。承担能源预测预警和相关信息发布，负责全县石油、天然气储备管理和管道保护相关工作。组织、指导推进能源科技进步。拟订并监督实施电力普遍服务政策。</w:t>
      </w:r>
    </w:p>
    <w:p>
      <w:pPr>
        <w:pStyle w:val="4"/>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12</w:t>
      </w:r>
      <w:r>
        <w:rPr>
          <w:rFonts w:hint="eastAsia" w:ascii="仿宋" w:hAnsi="仿宋" w:eastAsia="仿宋" w:cs="仿宋"/>
          <w:sz w:val="30"/>
          <w:szCs w:val="30"/>
        </w:rPr>
        <w:t>）编制和执行全县价格改革规划，拟订并组织实施价格政策。监测、分析市场价格形势，组织实施价格总水平调控。管理国家、省市列名管理的商品和服务价格，监管实行市场调节价的商品和服务价格，承担行政事业性收费管理工作。组织实施价格调节基金政策，依法对重大自然灾害和特殊时期实施临时价格干预措施，负责价格公共服务工作。承担涉案物品价格鉴证管理工作。负责价格成本调查和监审工作。</w:t>
      </w:r>
    </w:p>
    <w:p>
      <w:pPr>
        <w:pStyle w:val="4"/>
        <w:spacing w:line="552" w:lineRule="exact"/>
        <w:ind w:firstLine="600" w:firstLineChars="200"/>
        <w:rPr>
          <w:rFonts w:hint="eastAsia" w:ascii="仿宋" w:hAnsi="仿宋" w:eastAsia="仿宋" w:cs="仿宋"/>
          <w:spacing w:val="-6"/>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13</w:t>
      </w:r>
      <w:r>
        <w:rPr>
          <w:rFonts w:hint="eastAsia" w:ascii="仿宋" w:hAnsi="仿宋" w:eastAsia="仿宋" w:cs="仿宋"/>
          <w:sz w:val="30"/>
          <w:szCs w:val="30"/>
        </w:rPr>
        <w:t>）</w:t>
      </w:r>
      <w:r>
        <w:rPr>
          <w:rFonts w:hint="eastAsia" w:ascii="仿宋" w:hAnsi="仿宋" w:eastAsia="仿宋" w:cs="仿宋"/>
          <w:spacing w:val="-6"/>
          <w:sz w:val="30"/>
          <w:szCs w:val="30"/>
        </w:rPr>
        <w:t>承担全县优化经济发展环境的职责，牵头落实国家和省、市有关鼓励市场主体投资、保护投资者权益、促进市场公平竞争、维护市场正常秩序的政务、法制、商务、信用等环境，优化重点项目建设环境，承担治理工程建设领域突出问题有关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14</w:t>
      </w:r>
      <w:r>
        <w:rPr>
          <w:rFonts w:hint="eastAsia" w:ascii="仿宋" w:hAnsi="仿宋" w:eastAsia="仿宋" w:cs="仿宋"/>
          <w:sz w:val="30"/>
          <w:szCs w:val="30"/>
        </w:rPr>
        <w:t>）</w:t>
      </w:r>
      <w:r>
        <w:rPr>
          <w:rFonts w:hint="eastAsia" w:ascii="仿宋" w:hAnsi="仿宋" w:eastAsia="仿宋" w:cs="仿宋"/>
          <w:spacing w:val="-6"/>
          <w:sz w:val="30"/>
          <w:szCs w:val="30"/>
        </w:rPr>
        <w:t>研究制定推进社会信用体系建设的规划、规范性文件、政策措施，统筹推进统一的信用信息平台建设，促进信用信息资源的整合与运用，协调社会信用体系建设的重大问题。</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15</w:t>
      </w:r>
      <w:r>
        <w:rPr>
          <w:rFonts w:hint="eastAsia" w:ascii="仿宋" w:hAnsi="仿宋" w:eastAsia="仿宋" w:cs="仿宋"/>
          <w:sz w:val="30"/>
          <w:szCs w:val="30"/>
        </w:rPr>
        <w:t>）研究拟订推进经济建设与国防建设协调发展的战略和规划，协调有关重大问题。组织编制全县国民经济动员和装备动员规划、计划，并组织实施有关工作。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16</w:t>
      </w:r>
      <w:r>
        <w:rPr>
          <w:rFonts w:hint="eastAsia" w:ascii="仿宋" w:hAnsi="仿宋" w:eastAsia="仿宋" w:cs="仿宋"/>
          <w:sz w:val="30"/>
          <w:szCs w:val="30"/>
        </w:rPr>
        <w:t>）指导、协调、管理、监督全县招投标工作。负责政府投资项目代建制实施的指导、协调和监督管理。指导工程咨询业发展。</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17</w:t>
      </w:r>
      <w:r>
        <w:rPr>
          <w:rFonts w:hint="eastAsia" w:ascii="仿宋" w:hAnsi="仿宋" w:eastAsia="仿宋" w:cs="仿宋"/>
          <w:sz w:val="30"/>
          <w:szCs w:val="30"/>
        </w:rPr>
        <w:t>）研究提出全县粮食宏观调控及粮食流通的中长期规划，拟订全县粮食市场体系建设与发展规划。拟订重要战略物资和</w:t>
      </w:r>
      <w:r>
        <w:rPr>
          <w:rFonts w:hint="eastAsia" w:ascii="仿宋" w:hAnsi="仿宋" w:eastAsia="仿宋" w:cs="仿宋"/>
          <w:sz w:val="30"/>
          <w:szCs w:val="30"/>
          <w:lang w:eastAsia="zh-CN"/>
        </w:rPr>
        <w:t>应急储备物资</w:t>
      </w:r>
      <w:r>
        <w:rPr>
          <w:rFonts w:hint="eastAsia" w:ascii="仿宋" w:hAnsi="仿宋" w:eastAsia="仿宋" w:cs="仿宋"/>
          <w:sz w:val="30"/>
          <w:szCs w:val="30"/>
        </w:rPr>
        <w:t>的储备规划，负责组织全县战略和</w:t>
      </w:r>
      <w:r>
        <w:rPr>
          <w:rFonts w:hint="eastAsia" w:ascii="仿宋" w:hAnsi="仿宋" w:eastAsia="仿宋" w:cs="仿宋"/>
          <w:sz w:val="30"/>
          <w:szCs w:val="30"/>
          <w:lang w:eastAsia="zh-CN"/>
        </w:rPr>
        <w:t>应急储备物资</w:t>
      </w:r>
      <w:r>
        <w:rPr>
          <w:rFonts w:hint="eastAsia" w:ascii="仿宋" w:hAnsi="仿宋" w:eastAsia="仿宋" w:cs="仿宋"/>
          <w:sz w:val="30"/>
          <w:szCs w:val="30"/>
        </w:rPr>
        <w:t>的收储、动用、轮换和管理，负责管理粮食、棉花、食糖等重要物资和商品的县级储备。负责地方粮食等物</w:t>
      </w:r>
      <w:r>
        <w:rPr>
          <w:rFonts w:hint="eastAsia" w:ascii="仿宋" w:hAnsi="仿宋" w:eastAsia="仿宋" w:cs="仿宋"/>
          <w:sz w:val="30"/>
          <w:szCs w:val="30"/>
          <w:lang w:eastAsia="zh-CN"/>
        </w:rPr>
        <w:t>资</w:t>
      </w:r>
      <w:r>
        <w:rPr>
          <w:rFonts w:hint="eastAsia" w:ascii="仿宋" w:hAnsi="仿宋" w:eastAsia="仿宋" w:cs="仿宋"/>
          <w:sz w:val="30"/>
          <w:szCs w:val="30"/>
        </w:rPr>
        <w:t>储备基础设施和管理，负责粮食流通、加工行业发展的指导和管理。研究拟订全县</w:t>
      </w:r>
      <w:r>
        <w:rPr>
          <w:rFonts w:hint="eastAsia" w:ascii="仿宋" w:hAnsi="仿宋" w:eastAsia="仿宋" w:cs="仿宋"/>
          <w:kern w:val="0"/>
          <w:sz w:val="30"/>
          <w:szCs w:val="30"/>
        </w:rPr>
        <w:t>粮食、</w:t>
      </w:r>
      <w:r>
        <w:rPr>
          <w:rFonts w:hint="eastAsia" w:ascii="仿宋" w:hAnsi="仿宋" w:eastAsia="仿宋" w:cs="仿宋"/>
          <w:sz w:val="30"/>
          <w:szCs w:val="30"/>
        </w:rPr>
        <w:t>重要消费品、救灾物资</w:t>
      </w:r>
      <w:r>
        <w:rPr>
          <w:rFonts w:hint="eastAsia" w:ascii="仿宋" w:hAnsi="仿宋" w:eastAsia="仿宋" w:cs="仿宋"/>
          <w:kern w:val="0"/>
          <w:sz w:val="30"/>
          <w:szCs w:val="30"/>
        </w:rPr>
        <w:t>储备管理</w:t>
      </w:r>
      <w:r>
        <w:rPr>
          <w:rFonts w:hint="eastAsia" w:ascii="仿宋" w:hAnsi="仿宋" w:eastAsia="仿宋" w:cs="仿宋"/>
          <w:sz w:val="30"/>
          <w:szCs w:val="30"/>
        </w:rPr>
        <w:t>的有关规章制度，协调解决有关重大问题。</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18</w:t>
      </w:r>
      <w:r>
        <w:rPr>
          <w:rFonts w:hint="eastAsia" w:ascii="仿宋" w:hAnsi="仿宋" w:eastAsia="仿宋" w:cs="仿宋"/>
          <w:sz w:val="30"/>
          <w:szCs w:val="30"/>
        </w:rPr>
        <w:t>）负责本行业领域安全生产监督管理和食品安全有关监督管理。</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19</w:t>
      </w:r>
      <w:r>
        <w:rPr>
          <w:rFonts w:hint="eastAsia" w:ascii="仿宋" w:hAnsi="仿宋" w:eastAsia="仿宋" w:cs="仿宋"/>
          <w:sz w:val="30"/>
          <w:szCs w:val="30"/>
        </w:rPr>
        <w:t>）完成县委、县政府交办的其他工作。</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20</w:t>
      </w:r>
      <w:r>
        <w:rPr>
          <w:rFonts w:hint="eastAsia" w:ascii="仿宋" w:hAnsi="仿宋" w:eastAsia="仿宋" w:cs="仿宋"/>
          <w:sz w:val="30"/>
          <w:szCs w:val="30"/>
        </w:rPr>
        <w:t>）职能转变</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1. 强化拟订全县重大发展战略、统一规划体系的职能，完善相关规划制度，做好规划统筹，精简规划数量，提高规划质量，更好发挥重大发展战略、规划导向作用。</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2. 完善宏观调控体系，创新调控方式，构建发展规划、财政、金融等政策协调和工作协同机制，强化经济监测预测预警能力，建立健全重大问题研究和政策储备工作机制，增强宏观调控前瞻性、针对性、协同性。</w:t>
      </w:r>
    </w:p>
    <w:p>
      <w:pPr>
        <w:spacing w:line="552" w:lineRule="exact"/>
        <w:ind w:firstLine="641"/>
        <w:rPr>
          <w:rFonts w:hint="eastAsia" w:ascii="仿宋" w:hAnsi="仿宋" w:eastAsia="仿宋" w:cs="仿宋"/>
          <w:b/>
          <w:bCs/>
          <w:sz w:val="30"/>
          <w:szCs w:val="30"/>
        </w:rPr>
      </w:pPr>
      <w:r>
        <w:rPr>
          <w:rFonts w:hint="eastAsia" w:ascii="仿宋" w:hAnsi="仿宋" w:eastAsia="仿宋" w:cs="仿宋"/>
          <w:sz w:val="30"/>
          <w:szCs w:val="30"/>
        </w:rPr>
        <w:t>3. 深</w:t>
      </w:r>
      <w:r>
        <w:rPr>
          <w:rFonts w:hint="eastAsia" w:ascii="仿宋" w:hAnsi="仿宋" w:eastAsia="仿宋" w:cs="仿宋"/>
          <w:spacing w:val="-6"/>
          <w:sz w:val="30"/>
          <w:szCs w:val="30"/>
        </w:rPr>
        <w:t>入推进简政放权，全面实施市场准入负面清单制度。深化投融资体制改革，最大限度减少项目审批、核准范围。深化价格改革，及时提出修订调减政府定价目录的建议，健全反映市场供求的定价机制。加快推进政府监管和公共信用信息共享。</w:t>
      </w:r>
    </w:p>
    <w:p>
      <w:pPr>
        <w:spacing w:line="552" w:lineRule="exact"/>
        <w:ind w:firstLine="641"/>
        <w:rPr>
          <w:rFonts w:hint="eastAsia" w:ascii="仿宋" w:hAnsi="仿宋" w:eastAsia="仿宋" w:cs="仿宋"/>
          <w:b w:val="0"/>
          <w:bCs w:val="0"/>
          <w:sz w:val="30"/>
          <w:szCs w:val="30"/>
        </w:rPr>
      </w:pP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）关于职责调整</w:t>
      </w:r>
    </w:p>
    <w:p>
      <w:pPr>
        <w:spacing w:line="552" w:lineRule="exact"/>
        <w:ind w:firstLine="641"/>
        <w:rPr>
          <w:rFonts w:hint="eastAsia" w:ascii="仿宋" w:hAnsi="仿宋" w:eastAsia="仿宋" w:cs="仿宋"/>
          <w:b w:val="0"/>
          <w:bCs w:val="0"/>
          <w:sz w:val="30"/>
          <w:szCs w:val="30"/>
        </w:rPr>
      </w:pPr>
      <w:r>
        <w:rPr>
          <w:rFonts w:hint="eastAsia" w:ascii="仿宋" w:hAnsi="仿宋" w:eastAsia="仿宋" w:cs="仿宋"/>
          <w:b w:val="0"/>
          <w:bCs w:val="0"/>
          <w:sz w:val="30"/>
          <w:szCs w:val="30"/>
        </w:rPr>
        <w:t>1. 划出的职能</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①将县发改局重大项目稽察职责划入县审计局。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②将县发改局价格监督检查与反垄断执法职责划入县市场监督管理局。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③将县发改局农业投资项目管理职责划入县农业农村局。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④将县发改局应对气候变化和减排职责划入郴州市生态环境局临武分局。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⑤将县发改局药品和医疗服务价格管理职责划入县医疗保障局。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⑥将县发改局组织编制并实施主体功能区规划职责划入县自然资源局。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2. 划入的职能</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①将原县农业局（县委农村工作办公室、县粮食局）的粮食管理职责划入县发改局。</w:t>
      </w:r>
    </w:p>
    <w:p>
      <w:pPr>
        <w:spacing w:line="552" w:lineRule="exact"/>
        <w:ind w:firstLine="641"/>
        <w:rPr>
          <w:rFonts w:hint="eastAsia" w:ascii="仿宋" w:hAnsi="仿宋" w:eastAsia="仿宋" w:cs="仿宋"/>
          <w:spacing w:val="-6"/>
          <w:sz w:val="30"/>
          <w:szCs w:val="30"/>
        </w:rPr>
      </w:pPr>
      <w:r>
        <w:rPr>
          <w:rFonts w:hint="eastAsia" w:ascii="仿宋" w:hAnsi="仿宋" w:eastAsia="仿宋" w:cs="仿宋"/>
          <w:sz w:val="30"/>
          <w:szCs w:val="30"/>
        </w:rPr>
        <w:t>②将</w:t>
      </w:r>
      <w:r>
        <w:rPr>
          <w:rFonts w:hint="eastAsia" w:ascii="仿宋" w:hAnsi="仿宋" w:eastAsia="仿宋" w:cs="仿宋"/>
          <w:spacing w:val="-6"/>
          <w:sz w:val="30"/>
          <w:szCs w:val="30"/>
        </w:rPr>
        <w:t>原县经济和科技商务局重要消费品储备、开发区相关管理和电力行政执法工作职责划入县发改局。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③将县民政局救灾物资储备职责划入县发改局。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④将原县直其他部门负责的物资储备相关管理职责划入县发改局。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22</w:t>
      </w:r>
      <w:r>
        <w:rPr>
          <w:rFonts w:hint="eastAsia" w:ascii="仿宋" w:hAnsi="仿宋" w:eastAsia="仿宋" w:cs="仿宋"/>
          <w:sz w:val="30"/>
          <w:szCs w:val="30"/>
        </w:rPr>
        <w:t>）有关职责分工</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①与县科技和工业信息化局（县商务局）有关职责分工。县发改局会同县科技和工业信息化局（县商务局）配合省市发改委、省市商务局协助国家有关部委承担外商投资安全审查相关工作。县发改局负责提出外商投资产业指导目录，并与县科技和工业信息化局（县商务局）联合发布。县发改局负责组织制订并实施开发区发展规划和政策措施；负责开发区设立、调区、扩区审核、申报以及发展情况调度、统计、考核等工作，协调开发区发展有关矛盾和问题。县科技和工业信息化局负责参与</w:t>
      </w:r>
      <w:r>
        <w:rPr>
          <w:rFonts w:hint="eastAsia" w:ascii="仿宋" w:hAnsi="仿宋" w:eastAsia="仿宋" w:cs="仿宋"/>
          <w:sz w:val="30"/>
          <w:szCs w:val="30"/>
          <w:lang w:eastAsia="zh-CN"/>
        </w:rPr>
        <w:t>制定</w:t>
      </w:r>
      <w:r>
        <w:rPr>
          <w:rFonts w:hint="eastAsia" w:ascii="仿宋" w:hAnsi="仿宋" w:eastAsia="仿宋" w:cs="仿宋"/>
          <w:sz w:val="30"/>
          <w:szCs w:val="30"/>
        </w:rPr>
        <w:t>并实施开发区发展规划和政策措施，指导和推进开发区相关产业合理布局、项目进园和集群发展。</w:t>
      </w:r>
    </w:p>
    <w:p>
      <w:pPr>
        <w:spacing w:line="552" w:lineRule="exact"/>
        <w:ind w:firstLine="641"/>
        <w:rPr>
          <w:rFonts w:hint="eastAsia" w:ascii="仿宋" w:hAnsi="仿宋" w:eastAsia="仿宋" w:cs="仿宋"/>
          <w:spacing w:val="-4"/>
          <w:sz w:val="30"/>
          <w:szCs w:val="30"/>
        </w:rPr>
      </w:pPr>
      <w:r>
        <w:rPr>
          <w:rFonts w:hint="eastAsia" w:ascii="仿宋" w:hAnsi="仿宋" w:eastAsia="仿宋" w:cs="仿宋"/>
          <w:sz w:val="30"/>
          <w:szCs w:val="30"/>
        </w:rPr>
        <w:t>②与县卫生健康局有关职责分工。县发改局负责组织监测和评估人口变动情况及趋势影响，建立人口预测预报制度，开展重</w:t>
      </w:r>
      <w:r>
        <w:rPr>
          <w:rFonts w:hint="eastAsia" w:ascii="仿宋" w:hAnsi="仿宋" w:eastAsia="仿宋" w:cs="仿宋"/>
          <w:spacing w:val="-4"/>
          <w:sz w:val="30"/>
          <w:szCs w:val="30"/>
        </w:rPr>
        <w:t>大决策人口影响评估，完善重大人口政策咨询机制，研究提出全县人口发展战略，拟订人口发展规划和人口政策，研究提出人口与经济、社会、资源、环境协调可持续发展，以及统筹促进人口长期均衡发展的政策建议。县卫生健康局负责开展人口监测预警工作，研究提出与生育相关的人口数量、素质、结构、分布方面的政策建议，促进生育政策和相关经济社会政策配套衔接，参与制订人口发展规划和政策，落实县人口发展规划中的有关任务。</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③与县应急管理局有关职责分工。县发改局根据县级救灾物资储备规划、品种目录和标准、年度购置计划，负责中央、省市级下达和县级救灾物资的收储、轮换和日常管理，根据县应急管理局的动用指令按程序组织调出。县应急管理局负责提出县级救灾物资的储备需求，负责按权限提出中央、省市级下达和县级救灾物资的动用决策，组织编制县级救灾物资储备规划、品种目录和标准，确定年度购置计划，根据需要下达动用指令。</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hint="eastAsia" w:ascii="仿宋_GB2312" w:eastAsia="仿宋_GB2312"/>
          <w:b/>
          <w:sz w:val="32"/>
          <w:szCs w:val="32"/>
        </w:rPr>
      </w:pPr>
      <w:r>
        <w:rPr>
          <w:rFonts w:hint="eastAsia" w:ascii="仿宋_GB2312" w:eastAsia="仿宋_GB2312"/>
          <w:b/>
          <w:sz w:val="32"/>
          <w:szCs w:val="32"/>
        </w:rPr>
        <w:t>（一） </w:t>
      </w:r>
      <w:r>
        <w:rPr>
          <w:rFonts w:hint="eastAsia" w:ascii="仿宋_GB2312" w:eastAsia="仿宋_GB2312"/>
          <w:b/>
          <w:sz w:val="32"/>
          <w:szCs w:val="32"/>
          <w:lang w:eastAsia="zh-CN"/>
        </w:rPr>
        <w:t>202</w:t>
      </w:r>
      <w:r>
        <w:rPr>
          <w:rFonts w:hint="eastAsia" w:ascii="仿宋_GB2312" w:eastAsia="仿宋_GB2312"/>
          <w:b/>
          <w:sz w:val="32"/>
          <w:szCs w:val="32"/>
          <w:lang w:val="en-US" w:eastAsia="zh-CN"/>
        </w:rPr>
        <w:t>2</w:t>
      </w:r>
      <w:r>
        <w:rPr>
          <w:rFonts w:hint="eastAsia" w:ascii="仿宋_GB2312" w:eastAsia="仿宋_GB2312"/>
          <w:b/>
          <w:sz w:val="32"/>
          <w:szCs w:val="32"/>
        </w:rPr>
        <w:t>年部门预算情况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年度收</w:t>
      </w:r>
      <w:r>
        <w:rPr>
          <w:rFonts w:hint="eastAsia" w:asciiTheme="minorEastAsia" w:hAnsiTheme="minorEastAsia" w:eastAsiaTheme="minorEastAsia"/>
          <w:sz w:val="32"/>
          <w:szCs w:val="32"/>
          <w:lang w:eastAsia="zh-CN"/>
        </w:rPr>
        <w:t>入</w:t>
      </w:r>
      <w:r>
        <w:rPr>
          <w:rFonts w:hint="eastAsia" w:asciiTheme="minorEastAsia" w:hAnsiTheme="minorEastAsia" w:eastAsiaTheme="minorEastAsia"/>
          <w:sz w:val="32"/>
          <w:szCs w:val="32"/>
          <w:lang w:val="en-US" w:eastAsia="zh-CN"/>
        </w:rPr>
        <w:t>1260.13万元，</w:t>
      </w:r>
      <w:r>
        <w:rPr>
          <w:rFonts w:hint="eastAsia" w:asciiTheme="minorEastAsia" w:hAnsiTheme="minorEastAsia" w:eastAsiaTheme="minorEastAsia"/>
          <w:sz w:val="32"/>
          <w:szCs w:val="32"/>
        </w:rPr>
        <w:t>支</w:t>
      </w:r>
      <w:r>
        <w:rPr>
          <w:rFonts w:hint="eastAsia" w:asciiTheme="minorEastAsia" w:hAnsiTheme="minorEastAsia" w:eastAsiaTheme="minorEastAsia"/>
          <w:sz w:val="32"/>
          <w:szCs w:val="32"/>
          <w:lang w:eastAsia="zh-CN"/>
        </w:rPr>
        <w:t>出</w:t>
      </w:r>
      <w:r>
        <w:rPr>
          <w:rFonts w:hint="eastAsia" w:asciiTheme="minorEastAsia" w:hAnsiTheme="minorEastAsia" w:eastAsiaTheme="minorEastAsia"/>
          <w:sz w:val="32"/>
          <w:szCs w:val="32"/>
          <w:lang w:val="en-US" w:eastAsia="zh-CN"/>
        </w:rPr>
        <w:t>1260.13万元。收入</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396.28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45.87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粮油购销公司的县级储备粮费用和利息预算入发改局；</w:t>
      </w:r>
      <w:r>
        <w:rPr>
          <w:rFonts w:hint="eastAsia" w:asciiTheme="minorEastAsia" w:hAnsiTheme="minorEastAsia" w:eastAsiaTheme="minorEastAsia"/>
          <w:sz w:val="32"/>
          <w:szCs w:val="32"/>
          <w:lang w:val="en-US" w:eastAsia="zh-CN"/>
        </w:rPr>
        <w:t>2020年度考核绩效奖和2021年度绩效奖均在2022年预算</w:t>
      </w:r>
      <w:r>
        <w:rPr>
          <w:rFonts w:hint="eastAsia" w:asciiTheme="minorEastAsia" w:hAnsiTheme="minorEastAsia" w:eastAsiaTheme="minorEastAsia"/>
          <w:sz w:val="32"/>
          <w:szCs w:val="32"/>
          <w:lang w:eastAsia="zh-CN"/>
        </w:rPr>
        <w:t>。支出与上年相比，增加</w:t>
      </w:r>
      <w:r>
        <w:rPr>
          <w:rFonts w:hint="eastAsia" w:asciiTheme="minorEastAsia" w:hAnsiTheme="minorEastAsia" w:eastAsiaTheme="minorEastAsia"/>
          <w:sz w:val="32"/>
          <w:szCs w:val="32"/>
          <w:lang w:val="en-US" w:eastAsia="zh-CN"/>
        </w:rPr>
        <w:t>396.28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45.87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，主要是</w:t>
      </w:r>
      <w:r>
        <w:rPr>
          <w:rFonts w:hint="eastAsia" w:asciiTheme="minorEastAsia" w:hAnsiTheme="minorEastAsia" w:eastAsiaTheme="minorEastAsia"/>
          <w:sz w:val="32"/>
          <w:szCs w:val="32"/>
          <w:lang w:eastAsia="zh-CN"/>
        </w:rPr>
        <w:t>粮油购销公司的县级储备粮费用和利息支出入发改局；</w:t>
      </w:r>
      <w:r>
        <w:rPr>
          <w:rFonts w:hint="eastAsia" w:asciiTheme="minorEastAsia" w:hAnsiTheme="minorEastAsia" w:eastAsiaTheme="minorEastAsia"/>
          <w:sz w:val="32"/>
          <w:szCs w:val="32"/>
          <w:lang w:val="en-US" w:eastAsia="zh-CN"/>
        </w:rPr>
        <w:t>2020年度考核绩效奖和2021年度绩效奖均在2022年支出</w:t>
      </w:r>
      <w:r>
        <w:rPr>
          <w:rFonts w:hint="eastAsia" w:asciiTheme="minorEastAsia" w:hAnsiTheme="minorEastAsia" w:eastAsiaTheme="minorEastAsia"/>
          <w:sz w:val="32"/>
          <w:szCs w:val="32"/>
          <w:lang w:eastAsia="zh-CN"/>
        </w:rPr>
        <w:t>。</w:t>
      </w:r>
    </w:p>
    <w:p>
      <w:pPr>
        <w:ind w:firstLine="643" w:firstLineChars="200"/>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2021</w:t>
      </w:r>
      <w:r>
        <w:rPr>
          <w:rFonts w:hint="eastAsia" w:ascii="仿宋_GB2312" w:eastAsia="仿宋_GB2312"/>
          <w:b/>
          <w:sz w:val="32"/>
          <w:szCs w:val="32"/>
        </w:rPr>
        <w:t>年度部门决算情况</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eastAsia="仿宋_GB2312" w:cs="仿宋_GB2312" w:asciiTheme="minorHAnsi" w:hAnsiTheme="minorHAnsi"/>
          <w:color w:val="auto"/>
          <w:kern w:val="2"/>
          <w:sz w:val="32"/>
          <w:szCs w:val="32"/>
          <w:lang w:val="en-US" w:eastAsia="zh-CN" w:bidi="ar-SA"/>
        </w:rPr>
        <w:t>1、全年收入情况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2022年度收入合计</w:t>
      </w:r>
      <w:r>
        <w:rPr>
          <w:rFonts w:hint="eastAsia" w:asciiTheme="minorEastAsia" w:hAnsiTheme="minorEastAsia" w:eastAsiaTheme="minorEastAsia"/>
          <w:sz w:val="32"/>
          <w:szCs w:val="32"/>
          <w:lang w:val="en-US" w:eastAsia="zh-CN"/>
        </w:rPr>
        <w:t>1260.13</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1260.13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eastAsia="仿宋_GB2312" w:cs="仿宋_GB2312" w:asciiTheme="minorHAnsi" w:hAnsiTheme="minorHAnsi"/>
          <w:color w:val="auto"/>
          <w:kern w:val="2"/>
          <w:sz w:val="32"/>
          <w:szCs w:val="32"/>
          <w:lang w:val="en-US" w:eastAsia="zh-CN" w:bidi="ar-SA"/>
        </w:rPr>
        <w:t>2、全年支出情况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2022年度支出合计</w:t>
      </w:r>
      <w:r>
        <w:rPr>
          <w:rFonts w:hint="eastAsia" w:asciiTheme="minorEastAsia" w:hAnsiTheme="minorEastAsia" w:eastAsiaTheme="minorEastAsia"/>
          <w:sz w:val="32"/>
          <w:szCs w:val="32"/>
          <w:lang w:val="en-US" w:eastAsia="zh-CN"/>
        </w:rPr>
        <w:t>1260.13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802.16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63.66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457.97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36.34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eastAsia="仿宋_GB2312" w:cs="仿宋_GB2312" w:asciiTheme="minorHAnsi" w:hAnsiTheme="minorHAnsi"/>
          <w:color w:val="auto"/>
          <w:kern w:val="2"/>
          <w:sz w:val="32"/>
          <w:szCs w:val="32"/>
          <w:lang w:val="en-US" w:eastAsia="zh-CN" w:bidi="ar-SA"/>
        </w:rPr>
        <w:t>3、结转结余情况</w:t>
      </w:r>
    </w:p>
    <w:p>
      <w:pPr>
        <w:spacing w:line="360" w:lineRule="auto"/>
        <w:ind w:firstLine="640"/>
        <w:rPr>
          <w:rFonts w:hint="default" w:eastAsia="仿宋_GB2312" w:cs="仿宋_GB2312" w:asciiTheme="minorHAnsi" w:hAnsiTheme="minorHAnsi"/>
          <w:color w:val="auto"/>
          <w:kern w:val="2"/>
          <w:sz w:val="32"/>
          <w:szCs w:val="32"/>
          <w:lang w:val="en-US" w:eastAsia="zh-CN" w:bidi="ar-SA"/>
        </w:rPr>
      </w:pPr>
      <w:r>
        <w:rPr>
          <w:rFonts w:hint="eastAsia" w:eastAsia="仿宋_GB2312" w:cs="仿宋_GB2312"/>
          <w:color w:val="auto"/>
          <w:kern w:val="2"/>
          <w:sz w:val="32"/>
          <w:szCs w:val="32"/>
          <w:lang w:val="en-US" w:eastAsia="zh-CN" w:bidi="ar-SA"/>
        </w:rPr>
        <w:t>2022</w:t>
      </w:r>
      <w:r>
        <w:rPr>
          <w:rFonts w:hint="eastAsia" w:eastAsia="仿宋_GB2312" w:cs="仿宋_GB2312" w:asciiTheme="minorHAnsi" w:hAnsiTheme="minorHAnsi"/>
          <w:color w:val="auto"/>
          <w:kern w:val="2"/>
          <w:sz w:val="32"/>
          <w:szCs w:val="32"/>
          <w:lang w:val="en-US" w:eastAsia="zh-CN" w:bidi="ar-SA"/>
        </w:rPr>
        <w:t>年，本单位</w:t>
      </w:r>
      <w:r>
        <w:rPr>
          <w:rFonts w:hint="eastAsia" w:eastAsia="仿宋_GB2312" w:cs="仿宋_GB2312"/>
          <w:color w:val="auto"/>
          <w:kern w:val="2"/>
          <w:sz w:val="32"/>
          <w:szCs w:val="32"/>
          <w:lang w:val="en-US" w:eastAsia="zh-CN" w:bidi="ar-SA"/>
        </w:rPr>
        <w:t>无年末资金结转和结余</w:t>
      </w:r>
      <w:r>
        <w:rPr>
          <w:rFonts w:hint="eastAsia" w:eastAsia="仿宋_GB2312" w:cs="仿宋_GB2312" w:asciiTheme="minorHAnsi" w:hAnsiTheme="minorHAnsi"/>
          <w:color w:val="auto"/>
          <w:kern w:val="2"/>
          <w:sz w:val="32"/>
          <w:szCs w:val="32"/>
          <w:lang w:val="zh-CN" w:eastAsia="zh-CN" w:bidi="ar-SA"/>
        </w:rPr>
        <w:t>。</w:t>
      </w:r>
    </w:p>
    <w:p>
      <w:pPr>
        <w:ind w:firstLine="643" w:firstLineChars="200"/>
        <w:rPr>
          <w:rFonts w:ascii="仿宋_GB2312" w:eastAsia="仿宋_GB2312"/>
          <w:b/>
          <w:sz w:val="32"/>
          <w:szCs w:val="32"/>
        </w:rPr>
      </w:pPr>
      <w:r>
        <w:rPr>
          <w:rFonts w:hint="eastAsia" w:ascii="仿宋_GB2312" w:eastAsia="仿宋_GB2312"/>
          <w:b/>
          <w:sz w:val="32"/>
          <w:szCs w:val="32"/>
        </w:rPr>
        <w:t>（三）“三公”经费管理情况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2022年度“三公”经费财政拨款支出预算为</w:t>
      </w:r>
      <w:r>
        <w:rPr>
          <w:rFonts w:hint="eastAsia" w:asciiTheme="minorEastAsia" w:hAnsiTheme="minorEastAsia" w:eastAsiaTheme="minorEastAsia"/>
          <w:sz w:val="32"/>
          <w:szCs w:val="32"/>
          <w:lang w:val="en-US" w:eastAsia="zh-CN"/>
        </w:rPr>
        <w:t>11.50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98.9</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0"/>
        <w:ind w:firstLine="800" w:firstLineChars="25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公务接待费支出</w:t>
      </w:r>
      <w:r>
        <w:rPr>
          <w:rFonts w:hint="eastAsia" w:asciiTheme="minorEastAsia" w:hAnsiTheme="minorEastAsia" w:eastAsiaTheme="minorEastAsia"/>
          <w:sz w:val="32"/>
          <w:szCs w:val="32"/>
          <w:lang w:eastAsia="zh-CN"/>
        </w:rPr>
        <w:t>年初预算为</w:t>
      </w:r>
      <w:r>
        <w:rPr>
          <w:rFonts w:hint="eastAsia" w:asciiTheme="minorEastAsia" w:hAnsiTheme="minorEastAsia" w:eastAsiaTheme="minorEastAsia"/>
          <w:sz w:val="32"/>
          <w:szCs w:val="32"/>
          <w:lang w:val="en-US" w:eastAsia="zh-CN"/>
        </w:rPr>
        <w:t>9.50万元，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2.33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24.53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w:t>
      </w:r>
      <w:r>
        <w:rPr>
          <w:rFonts w:hint="eastAsia" w:asciiTheme="minorEastAsia" w:hAnsiTheme="minorEastAsia" w:eastAsiaTheme="minorEastAsia"/>
          <w:sz w:val="32"/>
          <w:szCs w:val="32"/>
          <w:lang w:eastAsia="zh-CN"/>
        </w:rPr>
        <w:t>年初</w:t>
      </w:r>
      <w:r>
        <w:rPr>
          <w:rFonts w:hint="eastAsia" w:asciiTheme="minorEastAsia" w:hAnsiTheme="minorEastAsia" w:eastAsiaTheme="minorEastAsia"/>
          <w:sz w:val="32"/>
          <w:szCs w:val="32"/>
        </w:rPr>
        <w:t>预算数的主要原因</w:t>
      </w:r>
      <w:r>
        <w:rPr>
          <w:rFonts w:hint="eastAsia" w:asciiTheme="minorEastAsia" w:hAnsiTheme="minorEastAsia" w:eastAsiaTheme="minorEastAsia"/>
          <w:sz w:val="32"/>
          <w:szCs w:val="32"/>
          <w:lang w:eastAsia="zh-CN"/>
        </w:rPr>
        <w:t>局机关经费紧张，相当大部分的账务到</w:t>
      </w:r>
      <w:r>
        <w:rPr>
          <w:rFonts w:hint="eastAsia" w:asciiTheme="minorEastAsia" w:hAnsiTheme="minorEastAsia" w:eastAsiaTheme="minorEastAsia"/>
          <w:sz w:val="32"/>
          <w:szCs w:val="32"/>
          <w:lang w:val="en-US" w:eastAsia="zh-CN"/>
        </w:rPr>
        <w:t>2023年度才结。</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4.77</w:t>
      </w:r>
      <w:r>
        <w:rPr>
          <w:rFonts w:hint="eastAsia" w:asciiTheme="minorEastAsia" w:hAnsiTheme="minorEastAsia" w:eastAsiaTheme="minorEastAsia"/>
          <w:sz w:val="32"/>
          <w:szCs w:val="32"/>
        </w:rPr>
        <w:t>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2.44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51.15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rPr>
        <w:t>的主要原因是</w:t>
      </w:r>
      <w:r>
        <w:rPr>
          <w:rFonts w:hint="eastAsia" w:asciiTheme="minorEastAsia" w:hAnsiTheme="minorEastAsia" w:eastAsiaTheme="minorEastAsia"/>
          <w:sz w:val="32"/>
          <w:szCs w:val="32"/>
          <w:lang w:val="en-US" w:eastAsia="zh-CN"/>
        </w:rPr>
        <w:t>2022年度</w:t>
      </w:r>
      <w:r>
        <w:rPr>
          <w:rFonts w:hint="eastAsia" w:asciiTheme="minorEastAsia" w:hAnsiTheme="minorEastAsia" w:eastAsiaTheme="minorEastAsia"/>
          <w:sz w:val="32"/>
          <w:szCs w:val="32"/>
          <w:lang w:eastAsia="zh-CN"/>
        </w:rPr>
        <w:t>局机关经费紧张，相当大部分的账务到</w:t>
      </w:r>
      <w:r>
        <w:rPr>
          <w:rFonts w:hint="eastAsia" w:asciiTheme="minorEastAsia" w:hAnsiTheme="minorEastAsia" w:eastAsiaTheme="minorEastAsia"/>
          <w:sz w:val="32"/>
          <w:szCs w:val="32"/>
          <w:lang w:val="en-US" w:eastAsia="zh-CN"/>
        </w:rPr>
        <w:t>2023年度才结。</w:t>
      </w:r>
    </w:p>
    <w:p>
      <w:pPr>
        <w:pStyle w:val="10"/>
        <w:ind w:firstLine="640" w:firstLineChars="200"/>
        <w:rPr>
          <w:rFonts w:hint="default" w:ascii="仿宋" w:hAnsi="仿宋" w:eastAsia="仿宋" w:cs="仿宋"/>
          <w:color w:val="auto"/>
          <w:spacing w:val="-6"/>
          <w:kern w:val="2"/>
          <w:sz w:val="30"/>
          <w:szCs w:val="30"/>
          <w:lang w:val="en-US" w:eastAsia="zh-CN" w:bidi="ar-SA"/>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2.00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52.00</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0.26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20.00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rPr>
        <w:t>的主要原因是</w:t>
      </w:r>
      <w:r>
        <w:rPr>
          <w:rFonts w:hint="eastAsia" w:asciiTheme="minorEastAsia" w:hAnsiTheme="minorEastAsia" w:eastAsiaTheme="minorEastAsia"/>
          <w:sz w:val="32"/>
          <w:szCs w:val="32"/>
          <w:lang w:val="en-US" w:eastAsia="zh-CN"/>
        </w:rPr>
        <w:t>厉行节俭</w:t>
      </w:r>
      <w:r>
        <w:rPr>
          <w:rFonts w:hint="eastAsia" w:asciiTheme="minorEastAsia" w:hAnsiTheme="minorEastAsia" w:eastAsiaTheme="minorEastAsia"/>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仿宋_GB2312" w:eastAsia="仿宋_GB2312"/>
          <w:b/>
          <w:sz w:val="32"/>
          <w:szCs w:val="32"/>
        </w:rPr>
      </w:pPr>
      <w:r>
        <w:rPr>
          <w:rFonts w:hint="eastAsia" w:ascii="仿宋_GB2312" w:eastAsia="仿宋_GB2312"/>
          <w:b/>
          <w:sz w:val="32"/>
          <w:szCs w:val="32"/>
        </w:rPr>
        <w:t>（一）部门绩效总目标</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目标1：经济运行总体稳健</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目标2：各类资金争取有力</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 xml:space="preserve">目标3：重点项目推进有序 </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目标4：粮食安全落到实处</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目标5：保供稳价取得实效</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 xml:space="preserve">目标6：营商环境改善明显  </w:t>
      </w:r>
    </w:p>
    <w:p>
      <w:pPr>
        <w:widowControl/>
        <w:jc w:val="left"/>
        <w:rPr>
          <w:rFonts w:hint="default"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目标7：信用体系建设初见成效</w:t>
      </w:r>
    </w:p>
    <w:p>
      <w:pPr>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202</w:t>
      </w:r>
      <w:r>
        <w:rPr>
          <w:rFonts w:hint="eastAsia" w:ascii="仿宋_GB2312" w:eastAsia="仿宋_GB2312"/>
          <w:b/>
          <w:sz w:val="32"/>
          <w:szCs w:val="32"/>
          <w:lang w:val="en-US" w:eastAsia="zh-CN"/>
        </w:rPr>
        <w:t>2</w:t>
      </w:r>
      <w:r>
        <w:rPr>
          <w:rFonts w:hint="eastAsia" w:ascii="仿宋_GB2312" w:eastAsia="仿宋_GB2312"/>
          <w:b/>
          <w:sz w:val="32"/>
          <w:szCs w:val="32"/>
        </w:rPr>
        <w:t>年部门绩效目标</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1、2022年财政安排发改局专项业务经费53.00万元，用于完成价格认证、项目前期及项目编制、调度、实施监督及节能降耗、粮食收购、储备与安全专项工作、电力行政执法及优化经济发展等工作。</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2、2022年财政安排发改局产业活动专项经费10.00万元，主要完成重大重点项目建设及保障产业项目推进；</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3、2022年财政安排改制人员补贴资金5.00万元，主要用于粮食系统改制人员补贴经费支出；</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4、2022年财政安排县级储备粮储备费用和利息231.00万元，主要用于平抑市场、自然灾害。保障粮食安全，保障特殊时期人民群众的粮食供给。</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5、2022年财政安排临武县花塘粮库仓库建设项目100.00万元，主要用于备战、备荒、平抑市场、自然灾害，完成花塘粮库仓库建设。</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default" w:ascii="仿宋" w:hAnsi="仿宋" w:eastAsia="仿宋" w:cs="仿宋"/>
          <w:color w:val="auto"/>
          <w:spacing w:val="-6"/>
          <w:kern w:val="2"/>
          <w:sz w:val="30"/>
          <w:szCs w:val="30"/>
          <w:lang w:val="en-US" w:eastAsia="zh-CN" w:bidi="ar-SA"/>
        </w:rPr>
      </w:pP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临武县发展和改革局2022年的专项资金在使用过程中严格按照要求，实行专款专用，不挪用不占用；严格按照财政规定实行报账程序；积极的完成上级下达的指标，按时按量的完成任务。</w:t>
      </w:r>
    </w:p>
    <w:p>
      <w:pPr>
        <w:ind w:firstLine="640" w:firstLineChars="200"/>
        <w:rPr>
          <w:rFonts w:hint="eastAsia" w:ascii="黑体" w:hAnsi="黑体" w:eastAsia="黑体"/>
          <w:sz w:val="32"/>
          <w:szCs w:val="32"/>
          <w:lang w:eastAsia="zh-CN"/>
        </w:rPr>
      </w:pPr>
      <w:r>
        <w:rPr>
          <w:rFonts w:hint="eastAsia" w:ascii="黑体" w:hAnsi="黑体" w:eastAsia="黑体"/>
          <w:sz w:val="32"/>
          <w:szCs w:val="32"/>
        </w:rPr>
        <w:t>五、绩效评价指标分析情况</w:t>
      </w:r>
      <w:r>
        <w:rPr>
          <w:rFonts w:hint="eastAsia" w:ascii="黑体" w:hAnsi="黑体" w:eastAsia="黑体"/>
          <w:sz w:val="32"/>
          <w:szCs w:val="32"/>
          <w:lang w:eastAsia="zh-CN"/>
        </w:rPr>
        <w:t>及</w:t>
      </w:r>
      <w:r>
        <w:rPr>
          <w:rFonts w:hint="eastAsia" w:ascii="黑体" w:hAnsi="黑体" w:eastAsia="黑体"/>
          <w:sz w:val="32"/>
          <w:szCs w:val="32"/>
        </w:rPr>
        <w:t>综合评价情况</w:t>
      </w:r>
      <w:r>
        <w:rPr>
          <w:rFonts w:hint="eastAsia" w:ascii="黑体" w:hAnsi="黑体" w:eastAsia="黑体"/>
          <w:sz w:val="32"/>
          <w:szCs w:val="32"/>
          <w:lang w:eastAsia="zh-CN"/>
        </w:rPr>
        <w:t>和</w:t>
      </w:r>
      <w:r>
        <w:rPr>
          <w:rFonts w:hint="eastAsia" w:ascii="黑体" w:hAnsi="黑体" w:eastAsia="黑体"/>
          <w:sz w:val="32"/>
          <w:szCs w:val="32"/>
        </w:rPr>
        <w:t>评价结论</w:t>
      </w:r>
    </w:p>
    <w:p>
      <w:pPr>
        <w:spacing w:line="580" w:lineRule="exact"/>
        <w:ind w:firstLine="640" w:firstLineChars="200"/>
        <w:rPr>
          <w:rFonts w:eastAsia="仿宋_GB2312"/>
          <w:color w:val="000000"/>
          <w:sz w:val="32"/>
          <w:szCs w:val="32"/>
        </w:rPr>
      </w:pPr>
      <w:r>
        <w:rPr>
          <w:rFonts w:hint="eastAsia" w:eastAsia="仿宋_GB2312"/>
          <w:color w:val="000000"/>
          <w:sz w:val="32"/>
          <w:szCs w:val="32"/>
          <w:lang w:val="en-US" w:eastAsia="zh-CN"/>
        </w:rPr>
        <w:t>2022年</w:t>
      </w:r>
      <w:r>
        <w:rPr>
          <w:rFonts w:eastAsia="仿宋_GB2312"/>
          <w:color w:val="000000"/>
          <w:sz w:val="32"/>
          <w:szCs w:val="32"/>
        </w:rPr>
        <w:t>主要经济指标固定资产投资完成194.6亿元，增幅13.5%，全市排名第三；十大重点工作中的项目大会战跻身全市前三，拟获二等奖；优化营商环境工作综合</w:t>
      </w:r>
      <w:r>
        <w:rPr>
          <w:rFonts w:hint="eastAsia" w:eastAsia="仿宋_GB2312"/>
          <w:color w:val="000000"/>
          <w:sz w:val="32"/>
          <w:szCs w:val="32"/>
        </w:rPr>
        <w:t>考</w:t>
      </w:r>
      <w:r>
        <w:rPr>
          <w:rFonts w:eastAsia="仿宋_GB2312"/>
          <w:color w:val="000000"/>
          <w:sz w:val="32"/>
          <w:szCs w:val="32"/>
        </w:rPr>
        <w:t>评全市第三，发改综合工作拟</w:t>
      </w:r>
      <w:r>
        <w:rPr>
          <w:rFonts w:hint="eastAsia" w:eastAsia="仿宋_GB2312"/>
          <w:color w:val="000000"/>
          <w:sz w:val="32"/>
          <w:szCs w:val="32"/>
        </w:rPr>
        <w:t>获</w:t>
      </w:r>
      <w:r>
        <w:rPr>
          <w:rFonts w:eastAsia="仿宋_GB2312"/>
          <w:color w:val="000000"/>
          <w:sz w:val="32"/>
          <w:szCs w:val="32"/>
        </w:rPr>
        <w:t>全市先进集体。</w:t>
      </w:r>
    </w:p>
    <w:p>
      <w:pPr>
        <w:spacing w:line="580" w:lineRule="exact"/>
        <w:ind w:firstLine="640" w:firstLineChars="200"/>
        <w:rPr>
          <w:rFonts w:eastAsia="仿宋_GB2312"/>
          <w:color w:val="000000"/>
          <w:sz w:val="32"/>
          <w:szCs w:val="32"/>
        </w:rPr>
      </w:pPr>
      <w:r>
        <w:rPr>
          <w:rFonts w:hint="eastAsia" w:eastAsia="仿宋_GB2312"/>
          <w:color w:val="000000"/>
          <w:sz w:val="32"/>
          <w:szCs w:val="32"/>
          <w:lang w:eastAsia="zh-CN"/>
        </w:rPr>
        <w:t>具体工作</w:t>
      </w:r>
      <w:r>
        <w:rPr>
          <w:rFonts w:eastAsia="仿宋_GB2312"/>
          <w:color w:val="000000"/>
          <w:sz w:val="32"/>
          <w:szCs w:val="32"/>
        </w:rPr>
        <w:t>主要表现在以下五个方面：</w:t>
      </w:r>
      <w:r>
        <w:rPr>
          <w:rFonts w:eastAsia="楷体_GB2312"/>
          <w:b/>
          <w:color w:val="000000"/>
          <w:sz w:val="32"/>
          <w:szCs w:val="32"/>
        </w:rPr>
        <w:t>一是抓大势，政策研判有质量。</w:t>
      </w:r>
      <w:r>
        <w:rPr>
          <w:rFonts w:eastAsia="仿宋_GB2312"/>
          <w:color w:val="000000"/>
          <w:sz w:val="32"/>
          <w:szCs w:val="32"/>
          <w:shd w:val="clear" w:color="auto" w:fill="FFFFFF"/>
        </w:rPr>
        <w:t>强化经济运行监测分析，密切关注宏观政策动态，科学研判经济形势，统筹疫情防控和经济社会发展，针对滞后指标及时采取应对措施，努力确保主要经济指标完成全年目标。深入贯彻落实国省市稳经济一揽子政策，精准对接相关政策，研究出台《临武县稳定经济一揽子措施实施方案》，启动了</w:t>
      </w:r>
      <w:r>
        <w:rPr>
          <w:rFonts w:eastAsia="仿宋_GB2312"/>
          <w:color w:val="000000"/>
          <w:sz w:val="32"/>
          <w:szCs w:val="32"/>
        </w:rPr>
        <w:t>《临武县</w:t>
      </w:r>
      <w:r>
        <w:rPr>
          <w:rStyle w:val="9"/>
          <w:rFonts w:eastAsia="仿宋_GB2312"/>
          <w:b w:val="0"/>
          <w:bCs w:val="0"/>
          <w:color w:val="000000"/>
          <w:sz w:val="32"/>
          <w:szCs w:val="32"/>
        </w:rPr>
        <w:t>“一县一策”加快推进以县城为重要载体的城镇化建设</w:t>
      </w:r>
      <w:r>
        <w:rPr>
          <w:rFonts w:eastAsia="仿宋_GB2312"/>
          <w:color w:val="000000"/>
          <w:sz w:val="32"/>
          <w:szCs w:val="32"/>
        </w:rPr>
        <w:t>实施方案》和《临武县碳达峰碳中和方案》编制工作</w:t>
      </w:r>
      <w:r>
        <w:rPr>
          <w:rFonts w:eastAsia="仿宋_GB2312"/>
          <w:bCs/>
          <w:color w:val="000000"/>
          <w:sz w:val="32"/>
          <w:szCs w:val="32"/>
        </w:rPr>
        <w:t>。</w:t>
      </w:r>
      <w:r>
        <w:rPr>
          <w:rFonts w:eastAsia="楷体_GB2312"/>
          <w:b/>
          <w:bCs/>
          <w:color w:val="000000"/>
          <w:sz w:val="32"/>
          <w:szCs w:val="32"/>
        </w:rPr>
        <w:t>二是抓争资，联合作战有成效。</w:t>
      </w:r>
      <w:r>
        <w:rPr>
          <w:rFonts w:eastAsia="仿宋_GB2312"/>
          <w:bCs/>
          <w:color w:val="000000"/>
          <w:sz w:val="32"/>
          <w:szCs w:val="32"/>
        </w:rPr>
        <w:t>全县上下围绕争资金、争政策、争项目开展超强度超节点联合作战，</w:t>
      </w:r>
      <w:r>
        <w:rPr>
          <w:rFonts w:eastAsia="仿宋_GB2312"/>
          <w:snapToGrid w:val="0"/>
          <w:kern w:val="0"/>
          <w:sz w:val="32"/>
          <w:szCs w:val="32"/>
        </w:rPr>
        <w:t>截至12月30日，全县共争取到位各类上级补助收入260807万元（含债券资金5.13亿元），同比去年同期累计到位增加31296万元，同比增幅13.6%，占全年计划任务数251799万元的103.57%。</w:t>
      </w:r>
      <w:r>
        <w:rPr>
          <w:rFonts w:eastAsia="仿宋_GB2312"/>
          <w:bCs/>
          <w:kern w:val="0"/>
          <w:sz w:val="32"/>
          <w:szCs w:val="32"/>
        </w:rPr>
        <w:t>全县共储备2023年中央预算内项目43个，占计划148.3%；储备2023年专项债券19个，占计划105%。</w:t>
      </w:r>
      <w:r>
        <w:rPr>
          <w:rFonts w:eastAsia="仿宋_GB2312"/>
          <w:color w:val="000000"/>
          <w:sz w:val="32"/>
          <w:szCs w:val="32"/>
        </w:rPr>
        <w:t>其中湖南西瑶绿谷国家森林公园创4A级景区基础设施提质项目等5个项目被纳入2022—2023年旅发大会项目库。</w:t>
      </w:r>
      <w:r>
        <w:rPr>
          <w:rFonts w:eastAsia="仿宋_GB2312"/>
          <w:bCs/>
          <w:kern w:val="0"/>
          <w:sz w:val="32"/>
          <w:szCs w:val="32"/>
        </w:rPr>
        <w:t>其中莽山水库城乡供水一体化工程（临武）建设项目、临武工业园城乡综合物流集散中心建设项目、临武承接产业转移示范园标准厂房及配套基础设施建设项目（一期）等一批县领导关注的项目纳入了中省预算内或地方专项债省级库储备。</w:t>
      </w:r>
      <w:r>
        <w:rPr>
          <w:rFonts w:eastAsia="楷体_GB2312"/>
          <w:b/>
          <w:color w:val="000000"/>
          <w:sz w:val="32"/>
          <w:szCs w:val="32"/>
        </w:rPr>
        <w:t>三是抓投资，项目推进有力度。</w:t>
      </w:r>
      <w:r>
        <w:rPr>
          <w:rFonts w:eastAsia="仿宋_GB2312"/>
          <w:color w:val="000000"/>
          <w:sz w:val="32"/>
          <w:szCs w:val="32"/>
        </w:rPr>
        <w:t>全力开展项目大会战，全面落实项目服务专员制度，率先在全市提出“蜗牛”项目管理理念，</w:t>
      </w:r>
      <w:r>
        <w:rPr>
          <w:rFonts w:eastAsia="仿宋"/>
          <w:sz w:val="32"/>
          <w:szCs w:val="32"/>
        </w:rPr>
        <w:t>与省市同步举行重大项目集中开（竣）工活动3次，开展全县性重点项目集中观摩活动和推进大会各1次。1—11月，我县重点项目建设继续保持了良好的发展态势，</w:t>
      </w:r>
      <w:r>
        <w:rPr>
          <w:rFonts w:eastAsia="仿宋_GB2312"/>
          <w:sz w:val="32"/>
          <w:szCs w:val="32"/>
        </w:rPr>
        <w:t>73个已开工（含续建）县本级重点项目完成投资113.84亿元，</w:t>
      </w:r>
      <w:r>
        <w:rPr>
          <w:rFonts w:eastAsia="仿宋"/>
          <w:sz w:val="32"/>
          <w:szCs w:val="32"/>
        </w:rPr>
        <w:t>占年计划投资102.18亿元的111.41%，超时序进度11.41个百分点；11个市级重点建设项目累计完成投资73.13亿元，占调整后年计划投资52.47亿元的139.38%，累计投资在全市排名前5位，投资进度排名前5位。项目建设拉动投资增长，1-11月份，全县固定资产投资完成平台联网报数181.07亿元，增幅12.2%，预计全年排名前3位。</w:t>
      </w:r>
      <w:r>
        <w:rPr>
          <w:rFonts w:eastAsia="楷体_GB2312"/>
          <w:b/>
          <w:color w:val="000000"/>
          <w:sz w:val="32"/>
          <w:szCs w:val="32"/>
        </w:rPr>
        <w:t>四是抓软环境，营商环境有提升。</w:t>
      </w:r>
      <w:r>
        <w:rPr>
          <w:rFonts w:eastAsia="仿宋_GB2312"/>
          <w:color w:val="000000"/>
          <w:kern w:val="0"/>
          <w:sz w:val="32"/>
          <w:szCs w:val="32"/>
        </w:rPr>
        <w:t>着力破解营商环境痛点、难点、堵点问题，全力打造“办事不求人、高效便捷、暖心顺心”的一流营商环境。全面推进“放管服”和“一件事一次办”改革工作，高效推进政务管理服务体系建设，新建和改扩建212个政务服务平台，统一制作办事指南，动态管理权力清单和责任清单，实现行政审批“只进一个门、只找一个人、只盖一个章”的全程优质“亲妈式”服务。“双随机、一公开”监管工作，工程建设项目招投标突出问题专项整治，“国家社会信用体系建设示范城市” 创建，“信易贷”等工作顺利推进。</w:t>
      </w:r>
      <w:r>
        <w:rPr>
          <w:rFonts w:eastAsia="楷体_GB2312"/>
          <w:b/>
          <w:color w:val="000000"/>
          <w:sz w:val="32"/>
          <w:szCs w:val="32"/>
        </w:rPr>
        <w:t>五是抓民生</w:t>
      </w:r>
      <w:r>
        <w:rPr>
          <w:rFonts w:eastAsia="仿宋_GB2312"/>
          <w:color w:val="000000"/>
          <w:sz w:val="32"/>
          <w:szCs w:val="32"/>
        </w:rPr>
        <w:t>，</w:t>
      </w:r>
      <w:r>
        <w:rPr>
          <w:rFonts w:eastAsia="楷体_GB2312"/>
          <w:b/>
          <w:color w:val="000000"/>
          <w:sz w:val="32"/>
          <w:szCs w:val="32"/>
        </w:rPr>
        <w:t>保障工作有进步。</w:t>
      </w:r>
      <w:r>
        <w:rPr>
          <w:rFonts w:eastAsia="楷体_GB2312"/>
          <w:color w:val="000000"/>
          <w:sz w:val="32"/>
          <w:szCs w:val="32"/>
        </w:rPr>
        <w:t>保障粮食安全方面。</w:t>
      </w:r>
      <w:r>
        <w:rPr>
          <w:rFonts w:eastAsia="仿宋_GB2312"/>
          <w:color w:val="000000"/>
          <w:sz w:val="32"/>
          <w:szCs w:val="32"/>
        </w:rPr>
        <w:t>全面落实粮食安全党政同责，完成了地方储备粮5000吨原粮和500吨成品粮储备任务。扎实推进应急大米加工厂建设，现已完成了初步设计和旧库拆除的报备工作，并与湖南中福农业科技有限公司签订了大米加工合作意向协议。</w:t>
      </w:r>
      <w:r>
        <w:rPr>
          <w:rFonts w:eastAsia="楷体_GB2312"/>
          <w:color w:val="000000"/>
          <w:sz w:val="32"/>
          <w:szCs w:val="32"/>
        </w:rPr>
        <w:t>保障能源安全方面。</w:t>
      </w:r>
      <w:r>
        <w:rPr>
          <w:rFonts w:eastAsia="仿宋_GB2312"/>
          <w:color w:val="000000"/>
          <w:sz w:val="32"/>
          <w:szCs w:val="32"/>
        </w:rPr>
        <w:t>与三一重能股份有限公司签订了临武县月牙湾风电场项目（方元二期）投资开发协议，现正在办理土地预审手续；与湖南龙源风力发电有限公司签订光伏项目合作开发协议；</w:t>
      </w:r>
      <w:r>
        <w:rPr>
          <w:rFonts w:eastAsia="仿宋_GB2312"/>
          <w:sz w:val="32"/>
          <w:szCs w:val="32"/>
        </w:rPr>
        <w:t>新增户用光伏61个，装机容量合计为2671.96KW；</w:t>
      </w:r>
      <w:r>
        <w:rPr>
          <w:rFonts w:eastAsia="仿宋_GB2312"/>
          <w:snapToGrid w:val="0"/>
          <w:color w:val="000000"/>
          <w:sz w:val="32"/>
          <w:szCs w:val="32"/>
        </w:rPr>
        <w:t>“桂阳—临武”输气管道工程全面进入扫尾阶段，预计11月底达到通气条件。</w:t>
      </w:r>
      <w:r>
        <w:rPr>
          <w:rFonts w:eastAsia="楷体_GB2312"/>
          <w:color w:val="000000"/>
          <w:sz w:val="32"/>
          <w:szCs w:val="32"/>
        </w:rPr>
        <w:t>保障物价水平稳定方面。</w:t>
      </w:r>
      <w:r>
        <w:rPr>
          <w:rFonts w:eastAsia="仿宋_GB2312"/>
          <w:color w:val="000000"/>
          <w:sz w:val="32"/>
          <w:szCs w:val="32"/>
        </w:rPr>
        <w:t>强化价格监测预警、市场商品监测和价格巡查等措施，积极做好重要民生商品保供稳价工作，及时落实</w:t>
      </w:r>
      <w:r>
        <w:rPr>
          <w:rFonts w:eastAsia="仿宋_GB2312"/>
          <w:color w:val="000000"/>
          <w:sz w:val="32"/>
          <w:szCs w:val="32"/>
          <w:shd w:val="clear" w:color="auto" w:fill="FFFFFF"/>
        </w:rPr>
        <w:t>价格补贴联动机制要求，确保价格临时补贴顺利发放到位</w:t>
      </w:r>
      <w:r>
        <w:rPr>
          <w:rFonts w:eastAsia="仿宋_GB2312"/>
          <w:color w:val="000000"/>
          <w:sz w:val="32"/>
          <w:szCs w:val="32"/>
        </w:rPr>
        <w:t>。</w:t>
      </w:r>
      <w:r>
        <w:rPr>
          <w:rFonts w:eastAsia="楷体_GB2312"/>
          <w:color w:val="000000"/>
          <w:sz w:val="32"/>
          <w:szCs w:val="32"/>
        </w:rPr>
        <w:t>保障搬迁家庭</w:t>
      </w:r>
      <w:r>
        <w:rPr>
          <w:rFonts w:eastAsia="楷体_GB2312"/>
          <w:bCs/>
          <w:color w:val="000000"/>
          <w:sz w:val="32"/>
          <w:szCs w:val="32"/>
        </w:rPr>
        <w:t>稳定增收方面</w:t>
      </w:r>
      <w:r>
        <w:rPr>
          <w:rFonts w:eastAsia="楷体_GB2312"/>
          <w:color w:val="000000"/>
          <w:sz w:val="32"/>
          <w:szCs w:val="32"/>
        </w:rPr>
        <w:t>。</w:t>
      </w:r>
      <w:r>
        <w:rPr>
          <w:rFonts w:eastAsia="仿宋_GB2312"/>
          <w:color w:val="000000"/>
          <w:sz w:val="32"/>
          <w:szCs w:val="32"/>
        </w:rPr>
        <w:t>落实易地扶贫搬迁群众教育、医疗、就业、住房安全、饮水安全、兜底保障等方面政策，做好</w:t>
      </w:r>
      <w:r>
        <w:rPr>
          <w:rFonts w:hint="eastAsia" w:eastAsia="仿宋_GB2312"/>
          <w:color w:val="000000"/>
          <w:sz w:val="32"/>
          <w:szCs w:val="32"/>
          <w:lang w:eastAsia="zh-CN"/>
        </w:rPr>
        <w:t>巩固拓展脱贫攻坚成果同乡村振兴有效衔接</w:t>
      </w:r>
      <w:r>
        <w:rPr>
          <w:rFonts w:eastAsia="仿宋_GB2312"/>
          <w:color w:val="000000"/>
          <w:sz w:val="32"/>
          <w:szCs w:val="32"/>
        </w:rPr>
        <w:t>。</w:t>
      </w:r>
      <w:r>
        <w:rPr>
          <w:rFonts w:eastAsia="仿宋_GB2312"/>
          <w:bCs/>
          <w:color w:val="000000"/>
          <w:sz w:val="32"/>
          <w:szCs w:val="32"/>
        </w:rPr>
        <w:t>强化后续产业帮扶，</w:t>
      </w:r>
      <w:r>
        <w:rPr>
          <w:rFonts w:eastAsia="仿宋_GB2312"/>
          <w:color w:val="000000"/>
          <w:sz w:val="32"/>
          <w:szCs w:val="32"/>
        </w:rPr>
        <w:t>一次性安排185万元易地扶贫搬迁群众后续产业帮扶资金</w:t>
      </w:r>
      <w:r>
        <w:rPr>
          <w:rFonts w:eastAsia="仿宋_GB2312"/>
          <w:bCs/>
          <w:color w:val="000000"/>
          <w:sz w:val="32"/>
          <w:szCs w:val="32"/>
        </w:rPr>
        <w:t>强化安置点后续管理，</w:t>
      </w:r>
      <w:r>
        <w:rPr>
          <w:rFonts w:eastAsia="仿宋_GB2312"/>
          <w:color w:val="000000"/>
          <w:sz w:val="32"/>
          <w:szCs w:val="32"/>
        </w:rPr>
        <w:t>加强基层组织建设，全面完成安置住房不动产登记工作，落实“三个三”管理服务机制，深入推进自治、法治、德治“三治融合”，</w:t>
      </w:r>
      <w:r>
        <w:rPr>
          <w:rFonts w:eastAsia="仿宋_GB2312"/>
          <w:bCs/>
          <w:color w:val="000000"/>
          <w:sz w:val="32"/>
          <w:szCs w:val="32"/>
        </w:rPr>
        <w:t>搬迁群众幸福指数不断提升。</w:t>
      </w:r>
    </w:p>
    <w:p>
      <w:pPr>
        <w:ind w:firstLine="640" w:firstLineChars="200"/>
        <w:rPr>
          <w:rFonts w:ascii="黑体" w:hAnsi="黑体" w:eastAsia="黑体"/>
          <w:bCs/>
          <w:sz w:val="32"/>
          <w:szCs w:val="32"/>
        </w:rPr>
      </w:pPr>
      <w:r>
        <w:rPr>
          <w:rFonts w:hint="eastAsia" w:ascii="黑体" w:hAnsi="黑体" w:eastAsia="黑体"/>
          <w:sz w:val="32"/>
          <w:szCs w:val="32"/>
        </w:rPr>
        <w:t>六、</w:t>
      </w:r>
      <w:r>
        <w:rPr>
          <w:rFonts w:hint="eastAsia" w:ascii="黑体" w:hAnsi="黑体" w:eastAsia="黑体"/>
          <w:bCs/>
          <w:sz w:val="32"/>
          <w:szCs w:val="32"/>
        </w:rPr>
        <w:t>存在的问题</w:t>
      </w:r>
    </w:p>
    <w:p>
      <w:pPr>
        <w:spacing w:line="600" w:lineRule="exact"/>
        <w:ind w:firstLine="576" w:firstLineChars="200"/>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回顾一年来的工作，虽然各方面都取得了一定的成绩，但应清醒地看到在实际工作中存在的问题和不足：一是当前发改工作任务繁重，局人员编制、经费不足，一些管理工作做得不够深入细致，离上级管理要求还存在一定差距。</w:t>
      </w:r>
    </w:p>
    <w:p>
      <w:pPr>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w:t>
      </w:r>
      <w:r>
        <w:rPr>
          <w:rFonts w:hint="eastAsia" w:ascii="黑体" w:hAnsi="黑体" w:eastAsia="黑体"/>
          <w:sz w:val="32"/>
          <w:szCs w:val="32"/>
          <w:lang w:eastAsia="zh-CN"/>
        </w:rPr>
        <w:t>财务管理方面的</w:t>
      </w:r>
      <w:r>
        <w:rPr>
          <w:rFonts w:hint="eastAsia" w:ascii="黑体" w:hAnsi="黑体" w:eastAsia="黑体"/>
          <w:sz w:val="32"/>
          <w:szCs w:val="32"/>
        </w:rPr>
        <w:t>改进措施和</w:t>
      </w:r>
      <w:r>
        <w:rPr>
          <w:rFonts w:hint="eastAsia" w:ascii="黑体" w:hAnsi="黑体" w:eastAsia="黑体"/>
          <w:bCs/>
          <w:sz w:val="32"/>
          <w:szCs w:val="32"/>
        </w:rPr>
        <w:t>建议</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（一）科学合理编制预算，严格执行预算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2"/>
          <w:sz w:val="30"/>
          <w:szCs w:val="30"/>
          <w:lang w:val="en-US" w:eastAsia="zh-CN" w:bidi="ar-SA"/>
        </w:rPr>
        <w:t>按照新《中华人民共和国预算法》及其实施条例的相关规定，按本部门的发展规划，结合上一年度预算执行情况和本年度预算收支变化因素，科学合理的编制本年度预算方案，避免预算支出与实际执行出现较大偏差情况。</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（二）规范账务处理，提高财务信息质量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2"/>
          <w:sz w:val="30"/>
          <w:szCs w:val="30"/>
          <w:lang w:val="en-US" w:eastAsia="zh-CN" w:bidi="ar-SA"/>
        </w:rPr>
        <w:t>严格按照《中华人民共和国会计法》、《事业单位会计制度》、《事业单位财务规则》等规定执行财务核算，并结合实际情况，完整、准确地披露相关信息，尽可能地做到决算与预算相衔接。</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（三）完善管理制度，进一步加强资产管理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进一步贯彻落实中央八项规定和湖南省委“九条规定”，建立本单位“三公经费”等公务支出管理制度及厉行节约制度，加强经费审批和控制，规范支出标准和范围并严格执行。严格按照《固定资产管理办法》的规定加强固定资产管理，及时登记、加强资产卡片管理，年终前对各类实物资产进行全面盘点，确保账账、账实相符。</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（四）加强新会计制度和新预算法学习培训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加强新《中华人民共和国预算法》和《行政事业单位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pPr>
        <w:ind w:firstLine="640" w:firstLineChars="200"/>
        <w:rPr>
          <w:rFonts w:ascii="黑体" w:hAnsi="黑体" w:eastAsia="黑体"/>
          <w:sz w:val="32"/>
          <w:szCs w:val="32"/>
        </w:rPr>
      </w:pPr>
      <w:r>
        <w:rPr>
          <w:rFonts w:hint="eastAsia" w:ascii="黑体" w:hAnsi="黑体" w:eastAsia="黑体"/>
          <w:sz w:val="32"/>
          <w:szCs w:val="32"/>
        </w:rPr>
        <w:t>九、绩效预算应用建议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因部门整体支出的资金安排和使用上具有不可预见性，在预算绩效指标上还不够精确，编制范围不太全面，预算执行情况还有待进一步加强。安排对应的业务培训，规范业务流程。</w:t>
      </w:r>
    </w:p>
    <w:p>
      <w:pPr>
        <w:pStyle w:val="5"/>
        <w:ind w:left="0" w:leftChars="0" w:firstLine="0" w:firstLineChars="0"/>
        <w:rPr>
          <w:rFonts w:eastAsia="方正小标宋_GBK"/>
          <w:kern w:val="0"/>
          <w:sz w:val="36"/>
          <w:szCs w:val="36"/>
        </w:rPr>
      </w:pP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楷体_GB2312"/>
          <w:kern w:val="0"/>
          <w:sz w:val="24"/>
        </w:rPr>
        <w:t>（以</w:t>
      </w:r>
      <w:r>
        <w:rPr>
          <w:rFonts w:hint="eastAsia" w:eastAsia="楷体_GB2312"/>
          <w:kern w:val="0"/>
          <w:sz w:val="24"/>
          <w:lang w:eastAsia="zh-CN"/>
        </w:rPr>
        <w:t>2021</w:t>
      </w:r>
      <w:r>
        <w:rPr>
          <w:rFonts w:eastAsia="楷体_GB2312"/>
          <w:kern w:val="0"/>
          <w:sz w:val="24"/>
        </w:rPr>
        <w:t>年对20</w:t>
      </w:r>
      <w:r>
        <w:rPr>
          <w:rFonts w:hint="eastAsia" w:eastAsia="楷体_GB2312"/>
          <w:kern w:val="0"/>
          <w:sz w:val="24"/>
          <w:lang w:val="en-US" w:eastAsia="zh-CN"/>
        </w:rPr>
        <w:t>22</w:t>
      </w:r>
      <w:r>
        <w:rPr>
          <w:rFonts w:eastAsia="楷体_GB2312"/>
          <w:kern w:val="0"/>
          <w:sz w:val="24"/>
        </w:rPr>
        <w:t>年度部门整体支出绩效自评为例）</w:t>
      </w:r>
      <w:r>
        <w:rPr>
          <w:rFonts w:eastAsia="仿宋_GB2312"/>
          <w:kern w:val="0"/>
          <w:sz w:val="24"/>
        </w:rPr>
        <w:tab/>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0"/>
            <w:vAlign w:val="center"/>
          </w:tcPr>
          <w:p>
            <w:pPr>
              <w:widowControl/>
              <w:jc w:val="center"/>
              <w:rPr>
                <w:rFonts w:eastAsia="仿宋_GB2312"/>
                <w:b/>
                <w:bCs/>
                <w:kern w:val="0"/>
                <w:szCs w:val="21"/>
              </w:rPr>
            </w:pPr>
            <w:r>
              <w:rPr>
                <w:rFonts w:hint="eastAsia" w:eastAsia="仿宋_GB2312"/>
                <w:b/>
                <w:bCs/>
                <w:kern w:val="0"/>
                <w:szCs w:val="21"/>
                <w:lang w:val="en-US" w:eastAsia="zh-CN"/>
              </w:rPr>
              <w:t>2022</w:t>
            </w:r>
            <w:r>
              <w:rPr>
                <w:rFonts w:eastAsia="仿宋_GB2312"/>
                <w:b/>
                <w:bCs/>
                <w:kern w:val="0"/>
                <w:szCs w:val="21"/>
              </w:rPr>
              <w:t>年实际在职人数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48</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55</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20</w:t>
            </w:r>
            <w:r>
              <w:rPr>
                <w:rFonts w:eastAsia="仿宋_GB2312"/>
                <w:b/>
                <w:bCs/>
                <w:kern w:val="0"/>
                <w:szCs w:val="21"/>
              </w:rPr>
              <w:t>年决算数</w:t>
            </w:r>
          </w:p>
        </w:tc>
        <w:tc>
          <w:tcPr>
            <w:tcW w:w="2240" w:type="dxa"/>
            <w:gridSpan w:val="2"/>
            <w:noWrap w:val="0"/>
            <w:vAlign w:val="center"/>
          </w:tcPr>
          <w:p>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2</w:t>
            </w:r>
            <w:r>
              <w:rPr>
                <w:rFonts w:eastAsia="仿宋_GB2312"/>
                <w:b/>
                <w:bCs/>
                <w:kern w:val="0"/>
                <w:szCs w:val="21"/>
              </w:rPr>
              <w:t>年预算数</w:t>
            </w:r>
          </w:p>
        </w:tc>
        <w:tc>
          <w:tcPr>
            <w:tcW w:w="1832" w:type="dxa"/>
            <w:gridSpan w:val="2"/>
            <w:noWrap w:val="0"/>
            <w:vAlign w:val="center"/>
          </w:tcPr>
          <w:p>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2</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6.07</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11.50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1.30</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2.00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0.00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0.00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1.30</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2.00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eastAsia="仿宋_GB2312"/>
                <w:kern w:val="0"/>
                <w:szCs w:val="21"/>
              </w:rPr>
              <w:t>　</w:t>
            </w:r>
            <w:r>
              <w:rPr>
                <w:rFonts w:hint="eastAsia" w:eastAsia="仿宋_GB2312"/>
                <w:kern w:val="0"/>
                <w:szCs w:val="21"/>
                <w:lang w:val="en-US" w:eastAsia="zh-CN"/>
              </w:rPr>
              <w:t>0.00</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0.00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eastAsia="仿宋_GB2312"/>
                <w:kern w:val="0"/>
                <w:szCs w:val="21"/>
              </w:rPr>
              <w:t>　</w:t>
            </w:r>
            <w:r>
              <w:rPr>
                <w:rFonts w:hint="eastAsia" w:eastAsia="仿宋_GB2312"/>
                <w:kern w:val="0"/>
                <w:szCs w:val="21"/>
                <w:lang w:val="en-US" w:eastAsia="zh-CN"/>
              </w:rPr>
              <w:t>4.77</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9.50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221.75</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176.30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457.97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221.75</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61.00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1.00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hint="eastAsia" w:eastAsia="仿宋_GB2312"/>
                <w:kern w:val="0"/>
                <w:szCs w:val="21"/>
                <w:lang w:val="en-US" w:eastAsia="zh-CN"/>
              </w:rPr>
            </w:pPr>
            <w:r>
              <w:rPr>
                <w:rFonts w:hint="eastAsia" w:eastAsia="仿宋_GB2312"/>
                <w:kern w:val="0"/>
                <w:szCs w:val="21"/>
                <w:lang w:val="en-US" w:eastAsia="zh-CN"/>
              </w:rPr>
              <w:t>3、对企业改制人员的补助</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8.00</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72.94</w:t>
            </w:r>
          </w:p>
        </w:tc>
        <w:tc>
          <w:tcPr>
            <w:tcW w:w="2240"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71.30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widowControl/>
              <w:jc w:val="center"/>
              <w:rPr>
                <w:rFonts w:hint="default" w:eastAsia="仿宋_GB2312" w:asciiTheme="minorHAnsi" w:hAnsiTheme="minorHAnsi" w:cstheme="minorBidi"/>
                <w:color w:val="auto"/>
                <w:kern w:val="0"/>
                <w:sz w:val="21"/>
                <w:szCs w:val="21"/>
                <w:lang w:val="en-US" w:eastAsia="zh-CN" w:bidi="ar-SA"/>
              </w:rPr>
            </w:pPr>
            <w:r>
              <w:rPr>
                <w:rFonts w:hint="eastAsia" w:eastAsia="仿宋_GB2312"/>
                <w:color w:val="auto"/>
                <w:kern w:val="0"/>
                <w:szCs w:val="21"/>
                <w:lang w:val="en-US" w:eastAsia="zh-CN"/>
              </w:rPr>
              <w:t>11.08</w:t>
            </w:r>
          </w:p>
        </w:tc>
        <w:tc>
          <w:tcPr>
            <w:tcW w:w="2240" w:type="dxa"/>
            <w:gridSpan w:val="2"/>
            <w:noWrap w:val="0"/>
            <w:vAlign w:val="center"/>
          </w:tcPr>
          <w:p>
            <w:pPr>
              <w:widowControl/>
              <w:jc w:val="center"/>
              <w:rPr>
                <w:rFonts w:hint="default" w:eastAsia="仿宋_GB2312"/>
                <w:color w:val="auto"/>
                <w:kern w:val="0"/>
                <w:szCs w:val="21"/>
                <w:lang w:val="en-US" w:eastAsia="zh-CN"/>
              </w:rPr>
            </w:pPr>
            <w:r>
              <w:rPr>
                <w:rFonts w:eastAsia="仿宋_GB2312"/>
                <w:color w:val="auto"/>
                <w:kern w:val="0"/>
                <w:szCs w:val="21"/>
              </w:rPr>
              <w:t>　</w:t>
            </w:r>
            <w:r>
              <w:rPr>
                <w:rFonts w:hint="eastAsia" w:eastAsia="仿宋_GB2312"/>
                <w:color w:val="auto"/>
                <w:kern w:val="0"/>
                <w:szCs w:val="21"/>
                <w:lang w:val="en-US" w:eastAsia="zh-CN"/>
              </w:rPr>
              <w:t>2.70</w:t>
            </w:r>
          </w:p>
        </w:tc>
        <w:tc>
          <w:tcPr>
            <w:tcW w:w="1832" w:type="dxa"/>
            <w:gridSpan w:val="2"/>
            <w:noWrap w:val="0"/>
            <w:vAlign w:val="center"/>
          </w:tcPr>
          <w:p>
            <w:pPr>
              <w:widowControl/>
              <w:jc w:val="center"/>
              <w:rPr>
                <w:rFonts w:hint="default" w:eastAsia="仿宋_GB2312"/>
                <w:color w:val="auto"/>
                <w:kern w:val="0"/>
                <w:szCs w:val="21"/>
                <w:lang w:val="en-US"/>
              </w:rPr>
            </w:pPr>
            <w:r>
              <w:rPr>
                <w:rFonts w:hint="eastAsia" w:eastAsia="仿宋_GB2312"/>
                <w:color w:val="auto"/>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hint="default" w:eastAsia="仿宋_GB2312" w:asciiTheme="minorHAnsi" w:hAnsiTheme="minorHAnsi" w:cstheme="minorBidi"/>
                <w:color w:val="auto"/>
                <w:kern w:val="0"/>
                <w:sz w:val="21"/>
                <w:szCs w:val="21"/>
                <w:lang w:val="en-US" w:eastAsia="zh-CN" w:bidi="ar-SA"/>
              </w:rPr>
            </w:pPr>
            <w:r>
              <w:rPr>
                <w:rFonts w:hint="eastAsia" w:eastAsia="仿宋_GB2312"/>
                <w:color w:val="auto"/>
                <w:kern w:val="0"/>
                <w:szCs w:val="21"/>
                <w:lang w:val="en-US" w:eastAsia="zh-CN"/>
              </w:rPr>
              <w:t>6.41</w:t>
            </w:r>
          </w:p>
        </w:tc>
        <w:tc>
          <w:tcPr>
            <w:tcW w:w="2240" w:type="dxa"/>
            <w:gridSpan w:val="2"/>
            <w:noWrap w:val="0"/>
            <w:vAlign w:val="center"/>
          </w:tcPr>
          <w:p>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1.70</w:t>
            </w:r>
          </w:p>
        </w:tc>
        <w:tc>
          <w:tcPr>
            <w:tcW w:w="1832" w:type="dxa"/>
            <w:gridSpan w:val="2"/>
            <w:noWrap w:val="0"/>
            <w:vAlign w:val="center"/>
          </w:tcPr>
          <w:p>
            <w:pPr>
              <w:widowControl/>
              <w:jc w:val="center"/>
              <w:rPr>
                <w:rFonts w:hint="default" w:eastAsia="仿宋_GB2312"/>
                <w:color w:val="auto"/>
                <w:kern w:val="0"/>
                <w:szCs w:val="21"/>
                <w:lang w:val="en-US"/>
              </w:rPr>
            </w:pPr>
            <w:r>
              <w:rPr>
                <w:rFonts w:hint="eastAsia" w:eastAsia="仿宋_GB2312"/>
                <w:color w:val="auto"/>
                <w:kern w:val="0"/>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hint="default" w:eastAsia="仿宋_GB2312" w:asciiTheme="minorHAnsi" w:hAnsiTheme="minorHAnsi" w:cstheme="minorBidi"/>
                <w:color w:val="auto"/>
                <w:kern w:val="0"/>
                <w:sz w:val="21"/>
                <w:szCs w:val="21"/>
                <w:lang w:val="en-US" w:eastAsia="zh-CN" w:bidi="ar-SA"/>
              </w:rPr>
            </w:pPr>
            <w:r>
              <w:rPr>
                <w:rFonts w:hint="eastAsia" w:eastAsia="仿宋_GB2312"/>
                <w:color w:val="auto"/>
                <w:kern w:val="0"/>
                <w:szCs w:val="21"/>
                <w:lang w:val="en-US" w:eastAsia="zh-CN"/>
              </w:rPr>
              <w:t>0.00</w:t>
            </w:r>
          </w:p>
        </w:tc>
        <w:tc>
          <w:tcPr>
            <w:tcW w:w="2240" w:type="dxa"/>
            <w:gridSpan w:val="2"/>
            <w:noWrap w:val="0"/>
            <w:vAlign w:val="center"/>
          </w:tcPr>
          <w:p>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2.00</w:t>
            </w:r>
          </w:p>
        </w:tc>
        <w:tc>
          <w:tcPr>
            <w:tcW w:w="1832" w:type="dxa"/>
            <w:gridSpan w:val="2"/>
            <w:noWrap w:val="0"/>
            <w:vAlign w:val="center"/>
          </w:tcPr>
          <w:p>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642.11</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660.00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802.16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eastAsia="仿宋_GB2312"/>
                <w:kern w:val="0"/>
                <w:szCs w:val="21"/>
                <w:lang w:eastAsia="zh-CN"/>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（2019年完工项目）</w:t>
            </w:r>
          </w:p>
        </w:tc>
        <w:tc>
          <w:tcPr>
            <w:tcW w:w="1189" w:type="dxa"/>
            <w:noWrap w:val="0"/>
            <w:vAlign w:val="center"/>
          </w:tcPr>
          <w:p>
            <w:pPr>
              <w:widowControl/>
              <w:spacing w:line="240" w:lineRule="exact"/>
              <w:jc w:val="center"/>
              <w:rPr>
                <w:rFonts w:hint="eastAsia" w:eastAsia="仿宋_GB2312"/>
                <w:bCs/>
                <w:kern w:val="0"/>
                <w:szCs w:val="21"/>
                <w:lang w:eastAsia="zh-CN"/>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849"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1129"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1111"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969"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863"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eastAsia="仿宋_GB2312"/>
                <w:kern w:val="0"/>
                <w:szCs w:val="21"/>
              </w:rPr>
            </w:pPr>
            <w:r>
              <w:rPr>
                <w:rFonts w:eastAsia="仿宋_GB2312"/>
                <w:kern w:val="0"/>
                <w:szCs w:val="21"/>
              </w:rPr>
              <w:t>　</w:t>
            </w:r>
          </w:p>
        </w:tc>
      </w:tr>
    </w:tbl>
    <w:p>
      <w:pPr>
        <w:spacing w:line="360" w:lineRule="exact"/>
        <w:rPr>
          <w:rFonts w:eastAsia="黑体"/>
          <w:sz w:val="32"/>
          <w:szCs w:val="32"/>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50"/>
        <w:gridCol w:w="1125"/>
        <w:gridCol w:w="1486"/>
        <w:gridCol w:w="95"/>
        <w:gridCol w:w="1449"/>
        <w:gridCol w:w="1245"/>
        <w:gridCol w:w="525"/>
        <w:gridCol w:w="72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243"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临武县发展和改革局</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hint="eastAsia" w:eastAsia="仿宋_GB2312"/>
                <w:color w:val="000000"/>
                <w:kern w:val="0"/>
                <w:szCs w:val="21"/>
                <w:lang w:eastAsia="zh-CN"/>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275" w:type="dxa"/>
            <w:gridSpan w:val="2"/>
            <w:noWrap w:val="0"/>
            <w:vAlign w:val="center"/>
          </w:tcPr>
          <w:p>
            <w:pPr>
              <w:jc w:val="center"/>
              <w:rPr>
                <w:rFonts w:eastAsia="仿宋_GB2312"/>
                <w:szCs w:val="21"/>
              </w:rPr>
            </w:pPr>
          </w:p>
        </w:tc>
        <w:tc>
          <w:tcPr>
            <w:tcW w:w="1486"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544" w:type="dxa"/>
            <w:gridSpan w:val="2"/>
            <w:noWrap w:val="0"/>
            <w:vAlign w:val="center"/>
          </w:tcPr>
          <w:p>
            <w:pPr>
              <w:jc w:val="center"/>
              <w:rPr>
                <w:rFonts w:eastAsia="仿宋_GB2312"/>
                <w:szCs w:val="21"/>
              </w:rPr>
            </w:pPr>
            <w:r>
              <w:rPr>
                <w:rFonts w:eastAsia="仿宋_GB2312"/>
                <w:szCs w:val="21"/>
              </w:rPr>
              <w:t>全年预算数</w:t>
            </w:r>
          </w:p>
        </w:tc>
        <w:tc>
          <w:tcPr>
            <w:tcW w:w="1245"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525" w:type="dxa"/>
            <w:noWrap w:val="0"/>
            <w:vAlign w:val="center"/>
          </w:tcPr>
          <w:p>
            <w:pPr>
              <w:jc w:val="center"/>
              <w:rPr>
                <w:rFonts w:eastAsia="仿宋_GB2312"/>
                <w:szCs w:val="21"/>
              </w:rPr>
            </w:pPr>
            <w:r>
              <w:rPr>
                <w:rFonts w:eastAsia="仿宋_GB2312"/>
                <w:szCs w:val="21"/>
              </w:rPr>
              <w:t>分值</w:t>
            </w:r>
          </w:p>
        </w:tc>
        <w:tc>
          <w:tcPr>
            <w:tcW w:w="722" w:type="dxa"/>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275"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486" w:type="dxa"/>
            <w:noWrap w:val="0"/>
            <w:vAlign w:val="center"/>
          </w:tcPr>
          <w:p>
            <w:pPr>
              <w:jc w:val="center"/>
              <w:rPr>
                <w:rFonts w:hint="default" w:eastAsia="仿宋_GB2312"/>
                <w:szCs w:val="21"/>
                <w:lang w:val="en-US" w:eastAsia="zh-CN"/>
              </w:rPr>
            </w:pPr>
            <w:r>
              <w:rPr>
                <w:rFonts w:hint="eastAsia" w:eastAsia="仿宋_GB2312"/>
                <w:szCs w:val="21"/>
                <w:lang w:val="en-US" w:eastAsia="zh-CN"/>
              </w:rPr>
              <w:t>936.30</w:t>
            </w:r>
          </w:p>
        </w:tc>
        <w:tc>
          <w:tcPr>
            <w:tcW w:w="1544"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1260.13</w:t>
            </w:r>
          </w:p>
        </w:tc>
        <w:tc>
          <w:tcPr>
            <w:tcW w:w="1245" w:type="dxa"/>
            <w:noWrap w:val="0"/>
            <w:vAlign w:val="center"/>
          </w:tcPr>
          <w:p>
            <w:pPr>
              <w:jc w:val="center"/>
              <w:rPr>
                <w:rFonts w:hint="default" w:eastAsia="仿宋_GB2312"/>
                <w:szCs w:val="21"/>
                <w:lang w:val="en-US" w:eastAsia="zh-CN"/>
              </w:rPr>
            </w:pPr>
            <w:r>
              <w:rPr>
                <w:rFonts w:hint="eastAsia" w:eastAsia="仿宋_GB2312"/>
                <w:szCs w:val="21"/>
                <w:lang w:val="en-US" w:eastAsia="zh-CN"/>
              </w:rPr>
              <w:t>1260.13</w:t>
            </w:r>
          </w:p>
        </w:tc>
        <w:tc>
          <w:tcPr>
            <w:tcW w:w="525" w:type="dxa"/>
            <w:noWrap w:val="0"/>
            <w:vAlign w:val="center"/>
          </w:tcPr>
          <w:p>
            <w:pPr>
              <w:jc w:val="center"/>
              <w:rPr>
                <w:rFonts w:eastAsia="仿宋_GB2312"/>
                <w:szCs w:val="21"/>
              </w:rPr>
            </w:pPr>
            <w:r>
              <w:rPr>
                <w:rFonts w:eastAsia="仿宋_GB2312"/>
                <w:szCs w:val="21"/>
              </w:rPr>
              <w:t>10</w:t>
            </w:r>
          </w:p>
        </w:tc>
        <w:tc>
          <w:tcPr>
            <w:tcW w:w="722" w:type="dxa"/>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3938" w:type="dxa"/>
            <w:gridSpan w:val="4"/>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szCs w:val="21"/>
                <w:lang w:val="en-US" w:eastAsia="zh-CN"/>
              </w:rPr>
              <w:t>1260.13</w:t>
            </w:r>
          </w:p>
        </w:tc>
        <w:tc>
          <w:tcPr>
            <w:tcW w:w="3938"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802.16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3938" w:type="dxa"/>
            <w:gridSpan w:val="4"/>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457.97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3938"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3938"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305"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393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hint="eastAsia" w:ascii="仿宋_GB2312" w:eastAsia="仿宋_GB2312"/>
                <w:sz w:val="21"/>
                <w:szCs w:val="21"/>
                <w:lang w:eastAsia="zh-CN"/>
              </w:rPr>
            </w:pPr>
            <w:r>
              <w:rPr>
                <w:rFonts w:eastAsia="仿宋_GB2312"/>
                <w:sz w:val="21"/>
                <w:szCs w:val="21"/>
              </w:rPr>
              <w:t>目标1</w:t>
            </w:r>
            <w:r>
              <w:rPr>
                <w:rFonts w:ascii="仿宋_GB2312" w:eastAsia="仿宋_GB2312"/>
                <w:sz w:val="21"/>
                <w:szCs w:val="21"/>
              </w:rPr>
              <w:t>：</w:t>
            </w:r>
            <w:r>
              <w:rPr>
                <w:rFonts w:hint="eastAsia" w:ascii="仿宋_GB2312" w:eastAsia="仿宋_GB2312"/>
                <w:sz w:val="21"/>
                <w:szCs w:val="21"/>
                <w:lang w:eastAsia="zh-CN"/>
              </w:rPr>
              <w:t>经济运行总体稳健</w:t>
            </w:r>
          </w:p>
          <w:p>
            <w:pPr>
              <w:widowControl/>
              <w:jc w:val="left"/>
              <w:rPr>
                <w:rFonts w:hint="eastAsia" w:ascii="仿宋_GB2312" w:eastAsia="仿宋_GB2312"/>
                <w:sz w:val="21"/>
                <w:szCs w:val="21"/>
                <w:lang w:eastAsia="zh-CN"/>
              </w:rPr>
            </w:pPr>
            <w:r>
              <w:rPr>
                <w:rFonts w:eastAsia="仿宋_GB2312"/>
                <w:sz w:val="21"/>
                <w:szCs w:val="21"/>
              </w:rPr>
              <w:t>目标2</w:t>
            </w:r>
            <w:r>
              <w:rPr>
                <w:rFonts w:ascii="仿宋_GB2312" w:eastAsia="仿宋_GB2312"/>
                <w:sz w:val="21"/>
                <w:szCs w:val="21"/>
              </w:rPr>
              <w:t>：</w:t>
            </w:r>
            <w:r>
              <w:rPr>
                <w:rFonts w:hint="eastAsia" w:ascii="仿宋_GB2312" w:eastAsia="仿宋_GB2312"/>
                <w:sz w:val="21"/>
                <w:szCs w:val="21"/>
                <w:lang w:eastAsia="zh-CN"/>
              </w:rPr>
              <w:t>各类资金争取有力</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目标3：重点项目推进有序 </w:t>
            </w:r>
          </w:p>
          <w:p>
            <w:pPr>
              <w:widowControl/>
              <w:jc w:val="left"/>
              <w:rPr>
                <w:rFonts w:hint="eastAsia" w:eastAsia="仿宋_GB2312"/>
                <w:sz w:val="21"/>
                <w:szCs w:val="21"/>
                <w:lang w:val="en-US" w:eastAsia="zh-CN"/>
              </w:rPr>
            </w:pPr>
            <w:r>
              <w:rPr>
                <w:rFonts w:hint="eastAsia" w:eastAsia="仿宋_GB2312"/>
                <w:sz w:val="21"/>
                <w:szCs w:val="21"/>
                <w:lang w:val="en-US" w:eastAsia="zh-CN"/>
              </w:rPr>
              <w:t>目标4：粮食安全落到实处</w:t>
            </w:r>
          </w:p>
          <w:p>
            <w:pPr>
              <w:widowControl/>
              <w:jc w:val="left"/>
              <w:rPr>
                <w:rFonts w:hint="eastAsia" w:eastAsia="仿宋_GB2312"/>
                <w:sz w:val="21"/>
                <w:szCs w:val="21"/>
                <w:lang w:val="en-US" w:eastAsia="zh-CN"/>
              </w:rPr>
            </w:pPr>
            <w:r>
              <w:rPr>
                <w:rFonts w:hint="eastAsia" w:eastAsia="仿宋_GB2312"/>
                <w:sz w:val="21"/>
                <w:szCs w:val="21"/>
                <w:lang w:val="en-US" w:eastAsia="zh-CN"/>
              </w:rPr>
              <w:t>目标5：保供稳价取得实效</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目标6：营商环境改善明显  </w:t>
            </w:r>
          </w:p>
          <w:p>
            <w:pPr>
              <w:widowControl/>
              <w:jc w:val="left"/>
              <w:rPr>
                <w:rFonts w:hint="default" w:eastAsia="仿宋_GB2312"/>
                <w:sz w:val="21"/>
                <w:szCs w:val="21"/>
                <w:lang w:val="en-US" w:eastAsia="zh-CN"/>
              </w:rPr>
            </w:pPr>
            <w:r>
              <w:rPr>
                <w:rFonts w:hint="eastAsia" w:eastAsia="仿宋_GB2312"/>
                <w:sz w:val="21"/>
                <w:szCs w:val="21"/>
                <w:lang w:val="en-US" w:eastAsia="zh-CN"/>
              </w:rPr>
              <w:t>目标7：信用体系建设初见成效</w:t>
            </w:r>
          </w:p>
          <w:p>
            <w:pPr>
              <w:widowControl/>
              <w:jc w:val="both"/>
              <w:rPr>
                <w:rFonts w:eastAsia="仿宋_GB2312"/>
                <w:color w:val="000000"/>
                <w:kern w:val="0"/>
                <w:szCs w:val="21"/>
              </w:rPr>
            </w:pPr>
          </w:p>
        </w:tc>
        <w:tc>
          <w:tcPr>
            <w:tcW w:w="3938" w:type="dxa"/>
            <w:gridSpan w:val="4"/>
            <w:noWrap w:val="0"/>
            <w:vAlign w:val="center"/>
          </w:tcPr>
          <w:p>
            <w:pPr>
              <w:widowControl/>
              <w:jc w:val="left"/>
              <w:rPr>
                <w:rFonts w:hint="eastAsia" w:ascii="仿宋_GB2312" w:eastAsia="仿宋_GB2312"/>
                <w:sz w:val="21"/>
                <w:szCs w:val="21"/>
                <w:lang w:eastAsia="zh-CN"/>
              </w:rPr>
            </w:pPr>
            <w:r>
              <w:rPr>
                <w:rFonts w:eastAsia="仿宋_GB2312"/>
                <w:sz w:val="21"/>
                <w:szCs w:val="21"/>
              </w:rPr>
              <w:t>目标1</w:t>
            </w:r>
            <w:r>
              <w:rPr>
                <w:rFonts w:ascii="仿宋_GB2312" w:eastAsia="仿宋_GB2312"/>
                <w:sz w:val="21"/>
                <w:szCs w:val="21"/>
              </w:rPr>
              <w:t>：</w:t>
            </w:r>
            <w:r>
              <w:rPr>
                <w:rFonts w:hint="eastAsia" w:ascii="仿宋_GB2312" w:eastAsia="仿宋_GB2312"/>
                <w:sz w:val="21"/>
                <w:szCs w:val="21"/>
                <w:lang w:eastAsia="zh-CN"/>
              </w:rPr>
              <w:t>经济运行总体稳健</w:t>
            </w:r>
          </w:p>
          <w:p>
            <w:pPr>
              <w:widowControl/>
              <w:jc w:val="left"/>
              <w:rPr>
                <w:rFonts w:hint="eastAsia" w:ascii="仿宋_GB2312" w:eastAsia="仿宋_GB2312"/>
                <w:sz w:val="21"/>
                <w:szCs w:val="21"/>
                <w:lang w:eastAsia="zh-CN"/>
              </w:rPr>
            </w:pPr>
            <w:r>
              <w:rPr>
                <w:rFonts w:eastAsia="仿宋_GB2312"/>
                <w:sz w:val="21"/>
                <w:szCs w:val="21"/>
              </w:rPr>
              <w:t>目标2</w:t>
            </w:r>
            <w:r>
              <w:rPr>
                <w:rFonts w:ascii="仿宋_GB2312" w:eastAsia="仿宋_GB2312"/>
                <w:sz w:val="21"/>
                <w:szCs w:val="21"/>
              </w:rPr>
              <w:t>：</w:t>
            </w:r>
            <w:r>
              <w:rPr>
                <w:rFonts w:hint="eastAsia" w:ascii="仿宋_GB2312" w:eastAsia="仿宋_GB2312"/>
                <w:sz w:val="21"/>
                <w:szCs w:val="21"/>
                <w:lang w:eastAsia="zh-CN"/>
              </w:rPr>
              <w:t>各类资金争取有力</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目标3：重点项目推进有序 </w:t>
            </w:r>
          </w:p>
          <w:p>
            <w:pPr>
              <w:widowControl/>
              <w:jc w:val="left"/>
              <w:rPr>
                <w:rFonts w:hint="eastAsia" w:eastAsia="仿宋_GB2312"/>
                <w:sz w:val="21"/>
                <w:szCs w:val="21"/>
                <w:lang w:val="en-US" w:eastAsia="zh-CN"/>
              </w:rPr>
            </w:pPr>
            <w:r>
              <w:rPr>
                <w:rFonts w:hint="eastAsia" w:eastAsia="仿宋_GB2312"/>
                <w:sz w:val="21"/>
                <w:szCs w:val="21"/>
                <w:lang w:val="en-US" w:eastAsia="zh-CN"/>
              </w:rPr>
              <w:t>目标4：粮食安全落到实处</w:t>
            </w:r>
          </w:p>
          <w:p>
            <w:pPr>
              <w:widowControl/>
              <w:jc w:val="left"/>
              <w:rPr>
                <w:rFonts w:hint="eastAsia" w:eastAsia="仿宋_GB2312"/>
                <w:sz w:val="21"/>
                <w:szCs w:val="21"/>
                <w:lang w:val="en-US" w:eastAsia="zh-CN"/>
              </w:rPr>
            </w:pPr>
            <w:r>
              <w:rPr>
                <w:rFonts w:hint="eastAsia" w:eastAsia="仿宋_GB2312"/>
                <w:sz w:val="21"/>
                <w:szCs w:val="21"/>
                <w:lang w:val="en-US" w:eastAsia="zh-CN"/>
              </w:rPr>
              <w:t>目标5：保供稳价取得实效</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目标6：营商环境改善明显  </w:t>
            </w:r>
          </w:p>
          <w:p>
            <w:pPr>
              <w:widowControl/>
              <w:jc w:val="left"/>
              <w:rPr>
                <w:rFonts w:hint="default" w:eastAsia="仿宋_GB2312"/>
                <w:sz w:val="21"/>
                <w:szCs w:val="21"/>
                <w:lang w:val="en-US" w:eastAsia="zh-CN"/>
              </w:rPr>
            </w:pPr>
            <w:r>
              <w:rPr>
                <w:rFonts w:hint="eastAsia" w:eastAsia="仿宋_GB2312"/>
                <w:sz w:val="21"/>
                <w:szCs w:val="21"/>
                <w:lang w:val="en-US" w:eastAsia="zh-CN"/>
              </w:rPr>
              <w:t>目标7：信用体系建设初见成效</w:t>
            </w:r>
          </w:p>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5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2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581"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4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5"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2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22"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12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固定资产投资</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171.45亿元</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194.6亿元</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vMerge w:val="continue"/>
            <w:noWrap w:val="0"/>
            <w:vAlign w:val="center"/>
          </w:tcPr>
          <w:p>
            <w:pPr>
              <w:widowControl/>
              <w:jc w:val="center"/>
              <w:rPr>
                <w:rFonts w:eastAsia="仿宋_GB2312"/>
                <w:color w:val="000000"/>
                <w:kern w:val="0"/>
                <w:szCs w:val="21"/>
              </w:rPr>
            </w:pP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级重点项目完成投资</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102.18亿元</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113.84亿元</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易地扶贫搬迁工作质量达标</w:t>
            </w:r>
          </w:p>
        </w:tc>
        <w:tc>
          <w:tcPr>
            <w:tcW w:w="14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达标</w:t>
            </w:r>
          </w:p>
        </w:tc>
        <w:tc>
          <w:tcPr>
            <w:tcW w:w="1245"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达标</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完成相关工作的年度</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2022年</w:t>
            </w:r>
          </w:p>
        </w:tc>
        <w:tc>
          <w:tcPr>
            <w:tcW w:w="1245"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2022年</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各项工作完成成本</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szCs w:val="21"/>
                <w:lang w:val="en-US" w:eastAsia="zh-CN"/>
              </w:rPr>
              <w:t>1260.13</w:t>
            </w:r>
            <w:r>
              <w:rPr>
                <w:rFonts w:hint="eastAsia" w:eastAsia="仿宋_GB2312"/>
                <w:color w:val="000000"/>
                <w:kern w:val="0"/>
                <w:szCs w:val="21"/>
                <w:lang w:val="en-US" w:eastAsia="zh-CN"/>
              </w:rPr>
              <w:t>万元</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szCs w:val="21"/>
                <w:lang w:val="en-US" w:eastAsia="zh-CN"/>
              </w:rPr>
              <w:t>1260.13</w:t>
            </w:r>
            <w:r>
              <w:rPr>
                <w:rFonts w:hint="eastAsia" w:eastAsia="仿宋_GB2312"/>
                <w:color w:val="000000"/>
                <w:kern w:val="0"/>
                <w:szCs w:val="21"/>
                <w:lang w:val="en-US" w:eastAsia="zh-CN"/>
              </w:rPr>
              <w:t>万元</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促进县域经济的健康发展</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pPr>
            <w:r>
              <w:t>社会效</w:t>
            </w:r>
          </w:p>
          <w:p>
            <w:pPr>
              <w:widowControl/>
              <w:jc w:val="center"/>
            </w:pPr>
            <w:r>
              <w:t>益指标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提高政府公信力</w:t>
            </w:r>
          </w:p>
        </w:tc>
        <w:tc>
          <w:tcPr>
            <w:tcW w:w="14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节能降耗工作稳步开</w:t>
            </w:r>
            <w:bookmarkStart w:id="0" w:name="_GoBack"/>
            <w:bookmarkEnd w:id="0"/>
            <w:r>
              <w:rPr>
                <w:rFonts w:hint="eastAsia" w:eastAsia="仿宋_GB2312"/>
                <w:color w:val="000000"/>
                <w:kern w:val="0"/>
                <w:szCs w:val="21"/>
                <w:lang w:eastAsia="zh-CN"/>
              </w:rPr>
              <w:t>展</w:t>
            </w:r>
          </w:p>
        </w:tc>
        <w:tc>
          <w:tcPr>
            <w:tcW w:w="14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150" w:type="dxa"/>
            <w:vMerge w:val="continue"/>
            <w:noWrap w:val="0"/>
            <w:vAlign w:val="center"/>
          </w:tcPr>
          <w:p>
            <w:pPr>
              <w:widowControl/>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促进经济的可持续发展</w:t>
            </w:r>
          </w:p>
        </w:tc>
        <w:tc>
          <w:tcPr>
            <w:tcW w:w="14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15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12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项目业主满意度</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22"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widowControl/>
              <w:jc w:val="left"/>
              <w:rPr>
                <w:rFonts w:eastAsia="仿宋_GB2312"/>
                <w:color w:val="000000"/>
                <w:kern w:val="0"/>
                <w:szCs w:val="21"/>
              </w:rPr>
            </w:pPr>
          </w:p>
        </w:tc>
        <w:tc>
          <w:tcPr>
            <w:tcW w:w="1150" w:type="dxa"/>
            <w:vMerge w:val="continue"/>
            <w:noWrap w:val="0"/>
            <w:vAlign w:val="center"/>
          </w:tcPr>
          <w:p>
            <w:pPr>
              <w:widowControl/>
              <w:jc w:val="left"/>
              <w:rPr>
                <w:rFonts w:eastAsia="仿宋_GB2312"/>
                <w:color w:val="000000"/>
                <w:kern w:val="0"/>
                <w:szCs w:val="21"/>
              </w:rPr>
            </w:pPr>
          </w:p>
        </w:tc>
        <w:tc>
          <w:tcPr>
            <w:tcW w:w="1125" w:type="dxa"/>
            <w:vMerge w:val="continue"/>
            <w:noWrap w:val="0"/>
            <w:vAlign w:val="center"/>
          </w:tcPr>
          <w:p>
            <w:pPr>
              <w:widowControl/>
              <w:jc w:val="center"/>
              <w:rPr>
                <w:rFonts w:eastAsia="仿宋_GB2312"/>
                <w:color w:val="000000"/>
                <w:kern w:val="0"/>
                <w:szCs w:val="21"/>
              </w:rPr>
            </w:pP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价格认证涉案群众满意度</w:t>
            </w:r>
          </w:p>
        </w:tc>
        <w:tc>
          <w:tcPr>
            <w:tcW w:w="144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22"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0"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525"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722"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Pr>
        <w:widowControl/>
        <w:jc w:val="left"/>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8D57A"/>
    <w:multiLevelType w:val="singleLevel"/>
    <w:tmpl w:val="47D8D5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5FD42D63"/>
    <w:rsid w:val="09C25210"/>
    <w:rsid w:val="25B46BA2"/>
    <w:rsid w:val="2B481C21"/>
    <w:rsid w:val="40D0160B"/>
    <w:rsid w:val="59540BEE"/>
    <w:rsid w:val="5FD4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99"/>
    <w:pPr>
      <w:spacing w:beforeAutospacing="1" w:after="0"/>
      <w:ind w:left="0" w:firstLine="420" w:firstLineChars="200"/>
    </w:pPr>
    <w:rPr>
      <w:rFonts w:ascii="Calibri" w:hAnsi="Calibri"/>
    </w:rPr>
  </w:style>
  <w:style w:type="paragraph" w:styleId="3">
    <w:name w:val="Body Text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4">
    <w:name w:val="Plain Text"/>
    <w:basedOn w:val="1"/>
    <w:autoRedefine/>
    <w:qFormat/>
    <w:uiPriority w:val="0"/>
    <w:rPr>
      <w:rFonts w:ascii="宋体" w:hAnsi="Courier New" w:cs="Courier New"/>
      <w:szCs w:val="21"/>
    </w:rPr>
  </w:style>
  <w:style w:type="paragraph" w:styleId="5">
    <w:name w:val="Body Text Indent 2"/>
    <w:basedOn w:val="1"/>
    <w:autoRedefine/>
    <w:qFormat/>
    <w:uiPriority w:val="0"/>
    <w:pPr>
      <w:spacing w:beforeLines="0" w:afterLines="0" w:line="480" w:lineRule="auto"/>
      <w:ind w:left="420" w:leftChars="200"/>
    </w:pPr>
    <w:rPr>
      <w:rFonts w:hint="default"/>
      <w:sz w:val="21"/>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22"/>
    <w:rPr>
      <w:b/>
      <w:bCs/>
    </w:rPr>
  </w:style>
  <w:style w:type="paragraph" w:customStyle="1" w:styleId="10">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8940</Words>
  <Characters>9707</Characters>
  <Lines>0</Lines>
  <Paragraphs>0</Paragraphs>
  <TotalTime>7</TotalTime>
  <ScaleCrop>false</ScaleCrop>
  <LinksUpToDate>false</LinksUpToDate>
  <CharactersWithSpaces>9822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2023-11-01T01:16:00Z</dcterms:created>
  <dc:creator>Xiao筱</dc:creator>
  <cp:lastModifiedBy>空城旧梦</cp:lastModifiedBy>
  <dcterms:modified xsi:type="dcterms:W3CDTF">2024-07-03T07:09:40Z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A61AE74D996641B5889F5DD86D4E5E58_11</vt:lpwstr>
  </property>
</Properties>
</file>