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55AC10">
      <w:pPr>
        <w:spacing w:line="600" w:lineRule="exact"/>
        <w:jc w:val="distribute"/>
        <w:rPr>
          <w:rFonts w:ascii="方正大标宋简体" w:hAnsi="方正大标宋简体" w:eastAsia="方正大标宋简体" w:cs="方正大标宋简体"/>
          <w:color w:val="FF0000"/>
          <w:spacing w:val="-20"/>
          <w:w w:val="72"/>
          <w:sz w:val="60"/>
          <w:szCs w:val="60"/>
        </w:rPr>
      </w:pPr>
    </w:p>
    <w:tbl>
      <w:tblPr>
        <w:tblStyle w:val="8"/>
        <w:tblW w:w="90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74"/>
        <w:gridCol w:w="1546"/>
      </w:tblGrid>
      <w:tr w14:paraId="36529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5A98DD15">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临武县民政局</w:t>
            </w:r>
          </w:p>
        </w:tc>
        <w:tc>
          <w:tcPr>
            <w:tcW w:w="1546" w:type="dxa"/>
            <w:vMerge w:val="restart"/>
            <w:vAlign w:val="center"/>
          </w:tcPr>
          <w:p w14:paraId="2F71A13F">
            <w:pPr>
              <w:spacing w:line="720" w:lineRule="exact"/>
              <w:jc w:val="distribute"/>
              <w:rPr>
                <w:rFonts w:ascii="方正大标宋简体" w:hAnsi="方正大标宋简体" w:eastAsia="方正大标宋简体" w:cs="方正大标宋简体"/>
                <w:color w:val="FF0000"/>
                <w:spacing w:val="-20"/>
                <w:w w:val="72"/>
                <w:sz w:val="66"/>
                <w:szCs w:val="66"/>
              </w:rPr>
            </w:pPr>
            <w:r>
              <w:rPr>
                <w:rFonts w:hint="eastAsia" w:ascii="方正大标宋简体" w:hAnsi="方正大标宋简体" w:eastAsia="方正大标宋简体" w:cs="方正大标宋简体"/>
                <w:color w:val="FF0000"/>
                <w:spacing w:val="-20"/>
                <w:sz w:val="66"/>
                <w:szCs w:val="66"/>
              </w:rPr>
              <w:t>文件</w:t>
            </w:r>
          </w:p>
        </w:tc>
      </w:tr>
      <w:tr w14:paraId="2F1DC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0D71FE08">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中共临武县委政法委员会</w:t>
            </w:r>
          </w:p>
        </w:tc>
        <w:tc>
          <w:tcPr>
            <w:tcW w:w="1546" w:type="dxa"/>
            <w:vMerge w:val="continue"/>
            <w:vAlign w:val="center"/>
          </w:tcPr>
          <w:p w14:paraId="0CE62BB9">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5D205D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601E0A67">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临武县公安局</w:t>
            </w:r>
          </w:p>
        </w:tc>
        <w:tc>
          <w:tcPr>
            <w:tcW w:w="1546" w:type="dxa"/>
            <w:vMerge w:val="continue"/>
            <w:vAlign w:val="center"/>
          </w:tcPr>
          <w:p w14:paraId="4253F505">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4860B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7EF27C11">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临武县财政局</w:t>
            </w:r>
          </w:p>
        </w:tc>
        <w:tc>
          <w:tcPr>
            <w:tcW w:w="1546" w:type="dxa"/>
            <w:vMerge w:val="continue"/>
            <w:vAlign w:val="center"/>
          </w:tcPr>
          <w:p w14:paraId="79E6BB77">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3D762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1E4134CB">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临武县人力资源和社会保障局</w:t>
            </w:r>
          </w:p>
        </w:tc>
        <w:tc>
          <w:tcPr>
            <w:tcW w:w="1546" w:type="dxa"/>
            <w:vMerge w:val="continue"/>
            <w:vAlign w:val="center"/>
          </w:tcPr>
          <w:p w14:paraId="121971D3">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14AF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225DC1E8">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临武县城市管理和综合执法局</w:t>
            </w:r>
          </w:p>
        </w:tc>
        <w:tc>
          <w:tcPr>
            <w:tcW w:w="1546" w:type="dxa"/>
            <w:vMerge w:val="continue"/>
            <w:vAlign w:val="center"/>
          </w:tcPr>
          <w:p w14:paraId="764F8C4D">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52998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4FB6C27F">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临武县卫生健康局</w:t>
            </w:r>
          </w:p>
        </w:tc>
        <w:tc>
          <w:tcPr>
            <w:tcW w:w="1546" w:type="dxa"/>
            <w:vMerge w:val="continue"/>
            <w:vAlign w:val="center"/>
          </w:tcPr>
          <w:p w14:paraId="0F66B59E">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69600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20E0C2F2">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临武县应急管理局</w:t>
            </w:r>
          </w:p>
        </w:tc>
        <w:tc>
          <w:tcPr>
            <w:tcW w:w="1546" w:type="dxa"/>
            <w:vMerge w:val="continue"/>
            <w:vAlign w:val="center"/>
          </w:tcPr>
          <w:p w14:paraId="6D98D7CE">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36820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0BD7BE17">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临武县消防救援大队</w:t>
            </w:r>
          </w:p>
        </w:tc>
        <w:tc>
          <w:tcPr>
            <w:tcW w:w="1546" w:type="dxa"/>
            <w:vMerge w:val="continue"/>
            <w:vAlign w:val="center"/>
          </w:tcPr>
          <w:p w14:paraId="276E6B53">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5B8C4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64175993">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临武县市场监督管理局</w:t>
            </w:r>
          </w:p>
        </w:tc>
        <w:tc>
          <w:tcPr>
            <w:tcW w:w="1546" w:type="dxa"/>
            <w:vMerge w:val="continue"/>
            <w:vAlign w:val="center"/>
          </w:tcPr>
          <w:p w14:paraId="580EED2B">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0A38D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exact"/>
          <w:jc w:val="center"/>
        </w:trPr>
        <w:tc>
          <w:tcPr>
            <w:tcW w:w="7474" w:type="dxa"/>
            <w:vAlign w:val="center"/>
          </w:tcPr>
          <w:p w14:paraId="0B4FD916">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临武县医疗保障局</w:t>
            </w:r>
          </w:p>
        </w:tc>
        <w:tc>
          <w:tcPr>
            <w:tcW w:w="1546" w:type="dxa"/>
            <w:vMerge w:val="continue"/>
            <w:vAlign w:val="center"/>
          </w:tcPr>
          <w:p w14:paraId="74748D7E">
            <w:pPr>
              <w:spacing w:line="720" w:lineRule="exact"/>
              <w:jc w:val="distribute"/>
              <w:rPr>
                <w:rFonts w:ascii="方正大标宋简体" w:hAnsi="方正大标宋简体" w:eastAsia="方正大标宋简体" w:cs="方正大标宋简体"/>
                <w:color w:val="FF0000"/>
                <w:spacing w:val="-20"/>
                <w:w w:val="72"/>
                <w:sz w:val="66"/>
                <w:szCs w:val="66"/>
              </w:rPr>
            </w:pPr>
          </w:p>
        </w:tc>
      </w:tr>
      <w:tr w14:paraId="7383F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7" w:hRule="exact"/>
          <w:jc w:val="center"/>
        </w:trPr>
        <w:tc>
          <w:tcPr>
            <w:tcW w:w="7474" w:type="dxa"/>
            <w:vAlign w:val="center"/>
          </w:tcPr>
          <w:p w14:paraId="2091830A">
            <w:pPr>
              <w:spacing w:line="720" w:lineRule="exact"/>
              <w:jc w:val="distribute"/>
              <w:rPr>
                <w:rFonts w:ascii="方正大标宋简体" w:hAnsi="方正大标宋简体" w:eastAsia="方正大标宋简体" w:cs="方正大标宋简体"/>
                <w:color w:val="FF0000"/>
                <w:spacing w:val="-20"/>
                <w:w w:val="72"/>
                <w:sz w:val="60"/>
                <w:szCs w:val="60"/>
              </w:rPr>
            </w:pPr>
            <w:r>
              <w:rPr>
                <w:rFonts w:hint="eastAsia" w:ascii="方正大标宋简体" w:hAnsi="方正大标宋简体" w:eastAsia="方正大标宋简体" w:cs="方正大标宋简体"/>
                <w:color w:val="FF0000"/>
                <w:spacing w:val="-20"/>
                <w:w w:val="72"/>
                <w:sz w:val="60"/>
                <w:szCs w:val="60"/>
              </w:rPr>
              <w:t>临武县扶贫开发办公室</w:t>
            </w:r>
          </w:p>
        </w:tc>
        <w:tc>
          <w:tcPr>
            <w:tcW w:w="1546" w:type="dxa"/>
            <w:vMerge w:val="continue"/>
            <w:vAlign w:val="center"/>
          </w:tcPr>
          <w:p w14:paraId="79573132">
            <w:pPr>
              <w:spacing w:line="720" w:lineRule="exact"/>
              <w:jc w:val="distribute"/>
              <w:rPr>
                <w:rFonts w:ascii="方正大标宋简体" w:hAnsi="方正大标宋简体" w:eastAsia="方正大标宋简体" w:cs="方正大标宋简体"/>
                <w:color w:val="FF0000"/>
                <w:spacing w:val="-20"/>
                <w:w w:val="72"/>
                <w:sz w:val="66"/>
                <w:szCs w:val="66"/>
              </w:rPr>
            </w:pPr>
          </w:p>
        </w:tc>
      </w:tr>
    </w:tbl>
    <w:p w14:paraId="305A2CF8"/>
    <w:p w14:paraId="3238C05D">
      <w:pPr>
        <w:jc w:val="center"/>
      </w:pPr>
      <w:r>
        <w:t>临民字[2020] 58号</w:t>
      </w:r>
    </w:p>
    <w:p w14:paraId="6ADA4267">
      <w:pPr>
        <w:spacing w:line="800" w:lineRule="exact"/>
        <w:ind w:firstLine="2907" w:firstLineChars="900"/>
        <w:rPr>
          <w:sz w:val="48"/>
          <w:szCs w:val="48"/>
        </w:rPr>
      </w:pPr>
      <w:r>
        <w:pict>
          <v:line id="_x0000_s2050" o:spid="_x0000_s2050" o:spt="20" style="position:absolute;left:0pt;margin-left:5.8pt;margin-top:6.9pt;height:0.05pt;width:449pt;z-index:251659264;mso-width-relative:page;mso-height-relative:page;" stroked="t" coordsize="21600,21600">
            <v:path arrowok="t"/>
            <v:fill focussize="0,0"/>
            <v:stroke weight="1.5pt" color="#FF0000"/>
            <v:imagedata o:title=""/>
            <o:lock v:ext="edit"/>
          </v:line>
        </w:pict>
      </w:r>
    </w:p>
    <w:p w14:paraId="528543B1">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关于印发《临武县生活无着的流浪乞讨人员救助管理服务质量大提升专项行动实施</w:t>
      </w:r>
    </w:p>
    <w:p w14:paraId="734A871D">
      <w:pPr>
        <w:spacing w:line="600" w:lineRule="exact"/>
        <w:jc w:val="center"/>
        <w:rPr>
          <w:rFonts w:ascii="方正大标宋简体" w:hAnsi="方正大标宋简体" w:eastAsia="方正大标宋简体" w:cs="方正大标宋简体"/>
          <w:sz w:val="44"/>
          <w:szCs w:val="44"/>
        </w:rPr>
      </w:pPr>
      <w:r>
        <w:rPr>
          <w:rFonts w:hint="eastAsia" w:ascii="方正大标宋简体" w:hAnsi="方正大标宋简体" w:eastAsia="方正大标宋简体" w:cs="方正大标宋简体"/>
          <w:sz w:val="44"/>
          <w:szCs w:val="44"/>
        </w:rPr>
        <w:t>方案》的通知</w:t>
      </w:r>
    </w:p>
    <w:p w14:paraId="644B387F">
      <w:pPr>
        <w:spacing w:line="580" w:lineRule="exact"/>
      </w:pPr>
    </w:p>
    <w:p w14:paraId="79BCF017">
      <w:pPr>
        <w:spacing w:line="580" w:lineRule="exact"/>
      </w:pPr>
      <w:r>
        <w:t>各乡镇人民政府，县直有关单位：</w:t>
      </w:r>
    </w:p>
    <w:p w14:paraId="5F2AF515">
      <w:pPr>
        <w:spacing w:line="580" w:lineRule="exact"/>
        <w:ind w:firstLine="646" w:firstLineChars="200"/>
      </w:pPr>
      <w:r>
        <w:t>3月9日，民政部、中央政法委、公安部、财政部、</w:t>
      </w:r>
      <w:r>
        <w:rPr>
          <w:rFonts w:hint="eastAsia"/>
          <w:lang w:eastAsia="zh-CN"/>
        </w:rPr>
        <w:t>人力资源和社会保障部</w:t>
      </w:r>
      <w:r>
        <w:t>、住房城乡建设部、国家卫生健康委、应急部、市场监管总局、国家医保局、国务院扶贫办等部委</w:t>
      </w:r>
      <w:r>
        <w:rPr>
          <w:rFonts w:hint="eastAsia"/>
          <w:lang w:eastAsia="zh-CN"/>
        </w:rPr>
        <w:t>联合</w:t>
      </w:r>
      <w:r>
        <w:t>下发了《关于开展生活无着的流浪乞讨人员</w:t>
      </w:r>
      <w:r>
        <w:rPr>
          <w:rFonts w:hint="eastAsia"/>
          <w:lang w:eastAsia="zh-CN"/>
        </w:rPr>
        <w:t>助教</w:t>
      </w:r>
      <w:r>
        <w:t xml:space="preserve">管理服务质量大提升专项行动的通知》（民发 </w:t>
      </w:r>
      <w:r>
        <w:rPr>
          <w:rFonts w:hint="eastAsia"/>
        </w:rPr>
        <w:t>[</w:t>
      </w:r>
      <w:r>
        <w:t xml:space="preserve">2020]14号），省民政厅等12个部门联合下发了《湖南省生活无着的流浪乞讨人员救助管理服务质量大提升专项行动实施方案&gt;的通知(湘民发 </w:t>
      </w:r>
      <w:r>
        <w:rPr>
          <w:rFonts w:hint="eastAsia"/>
        </w:rPr>
        <w:t>[</w:t>
      </w:r>
      <w:r>
        <w:t>2020]13号)</w:t>
      </w:r>
      <w:r>
        <w:rPr>
          <w:rFonts w:hint="eastAsia"/>
        </w:rPr>
        <w:t>，</w:t>
      </w:r>
      <w:r>
        <w:t>为贯彻落实文件精神，县民政局联合县委政法委等12个部门决定于2020年5月至2021年6月，在全县开展生活无着的流浪乞讨人员救助管理服务质量大提升专项行动（以下简称专项行动）</w:t>
      </w:r>
      <w:r>
        <w:rPr>
          <w:rFonts w:hint="eastAsia"/>
        </w:rPr>
        <w:t>，</w:t>
      </w:r>
      <w:r>
        <w:t>现将《临武县生活无着的流浪乞讨人员救助管理服务质量大提升专项行动实施方案》印发给你们，请结合本地实际认真贯彻执行。</w:t>
      </w:r>
    </w:p>
    <w:tbl>
      <w:tblPr>
        <w:tblStyle w:val="8"/>
        <w:tblW w:w="90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227" w:type="dxa"/>
          <w:bottom w:w="0" w:type="dxa"/>
          <w:right w:w="227" w:type="dxa"/>
        </w:tblCellMar>
      </w:tblPr>
      <w:tblGrid>
        <w:gridCol w:w="3014"/>
        <w:gridCol w:w="3011"/>
        <w:gridCol w:w="3015"/>
      </w:tblGrid>
      <w:tr w14:paraId="6B434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27" w:type="dxa"/>
            <w:bottom w:w="0" w:type="dxa"/>
            <w:right w:w="227" w:type="dxa"/>
          </w:tblCellMar>
        </w:tblPrEx>
        <w:trPr>
          <w:trHeight w:val="3362" w:hRule="atLeast"/>
          <w:jc w:val="center"/>
        </w:trPr>
        <w:tc>
          <w:tcPr>
            <w:tcW w:w="3014" w:type="dxa"/>
            <w:vAlign w:val="center"/>
          </w:tcPr>
          <w:p w14:paraId="395FCB05">
            <w:pPr>
              <w:jc w:val="center"/>
            </w:pPr>
            <w:r>
              <w:t>临武县民政局</w:t>
            </w:r>
          </w:p>
        </w:tc>
        <w:tc>
          <w:tcPr>
            <w:tcW w:w="3011" w:type="dxa"/>
            <w:vAlign w:val="center"/>
          </w:tcPr>
          <w:p w14:paraId="0DF720D1">
            <w:pPr>
              <w:jc w:val="center"/>
            </w:pPr>
            <w:r>
              <w:t>中共临武县委</w:t>
            </w:r>
          </w:p>
          <w:p w14:paraId="0402F755">
            <w:pPr>
              <w:jc w:val="center"/>
            </w:pPr>
            <w:r>
              <w:t>政法委员会</w:t>
            </w:r>
          </w:p>
        </w:tc>
        <w:tc>
          <w:tcPr>
            <w:tcW w:w="3015" w:type="dxa"/>
            <w:vAlign w:val="center"/>
          </w:tcPr>
          <w:p w14:paraId="7CB09E09">
            <w:pPr>
              <w:jc w:val="center"/>
            </w:pPr>
            <w:r>
              <w:t>临武县公安局</w:t>
            </w:r>
          </w:p>
        </w:tc>
      </w:tr>
      <w:tr w14:paraId="151C6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27" w:type="dxa"/>
            <w:bottom w:w="0" w:type="dxa"/>
            <w:right w:w="227" w:type="dxa"/>
          </w:tblCellMar>
        </w:tblPrEx>
        <w:trPr>
          <w:trHeight w:val="3362" w:hRule="atLeast"/>
          <w:jc w:val="center"/>
        </w:trPr>
        <w:tc>
          <w:tcPr>
            <w:tcW w:w="3014" w:type="dxa"/>
            <w:vAlign w:val="center"/>
          </w:tcPr>
          <w:p w14:paraId="60CD4811">
            <w:pPr>
              <w:jc w:val="center"/>
            </w:pPr>
            <w:r>
              <w:t>临武县财政局</w:t>
            </w:r>
          </w:p>
        </w:tc>
        <w:tc>
          <w:tcPr>
            <w:tcW w:w="3011" w:type="dxa"/>
            <w:vAlign w:val="center"/>
          </w:tcPr>
          <w:p w14:paraId="6968ADB0">
            <w:pPr>
              <w:jc w:val="center"/>
            </w:pPr>
            <w:r>
              <w:t>临武县人力资源和社会保障局</w:t>
            </w:r>
          </w:p>
        </w:tc>
        <w:tc>
          <w:tcPr>
            <w:tcW w:w="3015" w:type="dxa"/>
            <w:vAlign w:val="center"/>
          </w:tcPr>
          <w:p w14:paraId="1A0D62C2">
            <w:pPr>
              <w:jc w:val="center"/>
            </w:pPr>
            <w:r>
              <w:t>临武县城市管理和综合执法局</w:t>
            </w:r>
          </w:p>
        </w:tc>
      </w:tr>
      <w:tr w14:paraId="3AC74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27" w:type="dxa"/>
            <w:bottom w:w="0" w:type="dxa"/>
            <w:right w:w="227" w:type="dxa"/>
          </w:tblCellMar>
        </w:tblPrEx>
        <w:trPr>
          <w:trHeight w:val="3362" w:hRule="atLeast"/>
          <w:jc w:val="center"/>
        </w:trPr>
        <w:tc>
          <w:tcPr>
            <w:tcW w:w="3014" w:type="dxa"/>
            <w:vAlign w:val="center"/>
          </w:tcPr>
          <w:p w14:paraId="243751FE">
            <w:pPr>
              <w:jc w:val="center"/>
            </w:pPr>
            <w:r>
              <w:rPr>
                <w:spacing w:val="-11"/>
              </w:rPr>
              <w:t>临武县卫生健康局</w:t>
            </w:r>
          </w:p>
        </w:tc>
        <w:tc>
          <w:tcPr>
            <w:tcW w:w="3011" w:type="dxa"/>
            <w:vAlign w:val="center"/>
          </w:tcPr>
          <w:p w14:paraId="38E0815E">
            <w:pPr>
              <w:jc w:val="center"/>
            </w:pPr>
            <w:r>
              <w:rPr>
                <w:spacing w:val="-11"/>
              </w:rPr>
              <w:t>临武县应急管理局</w:t>
            </w:r>
          </w:p>
        </w:tc>
        <w:tc>
          <w:tcPr>
            <w:tcW w:w="3015" w:type="dxa"/>
            <w:vAlign w:val="center"/>
          </w:tcPr>
          <w:p w14:paraId="62D0C615">
            <w:pPr>
              <w:jc w:val="center"/>
            </w:pPr>
            <w:r>
              <w:t>临武县消防</w:t>
            </w:r>
          </w:p>
          <w:p w14:paraId="6F3B976E">
            <w:pPr>
              <w:jc w:val="center"/>
            </w:pPr>
            <w:r>
              <w:t>救援大队</w:t>
            </w:r>
          </w:p>
        </w:tc>
      </w:tr>
      <w:tr w14:paraId="7A5040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227" w:type="dxa"/>
            <w:bottom w:w="0" w:type="dxa"/>
            <w:right w:w="227" w:type="dxa"/>
          </w:tblCellMar>
        </w:tblPrEx>
        <w:trPr>
          <w:trHeight w:val="3405" w:hRule="atLeast"/>
          <w:jc w:val="center"/>
        </w:trPr>
        <w:tc>
          <w:tcPr>
            <w:tcW w:w="3014" w:type="dxa"/>
            <w:vAlign w:val="center"/>
          </w:tcPr>
          <w:p w14:paraId="0A932D1B">
            <w:pPr>
              <w:jc w:val="center"/>
            </w:pPr>
            <w:r>
              <w:t>临武县市场监督管理局</w:t>
            </w:r>
          </w:p>
        </w:tc>
        <w:tc>
          <w:tcPr>
            <w:tcW w:w="3011" w:type="dxa"/>
            <w:vAlign w:val="center"/>
          </w:tcPr>
          <w:p w14:paraId="4A9EA688">
            <w:pPr>
              <w:jc w:val="center"/>
            </w:pPr>
            <w:r>
              <w:rPr>
                <w:spacing w:val="-11"/>
              </w:rPr>
              <w:t>临武县医疗保障局</w:t>
            </w:r>
          </w:p>
        </w:tc>
        <w:tc>
          <w:tcPr>
            <w:tcW w:w="3015" w:type="dxa"/>
            <w:vAlign w:val="center"/>
          </w:tcPr>
          <w:p w14:paraId="50040E17">
            <w:pPr>
              <w:jc w:val="center"/>
            </w:pPr>
            <w:r>
              <w:t>临武县扶贫开发办公室</w:t>
            </w:r>
          </w:p>
        </w:tc>
      </w:tr>
    </w:tbl>
    <w:p w14:paraId="4661BEF6"/>
    <w:p w14:paraId="0FD17ECA"/>
    <w:p w14:paraId="7D282FE5">
      <w:r>
        <w:t xml:space="preserve">                    2020年 10月21日</w:t>
      </w:r>
    </w:p>
    <w:p w14:paraId="64961F1D">
      <w:pPr>
        <w:spacing w:line="700" w:lineRule="exact"/>
        <w:jc w:val="center"/>
        <w:rPr>
          <w:rFonts w:ascii="方正大标宋简体" w:hAnsi="方正大标宋简体" w:eastAsia="方正大标宋简体" w:cs="方正大标宋简体"/>
          <w:bCs/>
          <w:color w:val="000000"/>
          <w:sz w:val="44"/>
          <w:szCs w:val="44"/>
        </w:rPr>
      </w:pPr>
      <w:r>
        <w:rPr>
          <w:rFonts w:hint="eastAsia" w:ascii="方正大标宋简体" w:hAnsi="方正大标宋简体" w:eastAsia="方正大标宋简体" w:cs="方正大标宋简体"/>
          <w:bCs/>
          <w:color w:val="000000"/>
          <w:sz w:val="44"/>
          <w:szCs w:val="44"/>
        </w:rPr>
        <w:br w:type="page"/>
      </w:r>
    </w:p>
    <w:p w14:paraId="761063F1">
      <w:pPr>
        <w:spacing w:line="700" w:lineRule="exact"/>
        <w:jc w:val="center"/>
        <w:rPr>
          <w:rFonts w:ascii="方正大标宋简体" w:hAnsi="方正大标宋简体" w:eastAsia="方正大标宋简体" w:cs="方正大标宋简体"/>
          <w:bCs/>
          <w:color w:val="000000"/>
          <w:sz w:val="44"/>
          <w:szCs w:val="44"/>
        </w:rPr>
      </w:pPr>
      <w:r>
        <w:rPr>
          <w:rFonts w:hint="eastAsia" w:ascii="方正大标宋简体" w:hAnsi="方正大标宋简体" w:eastAsia="方正大标宋简体" w:cs="方正大标宋简体"/>
          <w:bCs/>
          <w:color w:val="000000"/>
          <w:sz w:val="44"/>
          <w:szCs w:val="44"/>
        </w:rPr>
        <w:t>临武县生活无着的流浪乞讨人员救助管理</w:t>
      </w:r>
    </w:p>
    <w:p w14:paraId="6C297064">
      <w:pPr>
        <w:spacing w:line="700" w:lineRule="exact"/>
        <w:jc w:val="center"/>
        <w:rPr>
          <w:rFonts w:ascii="方正大标宋简体" w:hAnsi="方正大标宋简体" w:eastAsia="方正大标宋简体" w:cs="方正大标宋简体"/>
          <w:bCs/>
          <w:color w:val="000000"/>
          <w:kern w:val="0"/>
          <w:sz w:val="44"/>
          <w:szCs w:val="44"/>
        </w:rPr>
      </w:pPr>
      <w:r>
        <w:rPr>
          <w:rFonts w:hint="eastAsia" w:ascii="方正大标宋简体" w:hAnsi="方正大标宋简体" w:eastAsia="方正大标宋简体" w:cs="方正大标宋简体"/>
          <w:bCs/>
          <w:color w:val="000000"/>
          <w:sz w:val="44"/>
          <w:szCs w:val="44"/>
        </w:rPr>
        <w:t>服务质量大提升专项行动实施方案</w:t>
      </w:r>
    </w:p>
    <w:p w14:paraId="130E8503">
      <w:pPr>
        <w:spacing w:line="360" w:lineRule="auto"/>
        <w:jc w:val="center"/>
      </w:pPr>
    </w:p>
    <w:p w14:paraId="32E7B84C">
      <w:pPr>
        <w:spacing w:line="640" w:lineRule="exact"/>
        <w:ind w:firstLine="646" w:firstLineChars="200"/>
        <w:rPr>
          <w:rFonts w:ascii="黑体" w:hAnsi="黑体" w:eastAsia="黑体" w:cs="黑体"/>
          <w:bCs/>
          <w:color w:val="000000"/>
          <w:kern w:val="0"/>
        </w:rPr>
      </w:pPr>
      <w:r>
        <w:rPr>
          <w:rFonts w:hint="eastAsia" w:ascii="黑体" w:hAnsi="黑体" w:eastAsia="黑体" w:cs="黑体"/>
          <w:bCs/>
          <w:color w:val="000000"/>
          <w:kern w:val="0"/>
        </w:rPr>
        <w:t>一、指导思想</w:t>
      </w:r>
    </w:p>
    <w:p w14:paraId="41E124B0">
      <w:pPr>
        <w:spacing w:line="640" w:lineRule="exact"/>
        <w:ind w:firstLine="646" w:firstLineChars="200"/>
        <w:rPr>
          <w:color w:val="000000"/>
          <w:kern w:val="0"/>
        </w:rPr>
      </w:pPr>
      <w:r>
        <w:rPr>
          <w:color w:val="000000"/>
          <w:kern w:val="0"/>
        </w:rPr>
        <w:t>以习近平新时代中国特色社会主义思想为指导，牢固树立以人民为中心的发展思想，坚持以人为本、政府负责、严格监管、协同配合、标本兼治的工作原则，进一步完善救助管理工作体制机制，着力在照料服务、救助寻亲、街面巡查和综合治理、落户安置、源头治理、干部队伍建设等关键环节上建机制、压责任、提质量、优服务，实现救助管理服务质量提档升级，推动建立更加成熟、更加定型的新时代救助管理服务体系。</w:t>
      </w:r>
    </w:p>
    <w:p w14:paraId="1C343D9D">
      <w:pPr>
        <w:spacing w:line="640" w:lineRule="exact"/>
        <w:ind w:firstLine="646" w:firstLineChars="200"/>
        <w:rPr>
          <w:rFonts w:ascii="黑体" w:hAnsi="黑体" w:eastAsia="黑体" w:cs="黑体"/>
          <w:bCs/>
          <w:color w:val="000000"/>
          <w:kern w:val="0"/>
        </w:rPr>
      </w:pPr>
      <w:r>
        <w:rPr>
          <w:rFonts w:ascii="黑体" w:hAnsi="黑体" w:eastAsia="黑体" w:cs="黑体"/>
          <w:bCs/>
          <w:color w:val="000000"/>
          <w:kern w:val="0"/>
        </w:rPr>
        <w:t>二、主要任务</w:t>
      </w:r>
    </w:p>
    <w:p w14:paraId="2E1AE6C8">
      <w:pPr>
        <w:spacing w:line="640" w:lineRule="exact"/>
        <w:ind w:firstLine="484" w:firstLineChars="150"/>
        <w:rPr>
          <w:rFonts w:ascii="楷体_GB2312" w:hAnsi="楷体_GB2312" w:eastAsia="楷体_GB2312" w:cs="楷体_GB2312"/>
          <w:b/>
          <w:bCs/>
          <w:color w:val="000000"/>
          <w:kern w:val="0"/>
        </w:rPr>
      </w:pPr>
      <w:r>
        <w:rPr>
          <w:rFonts w:hint="eastAsia" w:ascii="楷体_GB2312" w:hAnsi="楷体_GB2312" w:eastAsia="楷体_GB2312" w:cs="楷体_GB2312"/>
          <w:b/>
          <w:bCs/>
          <w:color w:val="000000"/>
          <w:kern w:val="0"/>
        </w:rPr>
        <w:t>（一）全面开展照料服务达标行动。</w:t>
      </w:r>
    </w:p>
    <w:p w14:paraId="7087B8E7">
      <w:pPr>
        <w:spacing w:line="640" w:lineRule="exact"/>
        <w:ind w:firstLine="646" w:firstLineChars="200"/>
        <w:rPr>
          <w:color w:val="000000"/>
          <w:kern w:val="0"/>
        </w:rPr>
      </w:pPr>
      <w:r>
        <w:rPr>
          <w:b/>
          <w:bCs/>
          <w:color w:val="000000"/>
          <w:kern w:val="0"/>
        </w:rPr>
        <w:t>1、开展隐患排查。</w:t>
      </w:r>
      <w:r>
        <w:rPr>
          <w:color w:val="000000"/>
          <w:kern w:val="0"/>
        </w:rPr>
        <w:t>专项行动期间，民政局要联合有关部门集中开展对救助管理和托养机构安全隐患排查行动。第一次在2020年6月下旬，第二次在2020年12月下旬。各有关部门要根据工作职责依法对救助和托养机构的内部管理、生活照料、卫生防疫、食品药品安全、消防安全、离站返乡、站外托养等环节进行检查，列出问题清单，明确整改时限、路径和标准，指导做好整改工作。（责任单位：</w:t>
      </w:r>
      <w:r>
        <w:rPr>
          <w:rFonts w:hint="eastAsia"/>
          <w:color w:val="000000"/>
          <w:kern w:val="0"/>
          <w:lang w:eastAsia="zh-CN"/>
        </w:rPr>
        <w:t>县委政法委</w:t>
      </w:r>
      <w:r>
        <w:rPr>
          <w:color w:val="000000"/>
          <w:kern w:val="0"/>
        </w:rPr>
        <w:t>、公安局、卫健局、应急局、市场监管局、医保局）</w:t>
      </w:r>
    </w:p>
    <w:p w14:paraId="1587F9B3">
      <w:pPr>
        <w:spacing w:line="640" w:lineRule="exact"/>
        <w:ind w:firstLine="646" w:firstLineChars="200"/>
        <w:rPr>
          <w:color w:val="000000"/>
        </w:rPr>
      </w:pPr>
      <w:r>
        <w:rPr>
          <w:b/>
          <w:bCs/>
          <w:color w:val="000000"/>
          <w:kern w:val="0"/>
        </w:rPr>
        <w:t>2、强化站内照料。</w:t>
      </w:r>
      <w:r>
        <w:rPr>
          <w:color w:val="000000"/>
          <w:kern w:val="0"/>
        </w:rPr>
        <w:t>按照“站内照料是常态、站外托养是例外”的原则，强化站内照料</w:t>
      </w:r>
      <w:r>
        <w:rPr>
          <w:color w:val="000000"/>
        </w:rPr>
        <w:t>职责，救助站要根据实际需要，有步骤、分批次开展托养人员站内接回工作，设施设备或人员不足、无法提供照料服务的救助管理机构，可以通过政府购买服务方式引入专业力量参与工作，提升站内照料服务水平。确有必要开展托养工作的，应当优先选择政府举办的社会福利、养老、精神康复等机构承接托养服务，要区分对象身体状况、年龄、性别等情况实施分类托养。未成年托养对象必须在公办儿童福利机构进行托养。（责任单位：县民政局）</w:t>
      </w:r>
    </w:p>
    <w:p w14:paraId="46726F38">
      <w:pPr>
        <w:spacing w:line="640" w:lineRule="exact"/>
        <w:ind w:firstLine="646" w:firstLineChars="200"/>
        <w:rPr>
          <w:color w:val="000000"/>
          <w:kern w:val="0"/>
        </w:rPr>
      </w:pPr>
      <w:r>
        <w:rPr>
          <w:b/>
          <w:bCs/>
          <w:color w:val="000000"/>
          <w:kern w:val="0"/>
        </w:rPr>
        <w:t>3、切实履行职责。</w:t>
      </w:r>
      <w:r>
        <w:rPr>
          <w:color w:val="000000"/>
          <w:kern w:val="0"/>
        </w:rPr>
        <w:t>民政局和救助管理站要履行主要监管责任和主体责任，确定专人，站内照料的每天一次以上到生活照料区巡查一次，站外托养的每星期一次以上对托养机构进行巡查，准确掌握托养机构运行情况和送托人员健康状况。要探索建立第三方监督委员会或特邀监督员制度，对救助管理机构和托养机构的运行管理、人员照料情况进行监督。（</w:t>
      </w:r>
      <w:r>
        <w:rPr>
          <w:color w:val="000000"/>
        </w:rPr>
        <w:t>责任单位：县民政局）</w:t>
      </w:r>
    </w:p>
    <w:p w14:paraId="30DA10A3">
      <w:pPr>
        <w:spacing w:line="640" w:lineRule="exact"/>
        <w:ind w:firstLine="646" w:firstLineChars="200"/>
        <w:rPr>
          <w:color w:val="000000"/>
          <w:kern w:val="0"/>
        </w:rPr>
      </w:pPr>
      <w:r>
        <w:rPr>
          <w:b/>
          <w:bCs/>
          <w:color w:val="000000"/>
          <w:kern w:val="0"/>
        </w:rPr>
        <w:t>4、建立健全机制。</w:t>
      </w:r>
      <w:r>
        <w:rPr>
          <w:color w:val="000000"/>
          <w:kern w:val="0"/>
        </w:rPr>
        <w:t>救助管理机构要建立重大突发事件应急处置和信息报告机制，对机构遇灾、遇险，受助人员走失、死亡等异常情况，要第一时间报告民政部门，民政部门要及时向本级政府、上级民政部门报告，并指导救助管理机构做好处置工作。（</w:t>
      </w:r>
      <w:r>
        <w:rPr>
          <w:color w:val="000000"/>
        </w:rPr>
        <w:t>责任单位：县民政局）</w:t>
      </w:r>
    </w:p>
    <w:p w14:paraId="4D116753">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（二）大力开展救助寻亲服务行动。</w:t>
      </w:r>
    </w:p>
    <w:p w14:paraId="2C9088FE">
      <w:pPr>
        <w:spacing w:line="640" w:lineRule="exact"/>
        <w:ind w:firstLine="646" w:firstLineChars="200"/>
        <w:rPr>
          <w:color w:val="000000"/>
          <w:kern w:val="0"/>
        </w:rPr>
      </w:pPr>
      <w:r>
        <w:rPr>
          <w:b/>
          <w:bCs/>
          <w:color w:val="000000"/>
          <w:kern w:val="0"/>
        </w:rPr>
        <w:t>1、运用科技手段寻亲。</w:t>
      </w:r>
      <w:r>
        <w:rPr>
          <w:color w:val="000000"/>
          <w:kern w:val="0"/>
        </w:rPr>
        <w:t>各地要以“大爱寻亲，温暖回家”为主题集中开展救助寻亲专项行动，公安部门要加强与救助管理站协作，通过DNA、指纹、人像比对识别等现代化科技手段甄别护送入站和滞留人员身份信息，本级权限无法核实的，由公安部门报请上级公安部门进一步核查甄别。（责任单位：县公安局）</w:t>
      </w:r>
    </w:p>
    <w:p w14:paraId="0CA9E947">
      <w:pPr>
        <w:spacing w:line="640" w:lineRule="exact"/>
        <w:ind w:firstLine="646" w:firstLineChars="200"/>
        <w:rPr>
          <w:color w:val="000000"/>
          <w:kern w:val="0"/>
        </w:rPr>
      </w:pPr>
      <w:r>
        <w:rPr>
          <w:b/>
          <w:bCs/>
          <w:color w:val="000000"/>
          <w:kern w:val="0"/>
        </w:rPr>
        <w:t>2、加强互联网寻亲。</w:t>
      </w:r>
      <w:r>
        <w:rPr>
          <w:color w:val="000000"/>
          <w:kern w:val="0"/>
        </w:rPr>
        <w:t>对入站超过三天滞留超过１个月的受助人员，救助管理站要根据寻亲进展情况对其在全国救助寻亲网、“头条寻人”等平台的寻亲信息进行更新完善。救助管理站要开通使用救助管理信息系统人脸识别模块，工作人员要及时将入站人员信息、走失人员家属提供信息与救助管理信息系统累积数据进行比对，提升甄别查询能力和效率。（责任单位：县救助管理站）</w:t>
      </w:r>
    </w:p>
    <w:p w14:paraId="3DABE6FA">
      <w:pPr>
        <w:spacing w:line="640" w:lineRule="exact"/>
        <w:ind w:firstLine="646" w:firstLineChars="200"/>
        <w:rPr>
          <w:color w:val="000000"/>
          <w:kern w:val="0"/>
        </w:rPr>
      </w:pPr>
      <w:r>
        <w:rPr>
          <w:b/>
          <w:bCs/>
          <w:color w:val="000000"/>
          <w:kern w:val="0"/>
        </w:rPr>
        <w:t>3、联合社会力量寻亲。</w:t>
      </w:r>
      <w:r>
        <w:rPr>
          <w:color w:val="000000"/>
          <w:kern w:val="0"/>
        </w:rPr>
        <w:t>救助管理站要充分开发利用“头条寻人”、微信公众号、寻亲热线等智能化寻亲手段，深化与社会力量的合作，拓展寻亲渠道。对已经查明身份信息的人员，在其身体条件允许的情况下尽快安排接送返回工作，对流出地拒不接收的，逐级报上级民政部门协调解决。（责任单位：县民政局）</w:t>
      </w:r>
    </w:p>
    <w:p w14:paraId="0DEA9ECB">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（三）持续开展街面巡查和综合治理行动。</w:t>
      </w:r>
    </w:p>
    <w:p w14:paraId="1654660B">
      <w:pPr>
        <w:spacing w:line="640" w:lineRule="exact"/>
        <w:ind w:firstLine="646" w:firstLineChars="200"/>
        <w:rPr>
          <w:color w:val="000000"/>
          <w:kern w:val="0"/>
        </w:rPr>
      </w:pPr>
      <w:r>
        <w:rPr>
          <w:b/>
          <w:bCs/>
          <w:color w:val="000000"/>
          <w:kern w:val="0"/>
        </w:rPr>
        <w:t>1、加强街面巡查。</w:t>
      </w:r>
      <w:r>
        <w:rPr>
          <w:color w:val="000000"/>
          <w:kern w:val="0"/>
        </w:rPr>
        <w:t>公安局、城市管理和综合执法局要按照职责分工履行街面巡查职责，</w:t>
      </w:r>
      <w:r>
        <w:rPr>
          <w:color w:val="000000"/>
        </w:rPr>
        <w:t>发现流浪乞讨人员的，应告知其到救助管理站接受救助。</w:t>
      </w:r>
      <w:r>
        <w:rPr>
          <w:color w:val="000000"/>
          <w:kern w:val="0"/>
        </w:rPr>
        <w:t>对其中的未成年人、老年人、精神障碍患者和行动不便人员等特殊救助对象</w:t>
      </w:r>
      <w:r>
        <w:rPr>
          <w:color w:val="000000"/>
        </w:rPr>
        <w:t>应护送至救助管理站，并履行书面交接手续，救助管理站要根据救助对象具体情况妥善转介处置。公安、</w:t>
      </w:r>
      <w:r>
        <w:rPr>
          <w:color w:val="000000"/>
          <w:kern w:val="0"/>
        </w:rPr>
        <w:t>城管、</w:t>
      </w:r>
      <w:r>
        <w:rPr>
          <w:color w:val="000000"/>
        </w:rPr>
        <w:t>民政等部门</w:t>
      </w:r>
      <w:r>
        <w:rPr>
          <w:color w:val="000000"/>
          <w:kern w:val="0"/>
        </w:rPr>
        <w:t>要持续做好极端天气下“寒冬送温暖”、“夏季送清凉”等专项救助工作，协同组织开展街面巡查，确保不发生冻饿死伤等极端事件。（责任单位：县公安局、县城市管理和综合执法局）</w:t>
      </w:r>
    </w:p>
    <w:p w14:paraId="78B05144">
      <w:pPr>
        <w:spacing w:line="640" w:lineRule="exact"/>
        <w:ind w:firstLine="646" w:firstLineChars="200"/>
        <w:rPr>
          <w:color w:val="000000"/>
          <w:kern w:val="0"/>
        </w:rPr>
      </w:pPr>
      <w:r>
        <w:rPr>
          <w:b/>
          <w:bCs/>
          <w:color w:val="000000"/>
        </w:rPr>
        <w:t>2、</w:t>
      </w:r>
      <w:r>
        <w:rPr>
          <w:b/>
          <w:bCs/>
          <w:color w:val="000000"/>
          <w:kern w:val="0"/>
        </w:rPr>
        <w:t>完善救助网络。</w:t>
      </w:r>
      <w:r>
        <w:rPr>
          <w:color w:val="000000"/>
          <w:kern w:val="0"/>
        </w:rPr>
        <w:t>利用城市网格化、数字化管理平台，发动乡（镇）、村（居）民委员会等基层工作力量，动员社会工作服务机构、公益慈善组织、志愿服务组织、公交（出租车）司机等积极参与，制定常态化、制度化街面巡查制度，建立覆盖全面、协同到位、服务及时的救助管理网络。（责任单位：县城市管理和综合执法局）</w:t>
      </w:r>
    </w:p>
    <w:p w14:paraId="6E1E1675">
      <w:pPr>
        <w:spacing w:line="640" w:lineRule="exact"/>
        <w:ind w:firstLine="646" w:firstLineChars="200"/>
        <w:rPr>
          <w:color w:val="000000"/>
          <w:kern w:val="0"/>
        </w:rPr>
      </w:pPr>
      <w:r>
        <w:rPr>
          <w:b/>
          <w:bCs/>
          <w:color w:val="000000"/>
          <w:kern w:val="0"/>
        </w:rPr>
        <w:t>3、强化综合治理。</w:t>
      </w:r>
      <w:r>
        <w:rPr>
          <w:color w:val="000000"/>
          <w:kern w:val="0"/>
        </w:rPr>
        <w:t>各地要强化街面治安综合治理，公安机关和城市管理和综合执法局要依法依规处理违反治安管理、城市管理等规定的行为，</w:t>
      </w:r>
      <w:r>
        <w:rPr>
          <w:color w:val="000000"/>
        </w:rPr>
        <w:t>严厉打击操纵未成年人、残疾人乞讨和拐卖拐骗未成年人等犯罪行为。</w:t>
      </w:r>
      <w:r>
        <w:rPr>
          <w:color w:val="000000"/>
          <w:kern w:val="0"/>
        </w:rPr>
        <w:t>有效减少“强行讨要”、“职业乞讨”等不文明现象。（责任单位：县公安局、县城市管理和综合执法局）</w:t>
      </w:r>
    </w:p>
    <w:p w14:paraId="1FF60458">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（四）集中开展落户安置行动。</w:t>
      </w:r>
    </w:p>
    <w:p w14:paraId="3CE4DA52">
      <w:pPr>
        <w:spacing w:line="640" w:lineRule="exact"/>
        <w:ind w:firstLine="646" w:firstLineChars="200"/>
        <w:rPr>
          <w:color w:val="000000"/>
          <w:kern w:val="0"/>
        </w:rPr>
      </w:pPr>
      <w:r>
        <w:rPr>
          <w:b/>
          <w:bCs/>
          <w:color w:val="000000"/>
          <w:kern w:val="0"/>
        </w:rPr>
        <w:t>1、加强落户安置。</w:t>
      </w:r>
      <w:r>
        <w:rPr>
          <w:color w:val="000000"/>
          <w:kern w:val="0"/>
        </w:rPr>
        <w:t>救助管理站要集中开展一次长期滞留人员落户安置行动，对在2020年3月前入站确实无法查明身份信息的，于2020年8月前将安置申请报送至当地民政局，民政局于2020年9月前制定安置方案报请同级政府。对政府批准予以落户的，公安机关应启动户籍办理程序，依照《国务院办公厅关于解决无户口人员登记户口问题的意见》（国办发〔2015〕96号）有关要求，切实维护流浪乞讨人员登记户口的合法权益。（责任单位：县公安局、县民政局）</w:t>
      </w:r>
    </w:p>
    <w:p w14:paraId="642CB6F8">
      <w:pPr>
        <w:spacing w:line="640" w:lineRule="exact"/>
        <w:ind w:firstLine="646" w:firstLineChars="200"/>
        <w:rPr>
          <w:color w:val="000000"/>
        </w:rPr>
      </w:pPr>
      <w:r>
        <w:rPr>
          <w:b/>
          <w:bCs/>
          <w:color w:val="000000"/>
          <w:kern w:val="0"/>
        </w:rPr>
        <w:t>2、做好长期安置。</w:t>
      </w:r>
      <w:r>
        <w:rPr>
          <w:color w:val="000000"/>
        </w:rPr>
        <w:t>对暂时无法落户但应当予以长期安置的，要尽快将人员转移至政府设立的社会福利院、养老机构、精神病院等公办福利机构安置照料，也可以新建或改扩建安置场所，集中安置长期滞留人员。（</w:t>
      </w:r>
      <w:r>
        <w:rPr>
          <w:color w:val="000000"/>
          <w:kern w:val="0"/>
        </w:rPr>
        <w:t>责任单位：县民政局）</w:t>
      </w:r>
    </w:p>
    <w:p w14:paraId="38671FC8">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（五）全力推进源头治理行动。</w:t>
      </w:r>
    </w:p>
    <w:p w14:paraId="103A149D">
      <w:pPr>
        <w:spacing w:line="640" w:lineRule="exact"/>
        <w:ind w:firstLine="646" w:firstLineChars="200"/>
        <w:rPr>
          <w:color w:val="000000"/>
        </w:rPr>
      </w:pPr>
      <w:r>
        <w:rPr>
          <w:b/>
          <w:bCs/>
          <w:color w:val="000000"/>
          <w:kern w:val="0"/>
        </w:rPr>
        <w:t>1、建立返乡人员信息台账。</w:t>
      </w:r>
      <w:r>
        <w:rPr>
          <w:color w:val="000000"/>
          <w:kern w:val="0"/>
        </w:rPr>
        <w:t>流出地救助管理站要建立返乡人员信息台账，流入地救助管理站要通过书面形式将返乡受助人员信息反馈流出地救助管理站，流出地救助管理站要做好信息对接和人员接收工作，已经返家的，要组织人员或委托当地村（居）民委员会了解其家庭状况，对存在生产、生活及基本医疗保障方面困难的，要将其详细情况报送乡（镇）及相关部门，乡（镇）及相关部门要按照职责落实有关政策予以帮扶，避免其再次陷入困境；对确已无家可归的，无人监护（抚养）的要安排到养老机构、福利机构进行安置。（责任单位：县民政局、县医保局）</w:t>
      </w:r>
    </w:p>
    <w:p w14:paraId="554CDD19">
      <w:pPr>
        <w:spacing w:line="640" w:lineRule="exact"/>
        <w:ind w:firstLine="646" w:firstLineChars="200"/>
        <w:rPr>
          <w:color w:val="000000"/>
        </w:rPr>
      </w:pPr>
      <w:r>
        <w:rPr>
          <w:b/>
          <w:bCs/>
          <w:color w:val="000000"/>
          <w:kern w:val="0"/>
        </w:rPr>
        <w:t>2、建立重点人员信息库。</w:t>
      </w:r>
      <w:r>
        <w:rPr>
          <w:color w:val="000000"/>
          <w:kern w:val="0"/>
        </w:rPr>
        <w:t>民政局要指导救助管理站建立易流浪走失等重点人员信息库，将送返本辖区的精神障碍患者、</w:t>
      </w:r>
      <w:r>
        <w:rPr>
          <w:rFonts w:hint="eastAsia"/>
          <w:color w:val="000000"/>
          <w:kern w:val="0"/>
          <w:lang w:eastAsia="zh-CN"/>
        </w:rPr>
        <w:t>阿尔茨海默</w:t>
      </w:r>
      <w:r>
        <w:rPr>
          <w:color w:val="000000"/>
          <w:kern w:val="0"/>
        </w:rPr>
        <w:t>症患者、肢体和智力残疾人员、反复流浪乞讨人员等纳入信息库统一管理，并将花名册通报给乡（镇），由乡（镇）组织人员通过实地走访、电话询问等方式进行回访，发现反复流浪乞讨的情况要及时反馈民政局，原则上回访频率不低于每两月一次，回访期不少于一年。民政局要与扶贫办开展信息共享，对建档立卡贫困户中有流浪乞讨经历的予以重点关注和帮扶。（责任单位：县民政局、县扶贫办）</w:t>
      </w:r>
    </w:p>
    <w:p w14:paraId="7122831E">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（六）全面提升救助管理干部队伍素质行动。</w:t>
      </w:r>
    </w:p>
    <w:p w14:paraId="2FE8E9B1">
      <w:pPr>
        <w:spacing w:line="640" w:lineRule="exact"/>
        <w:ind w:firstLine="646" w:firstLineChars="200"/>
        <w:rPr>
          <w:color w:val="000000"/>
        </w:rPr>
      </w:pPr>
      <w:r>
        <w:rPr>
          <w:b/>
          <w:bCs/>
          <w:color w:val="000000"/>
          <w:kern w:val="0"/>
        </w:rPr>
        <w:t>1、加强人员培训。</w:t>
      </w:r>
      <w:r>
        <w:rPr>
          <w:color w:val="000000"/>
          <w:kern w:val="0"/>
        </w:rPr>
        <w:t>民政局要在救助管理系统集中开展政策宣传讲解工作，确保救助管理政策法规、信息系统管理和使用方法等应知应会业务知识熟练掌握。各地要继续做好救助管理政策与实务培训，按照人员全覆盖的目标，实现所有救助管理干部职工参加两天以上脱产培训，并采用书面考试、知识竞赛、模拟演练、实务操作等形式考核培训效果。持续开展做“许帅式”救助管理干部活动。鼓励救助管理干部职工学习社会工作、心理辅导、特殊人员照料等专业知识，有关部门要为其学习和参加专业水平测试提供便利。（责任单位：县民政局）</w:t>
      </w:r>
    </w:p>
    <w:p w14:paraId="398B3DA2">
      <w:pPr>
        <w:spacing w:line="640" w:lineRule="exact"/>
        <w:ind w:firstLine="646" w:firstLineChars="200"/>
        <w:rPr>
          <w:color w:val="000000"/>
        </w:rPr>
      </w:pPr>
      <w:r>
        <w:rPr>
          <w:b/>
          <w:bCs/>
          <w:color w:val="000000"/>
          <w:kern w:val="0"/>
        </w:rPr>
        <w:t>2、优化岗位设置。</w:t>
      </w:r>
      <w:r>
        <w:rPr>
          <w:color w:val="000000"/>
          <w:kern w:val="0"/>
        </w:rPr>
        <w:t>救助管理站要在现有编制内合理调配人员，设置社会工作专业岗位和专职寻亲岗位，提升救助服务能力，培养专业化寻亲队伍。人力资源社会保障、财政局要按照国家有关规定落实救助管理站工作人员工资倾斜政策，加强对救助管理干部职工关心关爱，为稳定队伍、推动工作创造条件。（责任单位：县人社局、县财政局、县救助管理站）</w:t>
      </w:r>
    </w:p>
    <w:p w14:paraId="63664D7D">
      <w:pPr>
        <w:spacing w:line="640" w:lineRule="exact"/>
        <w:ind w:firstLine="646" w:firstLineChars="200"/>
        <w:rPr>
          <w:rFonts w:ascii="黑体" w:hAnsi="黑体" w:eastAsia="黑体" w:cs="黑体"/>
          <w:bCs/>
          <w:color w:val="000000"/>
          <w:kern w:val="0"/>
        </w:rPr>
      </w:pPr>
      <w:r>
        <w:rPr>
          <w:rFonts w:ascii="黑体" w:hAnsi="黑体" w:eastAsia="黑体" w:cs="黑体"/>
          <w:bCs/>
          <w:color w:val="000000"/>
          <w:kern w:val="0"/>
        </w:rPr>
        <w:t>三、工作要求</w:t>
      </w:r>
    </w:p>
    <w:p w14:paraId="6A9E6642">
      <w:pPr>
        <w:spacing w:line="640" w:lineRule="exact"/>
        <w:ind w:firstLine="484" w:firstLineChars="150"/>
        <w:rPr>
          <w:color w:val="000000"/>
          <w:kern w:val="0"/>
        </w:rPr>
      </w:pPr>
      <w:r>
        <w:rPr>
          <w:rFonts w:ascii="楷体_GB2312" w:hAnsi="楷体_GB2312" w:eastAsia="楷体_GB2312" w:cs="楷体_GB2312"/>
          <w:b/>
          <w:bCs/>
          <w:color w:val="000000"/>
          <w:kern w:val="0"/>
        </w:rPr>
        <w:t>（一）加强组织领导。</w:t>
      </w:r>
      <w:r>
        <w:rPr>
          <w:color w:val="000000"/>
          <w:kern w:val="0"/>
        </w:rPr>
        <w:t>将救助管理服务质量大提升专项行动列入重要议事日程，依托救助管理工作议事协调机构，及时召开会议部署推进工作，将专项行动主要任务纳入平安建设（综治工作）考核指标，作为考核评价党政领导班子和有关领导干部政绩的重要内容。</w:t>
      </w:r>
    </w:p>
    <w:p w14:paraId="60C62C1A">
      <w:pPr>
        <w:spacing w:line="640" w:lineRule="exact"/>
        <w:ind w:firstLine="484" w:firstLineChars="150"/>
        <w:rPr>
          <w:color w:val="000000"/>
          <w:kern w:val="0"/>
        </w:rPr>
      </w:pPr>
      <w:r>
        <w:rPr>
          <w:rFonts w:ascii="楷体_GB2312" w:hAnsi="楷体_GB2312" w:eastAsia="楷体_GB2312" w:cs="楷体_GB2312"/>
          <w:b/>
          <w:bCs/>
          <w:color w:val="000000"/>
          <w:kern w:val="0"/>
        </w:rPr>
        <w:t>（二）建立信息报送机制。</w:t>
      </w:r>
      <w:r>
        <w:rPr>
          <w:color w:val="000000"/>
          <w:kern w:val="0"/>
        </w:rPr>
        <w:t>民政局要建立专项行动信息报送机制，将《救助管理服务质量大提升专项行动情况汇总表》和专项行动阶段总结（六项任务具体进展情况、工作亮点、存在不足等）逐级上报，县民政局分别于2020年8月20日、12月20日和2021年4月20日报市州民政局，各市州民政局分别在2020年8月25日、12月25日和2021年4月25日报省民政厅社会事务处，同时将其中的地方党委和政府履职情况、照料服务情况、救助寻亲情况、街面巡查和综合治理机制建立情况、落户安置情况、源头治理情况、干部队伍素质提升行动开展情况通报本级政法委、公安、城市管理、扶贫办等相关部门。</w:t>
      </w:r>
    </w:p>
    <w:p w14:paraId="0A64FBC8">
      <w:pPr>
        <w:spacing w:line="640" w:lineRule="exact"/>
        <w:ind w:firstLine="484" w:firstLineChars="150"/>
        <w:rPr>
          <w:color w:val="000000"/>
        </w:rPr>
      </w:pPr>
      <w:r>
        <w:rPr>
          <w:rFonts w:ascii="楷体_GB2312" w:hAnsi="楷体_GB2312" w:eastAsia="楷体_GB2312" w:cs="楷体_GB2312"/>
          <w:b/>
          <w:bCs/>
          <w:color w:val="000000"/>
          <w:kern w:val="0"/>
        </w:rPr>
        <w:t>（三）抓好督促落实和成果验收。</w:t>
      </w:r>
      <w:r>
        <w:rPr>
          <w:color w:val="000000"/>
          <w:kern w:val="0"/>
        </w:rPr>
        <w:t>县直单位和救助管理站要按照具体分工，切实履行工作职责，解决救助管理工作存在的突出问题。民政局要发挥救助管理工作牵头责任，强化部门协同力度，细化阶段性目标，认真做好组织实施。</w:t>
      </w:r>
    </w:p>
    <w:p w14:paraId="0BC9361D">
      <w:pPr>
        <w:spacing w:line="640" w:lineRule="exact"/>
        <w:ind w:firstLine="646" w:firstLineChars="200"/>
        <w:rPr>
          <w:rFonts w:ascii="黑体" w:hAnsi="黑体" w:eastAsia="黑体" w:cs="黑体"/>
          <w:bCs/>
          <w:color w:val="000000"/>
          <w:kern w:val="0"/>
        </w:rPr>
      </w:pPr>
      <w:r>
        <w:rPr>
          <w:rFonts w:hint="eastAsia" w:ascii="黑体" w:hAnsi="黑体" w:eastAsia="黑体" w:cs="黑体"/>
          <w:bCs/>
          <w:color w:val="000000"/>
          <w:kern w:val="0"/>
        </w:rPr>
        <w:t>四、工作责任分工</w:t>
      </w:r>
    </w:p>
    <w:p w14:paraId="2A35BE6B">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（一）县委政法委</w:t>
      </w:r>
    </w:p>
    <w:p w14:paraId="34A265F4">
      <w:pPr>
        <w:spacing w:line="640" w:lineRule="exact"/>
        <w:ind w:firstLine="646" w:firstLineChars="200"/>
      </w:pPr>
      <w:r>
        <w:t>负责将流浪乞讨人员救助大提升行动工作纳入对各乡镇及县直各部门社会治安综合治理、平安创建考核内容和指标，对认真开展工作，落实到位、成效明显的乡镇及县直部门予以表彰奖励，对工作不力、措施不实、造成严重后果的，严格进行责任督导和追究。</w:t>
      </w:r>
    </w:p>
    <w:p w14:paraId="01DCF995">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（二）县公安局</w:t>
      </w:r>
    </w:p>
    <w:p w14:paraId="399C8ACE">
      <w:pPr>
        <w:spacing w:line="640" w:lineRule="exact"/>
        <w:ind w:firstLine="646" w:firstLineChars="200"/>
      </w:pPr>
      <w:r>
        <w:t>组织开展街面巡查，负责将街面巡查时遇到的未成年人、老年人、精神障碍患者和行动不便人员等特殊救助对象应护送至救助管理机构，并履行书面交接手续；</w:t>
      </w:r>
      <w:bookmarkStart w:id="0" w:name="_GoBack"/>
      <w:bookmarkEnd w:id="0"/>
      <w:r>
        <w:t>严厉打击操纵未成年人、残疾人乞讨和拐卖拐骗未成年人等犯罪行为；安置落户工作。</w:t>
      </w:r>
    </w:p>
    <w:p w14:paraId="7EE02B6D">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（三）县民政局</w:t>
      </w:r>
    </w:p>
    <w:p w14:paraId="70AABB85">
      <w:pPr>
        <w:spacing w:line="640" w:lineRule="exact"/>
        <w:ind w:firstLine="646" w:firstLineChars="200"/>
      </w:pPr>
      <w:r>
        <w:t>切实承担专项质量提升工作的牵头责任，建立政府领导、民政牵头、</w:t>
      </w:r>
      <w:r>
        <w:rPr>
          <w:rFonts w:hint="eastAsia"/>
          <w:lang w:eastAsia="zh-CN"/>
        </w:rPr>
        <w:t>其他</w:t>
      </w:r>
      <w:r>
        <w:t>单位参与的领导机制，及时研究解决工作中的重大问题；协同组织开展街面巡查，及时接收安置无人监护照料的流浪乞讨人员；开展照料服务达标行动；开展救助寻亲服务行动；集中开展一次长期滞留人员落户安置行动，协调公安机关启动户籍办理程序。</w:t>
      </w:r>
    </w:p>
    <w:p w14:paraId="2C96AC21">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（四）县财政局</w:t>
      </w:r>
    </w:p>
    <w:p w14:paraId="651D50F0">
      <w:pPr>
        <w:spacing w:line="640" w:lineRule="exact"/>
        <w:ind w:firstLine="646" w:firstLineChars="200"/>
      </w:pPr>
      <w:r>
        <w:t>指导支持民政等有关部门通过政府购买服务等方式引导社会工作专业服务机构、公益慈善类社会组织、志愿服务组织为流浪乞讨人员提供专业服务；按照国家有关规定落实救助管理机构工作人员工资倾斜政策，加强对救助管理干部职工关心关爱，为稳定队伍、推动工作创造条件。</w:t>
      </w:r>
    </w:p>
    <w:p w14:paraId="66A14E41">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（五）县人力资源和社会保障局</w:t>
      </w:r>
    </w:p>
    <w:p w14:paraId="1F1FD92F">
      <w:pPr>
        <w:spacing w:line="640" w:lineRule="exact"/>
        <w:ind w:firstLine="646" w:firstLineChars="200"/>
      </w:pPr>
      <w:r>
        <w:t>积极研究调增配强人力资源；研究推进救助管理机构职工特岗津贴政策。</w:t>
      </w:r>
    </w:p>
    <w:p w14:paraId="63C3661B">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（六）县卫生健康局</w:t>
      </w:r>
    </w:p>
    <w:p w14:paraId="23001B29">
      <w:pPr>
        <w:spacing w:line="640" w:lineRule="exact"/>
        <w:ind w:firstLine="646" w:firstLineChars="200"/>
      </w:pPr>
      <w:r>
        <w:t>负责指导医疗机构及其工作人员，及时、规范为流浪乞讨人员提供医疗救治服务；指导医疗机构做好流浪乞讨人员伤情鉴定、身心健康状况评估等工作。</w:t>
      </w:r>
    </w:p>
    <w:p w14:paraId="7359E496">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（七）县应急管理局</w:t>
      </w:r>
    </w:p>
    <w:p w14:paraId="6AF42590">
      <w:pPr>
        <w:spacing w:line="640" w:lineRule="exact"/>
        <w:ind w:firstLine="646" w:firstLineChars="200"/>
      </w:pPr>
      <w:r>
        <w:t>协助开展突发事件处置工作；督促、指导全县应急管理系统做好流浪乞讨人员安全防范和应急处置工作。</w:t>
      </w:r>
    </w:p>
    <w:p w14:paraId="663F5FAC">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（八）县消防救援大队</w:t>
      </w:r>
    </w:p>
    <w:p w14:paraId="5E77BBFE">
      <w:pPr>
        <w:spacing w:line="640" w:lineRule="exact"/>
        <w:ind w:firstLine="646" w:firstLineChars="200"/>
      </w:pPr>
      <w:r>
        <w:t>对社会福利场所进行消防安全检查，清除消防安全隐患。</w:t>
      </w:r>
    </w:p>
    <w:p w14:paraId="3D5BB1A2">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（九）县市场监督管理局</w:t>
      </w:r>
      <w:r>
        <w:rPr>
          <w:rFonts w:ascii="楷体_GB2312" w:hAnsi="楷体_GB2312" w:eastAsia="楷体_GB2312" w:cs="楷体_GB2312"/>
          <w:b/>
          <w:bCs/>
          <w:color w:val="000000"/>
          <w:kern w:val="0"/>
        </w:rPr>
        <w:tab/>
      </w:r>
    </w:p>
    <w:p w14:paraId="12CF8AA3">
      <w:pPr>
        <w:spacing w:line="640" w:lineRule="exact"/>
        <w:ind w:firstLine="646" w:firstLineChars="200"/>
      </w:pPr>
      <w:r>
        <w:t>会同民政部专题研究制定救助管理机构食品安全管理具体措施，指导救助安置机构食物安全卫生管理，参与食品药品安全事故的调查处理工作。</w:t>
      </w:r>
    </w:p>
    <w:p w14:paraId="2D8F2268">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（十）县医疗保障局</w:t>
      </w:r>
    </w:p>
    <w:p w14:paraId="5FEF6496">
      <w:pPr>
        <w:spacing w:line="640" w:lineRule="exact"/>
        <w:ind w:firstLine="646" w:firstLineChars="200"/>
      </w:pPr>
      <w:r>
        <w:t>对流浪乞讨人员的医疗救助保障政策进行倾斜，协助安置落户的流浪乞讨人员办理参保信息登记。</w:t>
      </w:r>
    </w:p>
    <w:p w14:paraId="7BF0DF34">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（十一）县扶贫开发办公室</w:t>
      </w:r>
    </w:p>
    <w:p w14:paraId="1CFF7C04">
      <w:pPr>
        <w:spacing w:line="640" w:lineRule="exact"/>
        <w:ind w:firstLine="484" w:firstLineChars="150"/>
        <w:rPr>
          <w:color w:val="000000"/>
        </w:rPr>
      </w:pPr>
      <w:r>
        <w:t>对建档立卡贫困户中有流浪乞讨经历的予以重点关注和帮扶。要结合脱贫攻坚“回头看”工作，将脱贫攻坚建档立卡人员中有流浪乞讨经历人数摸清底数，统准数据。</w:t>
      </w:r>
    </w:p>
    <w:p w14:paraId="214B620D">
      <w:pPr>
        <w:spacing w:line="640" w:lineRule="exact"/>
        <w:ind w:firstLine="484" w:firstLineChars="150"/>
        <w:rPr>
          <w:rFonts w:ascii="楷体_GB2312" w:hAnsi="楷体_GB2312" w:eastAsia="楷体_GB2312" w:cs="楷体_GB2312"/>
          <w:b/>
          <w:bCs/>
          <w:color w:val="000000"/>
          <w:kern w:val="0"/>
        </w:rPr>
      </w:pPr>
      <w:r>
        <w:rPr>
          <w:rFonts w:ascii="楷体_GB2312" w:hAnsi="楷体_GB2312" w:eastAsia="楷体_GB2312" w:cs="楷体_GB2312"/>
          <w:b/>
          <w:bCs/>
          <w:color w:val="000000"/>
          <w:kern w:val="0"/>
        </w:rPr>
        <w:t>（十二）县城市管理和综合执法局</w:t>
      </w:r>
    </w:p>
    <w:p w14:paraId="1EEF443F">
      <w:pPr>
        <w:spacing w:line="640" w:lineRule="exact"/>
        <w:ind w:firstLine="646" w:firstLineChars="200"/>
      </w:pPr>
      <w:r>
        <w:t>组织开展街面巡查，负责将街面巡查时遇到的未成年人、老年人、精神障碍患者和行动不便人员等特殊救助对象应护送至救助管理站，并履行书面交接手续；依法依规处理违反城市管理等规定的行为，有效减少“强行讨要”、“职业乞讨”等不文明现象。</w:t>
      </w:r>
    </w:p>
    <w:p w14:paraId="2AC8B925">
      <w:pPr>
        <w:spacing w:line="360" w:lineRule="auto"/>
        <w:ind w:firstLine="646" w:firstLineChars="200"/>
      </w:pPr>
    </w:p>
    <w:p w14:paraId="51F31029">
      <w:pPr>
        <w:spacing w:line="360" w:lineRule="auto"/>
        <w:ind w:firstLine="646" w:firstLineChars="200"/>
      </w:pPr>
    </w:p>
    <w:p w14:paraId="7D738556">
      <w:pPr>
        <w:spacing w:line="360" w:lineRule="auto"/>
        <w:ind w:firstLine="646" w:firstLineChars="200"/>
      </w:pPr>
    </w:p>
    <w:p w14:paraId="7C22B7C0">
      <w:pPr>
        <w:spacing w:line="360" w:lineRule="auto"/>
        <w:ind w:firstLine="646" w:firstLineChars="200"/>
      </w:pPr>
    </w:p>
    <w:p w14:paraId="549541E0">
      <w:pPr>
        <w:spacing w:line="360" w:lineRule="auto"/>
        <w:ind w:firstLine="646" w:firstLineChars="200"/>
      </w:pPr>
    </w:p>
    <w:p w14:paraId="16702227">
      <w:pPr>
        <w:spacing w:line="360" w:lineRule="auto"/>
        <w:ind w:firstLine="646" w:firstLineChars="200"/>
      </w:pPr>
    </w:p>
    <w:p w14:paraId="27DEEBA8">
      <w:pPr>
        <w:spacing w:line="360" w:lineRule="auto"/>
        <w:ind w:firstLine="646" w:firstLineChars="200"/>
      </w:pPr>
    </w:p>
    <w:p w14:paraId="5BEDE569">
      <w:pPr>
        <w:spacing w:line="360" w:lineRule="auto"/>
        <w:ind w:firstLine="646" w:firstLineChars="200"/>
      </w:pPr>
    </w:p>
    <w:p w14:paraId="509E0856">
      <w:pPr>
        <w:spacing w:line="360" w:lineRule="auto"/>
        <w:ind w:firstLine="646" w:firstLineChars="200"/>
      </w:pPr>
    </w:p>
    <w:p w14:paraId="17F6E714">
      <w:pPr>
        <w:spacing w:line="360" w:lineRule="auto"/>
        <w:ind w:firstLine="646" w:firstLineChars="200"/>
      </w:pPr>
    </w:p>
    <w:p w14:paraId="2F66BE7D">
      <w:pPr>
        <w:rPr>
          <w:rFonts w:ascii="仿宋" w:hAnsi="仿宋" w:eastAsia="仿宋" w:cs="黑体"/>
          <w:color w:val="000000"/>
          <w:kern w:val="0"/>
          <w:sz w:val="21"/>
          <w:szCs w:val="21"/>
        </w:rPr>
        <w:sectPr>
          <w:headerReference r:id="rId5" w:type="first"/>
          <w:footerReference r:id="rId8" w:type="first"/>
          <w:headerReference r:id="rId3" w:type="default"/>
          <w:footerReference r:id="rId6" w:type="default"/>
          <w:headerReference r:id="rId4" w:type="even"/>
          <w:footerReference r:id="rId7" w:type="even"/>
          <w:pgSz w:w="11906" w:h="16838"/>
          <w:pgMar w:top="1417" w:right="1417" w:bottom="1417" w:left="1417" w:header="0" w:footer="1417" w:gutter="0"/>
          <w:pgNumType w:start="1"/>
          <w:cols w:space="0" w:num="1"/>
          <w:docGrid w:type="linesAndChars" w:linePitch="451" w:charSpace="819"/>
        </w:sectPr>
      </w:pPr>
    </w:p>
    <w:p w14:paraId="54159758">
      <w:pPr>
        <w:spacing w:line="500" w:lineRule="exact"/>
        <w:rPr>
          <w:rFonts w:ascii="黑体" w:hAnsi="黑体" w:eastAsia="黑体" w:cs="黑体"/>
          <w:color w:val="000000"/>
          <w:kern w:val="0"/>
          <w:sz w:val="28"/>
          <w:szCs w:val="28"/>
        </w:rPr>
      </w:pPr>
      <w:r>
        <w:rPr>
          <w:rFonts w:hint="eastAsia" w:ascii="黑体" w:hAnsi="黑体" w:eastAsia="黑体" w:cs="黑体"/>
          <w:color w:val="000000"/>
          <w:kern w:val="0"/>
          <w:sz w:val="28"/>
          <w:szCs w:val="28"/>
        </w:rPr>
        <w:t>附件2</w:t>
      </w:r>
    </w:p>
    <w:p w14:paraId="0A175AF3">
      <w:pPr>
        <w:spacing w:line="600" w:lineRule="exact"/>
        <w:jc w:val="center"/>
        <w:rPr>
          <w:rFonts w:ascii="方正大标宋简体" w:hAnsi="方正大标宋简体" w:eastAsia="方正大标宋简体" w:cs="方正大标宋简体"/>
          <w:sz w:val="40"/>
          <w:szCs w:val="40"/>
        </w:rPr>
      </w:pPr>
      <w:r>
        <w:rPr>
          <w:rFonts w:hint="eastAsia" w:ascii="方正大标宋简体" w:hAnsi="方正大标宋简体" w:eastAsia="方正大标宋简体" w:cs="方正大标宋简体"/>
          <w:sz w:val="44"/>
          <w:szCs w:val="44"/>
        </w:rPr>
        <w:t>救助管理服务质量大提升专项行动情况汇总表</w:t>
      </w:r>
    </w:p>
    <w:p w14:paraId="1269249E">
      <w:pPr>
        <w:spacing w:line="240" w:lineRule="exact"/>
        <w:rPr>
          <w:rFonts w:ascii="仿宋" w:hAnsi="仿宋" w:eastAsia="仿宋"/>
          <w:color w:val="000000"/>
          <w:sz w:val="20"/>
          <w:szCs w:val="20"/>
          <w:u w:val="single"/>
        </w:rPr>
      </w:pPr>
      <w:r>
        <w:rPr>
          <w:rFonts w:hint="eastAsia" w:ascii="仿宋" w:hAnsi="仿宋" w:eastAsia="仿宋" w:cs="仿宋_GB2312"/>
          <w:color w:val="000000"/>
          <w:kern w:val="0"/>
          <w:sz w:val="20"/>
          <w:szCs w:val="20"/>
        </w:rPr>
        <w:t>填表单位：填表日期</w:t>
      </w:r>
    </w:p>
    <w:tbl>
      <w:tblPr>
        <w:tblStyle w:val="7"/>
        <w:tblW w:w="14060" w:type="dxa"/>
        <w:jc w:val="center"/>
        <w:tblLayout w:type="fixed"/>
        <w:tblCellMar>
          <w:top w:w="0" w:type="dxa"/>
          <w:left w:w="28" w:type="dxa"/>
          <w:bottom w:w="0" w:type="dxa"/>
          <w:right w:w="28" w:type="dxa"/>
        </w:tblCellMar>
      </w:tblPr>
      <w:tblGrid>
        <w:gridCol w:w="413"/>
        <w:gridCol w:w="330"/>
        <w:gridCol w:w="1014"/>
        <w:gridCol w:w="853"/>
        <w:gridCol w:w="323"/>
        <w:gridCol w:w="373"/>
        <w:gridCol w:w="300"/>
        <w:gridCol w:w="353"/>
        <w:gridCol w:w="562"/>
        <w:gridCol w:w="401"/>
        <w:gridCol w:w="477"/>
        <w:gridCol w:w="652"/>
        <w:gridCol w:w="456"/>
        <w:gridCol w:w="496"/>
        <w:gridCol w:w="593"/>
        <w:gridCol w:w="562"/>
        <w:gridCol w:w="388"/>
        <w:gridCol w:w="427"/>
        <w:gridCol w:w="376"/>
        <w:gridCol w:w="541"/>
        <w:gridCol w:w="775"/>
        <w:gridCol w:w="774"/>
        <w:gridCol w:w="487"/>
        <w:gridCol w:w="312"/>
        <w:gridCol w:w="374"/>
        <w:gridCol w:w="454"/>
        <w:gridCol w:w="489"/>
        <w:gridCol w:w="505"/>
      </w:tblGrid>
      <w:tr w14:paraId="1D730614">
        <w:tblPrEx>
          <w:tblCellMar>
            <w:top w:w="0" w:type="dxa"/>
            <w:left w:w="28" w:type="dxa"/>
            <w:bottom w:w="0" w:type="dxa"/>
            <w:right w:w="28" w:type="dxa"/>
          </w:tblCellMar>
        </w:tblPrEx>
        <w:trPr>
          <w:trHeight w:val="821" w:hRule="atLeast"/>
          <w:jc w:val="center"/>
        </w:trPr>
        <w:tc>
          <w:tcPr>
            <w:tcW w:w="413" w:type="dxa"/>
            <w:vMerge w:val="restart"/>
            <w:tcBorders>
              <w:top w:val="single" w:color="auto" w:sz="4" w:space="0"/>
              <w:left w:val="single" w:color="auto" w:sz="4" w:space="0"/>
              <w:bottom w:val="single" w:color="auto" w:sz="4" w:space="0"/>
              <w:right w:val="single" w:color="auto" w:sz="4" w:space="0"/>
            </w:tcBorders>
            <w:vAlign w:val="center"/>
          </w:tcPr>
          <w:p w14:paraId="6201C96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序号</w:t>
            </w:r>
          </w:p>
        </w:tc>
        <w:tc>
          <w:tcPr>
            <w:tcW w:w="330" w:type="dxa"/>
            <w:vMerge w:val="restart"/>
            <w:tcBorders>
              <w:top w:val="single" w:color="auto" w:sz="4" w:space="0"/>
              <w:left w:val="single" w:color="auto" w:sz="4" w:space="0"/>
              <w:bottom w:val="single" w:color="auto" w:sz="4" w:space="0"/>
              <w:right w:val="single" w:color="auto" w:sz="4" w:space="0"/>
            </w:tcBorders>
            <w:vAlign w:val="center"/>
          </w:tcPr>
          <w:p w14:paraId="3F8B167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市州</w:t>
            </w:r>
          </w:p>
        </w:tc>
        <w:tc>
          <w:tcPr>
            <w:tcW w:w="1867" w:type="dxa"/>
            <w:gridSpan w:val="2"/>
            <w:tcBorders>
              <w:top w:val="single" w:color="auto" w:sz="4" w:space="0"/>
              <w:left w:val="nil"/>
              <w:bottom w:val="single" w:color="auto" w:sz="4" w:space="0"/>
              <w:right w:val="single" w:color="000000" w:sz="4" w:space="0"/>
            </w:tcBorders>
            <w:vAlign w:val="center"/>
          </w:tcPr>
          <w:p w14:paraId="12A8400A">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地方党委和政府</w:t>
            </w:r>
            <w:r>
              <w:rPr>
                <w:rFonts w:ascii="仿宋" w:hAnsi="仿宋" w:eastAsia="仿宋"/>
                <w:color w:val="000000"/>
                <w:kern w:val="0"/>
                <w:sz w:val="20"/>
                <w:szCs w:val="20"/>
              </w:rPr>
              <w:br w:type="textWrapping"/>
            </w:r>
            <w:r>
              <w:rPr>
                <w:rFonts w:hint="eastAsia" w:ascii="仿宋" w:hAnsi="仿宋" w:eastAsia="仿宋" w:cs="宋体"/>
                <w:color w:val="000000"/>
                <w:kern w:val="0"/>
                <w:sz w:val="20"/>
                <w:szCs w:val="20"/>
              </w:rPr>
              <w:t>履职情况</w:t>
            </w:r>
          </w:p>
        </w:tc>
        <w:tc>
          <w:tcPr>
            <w:tcW w:w="2789" w:type="dxa"/>
            <w:gridSpan w:val="7"/>
            <w:tcBorders>
              <w:top w:val="single" w:color="auto" w:sz="4" w:space="0"/>
              <w:left w:val="nil"/>
              <w:bottom w:val="single" w:color="auto" w:sz="4" w:space="0"/>
              <w:right w:val="single" w:color="000000" w:sz="4" w:space="0"/>
            </w:tcBorders>
            <w:vAlign w:val="center"/>
          </w:tcPr>
          <w:p w14:paraId="0098741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照料服务达标行动开展情况</w:t>
            </w:r>
          </w:p>
        </w:tc>
        <w:tc>
          <w:tcPr>
            <w:tcW w:w="1108" w:type="dxa"/>
            <w:gridSpan w:val="2"/>
            <w:tcBorders>
              <w:top w:val="single" w:color="auto" w:sz="4" w:space="0"/>
              <w:left w:val="nil"/>
              <w:bottom w:val="single" w:color="auto" w:sz="4" w:space="0"/>
              <w:right w:val="single" w:color="auto" w:sz="4" w:space="0"/>
            </w:tcBorders>
            <w:vAlign w:val="center"/>
          </w:tcPr>
          <w:p w14:paraId="3FFA25E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救助寻亲服务行动开展情况</w:t>
            </w:r>
          </w:p>
        </w:tc>
        <w:tc>
          <w:tcPr>
            <w:tcW w:w="1089" w:type="dxa"/>
            <w:gridSpan w:val="2"/>
            <w:tcBorders>
              <w:top w:val="single" w:color="auto" w:sz="4" w:space="0"/>
              <w:left w:val="nil"/>
              <w:bottom w:val="single" w:color="auto" w:sz="4" w:space="0"/>
              <w:right w:val="single" w:color="auto" w:sz="4" w:space="0"/>
            </w:tcBorders>
            <w:vAlign w:val="center"/>
          </w:tcPr>
          <w:p w14:paraId="745DD15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街面巡查和综合治理行动开展情况</w:t>
            </w:r>
          </w:p>
        </w:tc>
        <w:tc>
          <w:tcPr>
            <w:tcW w:w="2294" w:type="dxa"/>
            <w:gridSpan w:val="5"/>
            <w:tcBorders>
              <w:top w:val="single" w:color="auto" w:sz="4" w:space="0"/>
              <w:left w:val="nil"/>
              <w:bottom w:val="single" w:color="auto" w:sz="4" w:space="0"/>
              <w:right w:val="single" w:color="auto" w:sz="4" w:space="0"/>
            </w:tcBorders>
            <w:vAlign w:val="center"/>
          </w:tcPr>
          <w:p w14:paraId="05D52CC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落户安置行动开展情况</w:t>
            </w:r>
          </w:p>
        </w:tc>
        <w:tc>
          <w:tcPr>
            <w:tcW w:w="2036" w:type="dxa"/>
            <w:gridSpan w:val="3"/>
            <w:tcBorders>
              <w:top w:val="single" w:color="auto" w:sz="4" w:space="0"/>
              <w:left w:val="nil"/>
              <w:bottom w:val="single" w:color="auto" w:sz="4" w:space="0"/>
              <w:right w:val="single" w:color="auto" w:sz="4" w:space="0"/>
            </w:tcBorders>
            <w:vAlign w:val="center"/>
          </w:tcPr>
          <w:p w14:paraId="2D6C08D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源头治理行动开展情况</w:t>
            </w:r>
          </w:p>
        </w:tc>
        <w:tc>
          <w:tcPr>
            <w:tcW w:w="2134" w:type="dxa"/>
            <w:gridSpan w:val="5"/>
            <w:tcBorders>
              <w:top w:val="single" w:color="auto" w:sz="4" w:space="0"/>
              <w:left w:val="nil"/>
              <w:bottom w:val="single" w:color="auto" w:sz="4" w:space="0"/>
              <w:right w:val="single" w:color="auto" w:sz="4" w:space="0"/>
            </w:tcBorders>
            <w:vAlign w:val="center"/>
          </w:tcPr>
          <w:p w14:paraId="43D6C11A">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干部队伍素质提升行动开展情况</w:t>
            </w:r>
          </w:p>
        </w:tc>
      </w:tr>
      <w:tr w14:paraId="6185D5CB">
        <w:tblPrEx>
          <w:tblCellMar>
            <w:top w:w="0" w:type="dxa"/>
            <w:left w:w="28" w:type="dxa"/>
            <w:bottom w:w="0" w:type="dxa"/>
            <w:right w:w="28" w:type="dxa"/>
          </w:tblCellMar>
        </w:tblPrEx>
        <w:trPr>
          <w:trHeight w:val="1691" w:hRule="atLeast"/>
          <w:jc w:val="center"/>
        </w:trPr>
        <w:tc>
          <w:tcPr>
            <w:tcW w:w="413" w:type="dxa"/>
            <w:vMerge w:val="continue"/>
            <w:tcBorders>
              <w:top w:val="single" w:color="auto" w:sz="4" w:space="0"/>
              <w:left w:val="single" w:color="auto" w:sz="4" w:space="0"/>
              <w:bottom w:val="single" w:color="auto" w:sz="4" w:space="0"/>
              <w:right w:val="single" w:color="auto" w:sz="4" w:space="0"/>
            </w:tcBorders>
            <w:vAlign w:val="center"/>
          </w:tcPr>
          <w:p w14:paraId="3F3C7532">
            <w:pPr>
              <w:widowControl/>
              <w:spacing w:line="240" w:lineRule="exact"/>
              <w:jc w:val="left"/>
              <w:rPr>
                <w:rFonts w:ascii="仿宋" w:hAnsi="仿宋" w:eastAsia="仿宋"/>
                <w:color w:val="000000"/>
                <w:kern w:val="0"/>
                <w:sz w:val="20"/>
                <w:szCs w:val="20"/>
              </w:rPr>
            </w:pPr>
          </w:p>
        </w:tc>
        <w:tc>
          <w:tcPr>
            <w:tcW w:w="330" w:type="dxa"/>
            <w:vMerge w:val="continue"/>
            <w:tcBorders>
              <w:top w:val="single" w:color="auto" w:sz="4" w:space="0"/>
              <w:left w:val="single" w:color="auto" w:sz="4" w:space="0"/>
              <w:bottom w:val="single" w:color="auto" w:sz="4" w:space="0"/>
              <w:right w:val="single" w:color="auto" w:sz="4" w:space="0"/>
            </w:tcBorders>
            <w:vAlign w:val="center"/>
          </w:tcPr>
          <w:p w14:paraId="5FA15897">
            <w:pPr>
              <w:widowControl/>
              <w:spacing w:line="240" w:lineRule="exact"/>
              <w:jc w:val="left"/>
              <w:rPr>
                <w:rFonts w:ascii="仿宋" w:hAnsi="仿宋" w:eastAsia="仿宋"/>
                <w:color w:val="000000"/>
                <w:kern w:val="0"/>
                <w:sz w:val="20"/>
                <w:szCs w:val="20"/>
              </w:rPr>
            </w:pPr>
          </w:p>
        </w:tc>
        <w:tc>
          <w:tcPr>
            <w:tcW w:w="1014" w:type="dxa"/>
            <w:vMerge w:val="restart"/>
            <w:tcBorders>
              <w:top w:val="nil"/>
              <w:left w:val="single" w:color="auto" w:sz="4" w:space="0"/>
              <w:bottom w:val="single" w:color="000000" w:sz="4" w:space="0"/>
              <w:right w:val="single" w:color="auto" w:sz="4" w:space="0"/>
            </w:tcBorders>
            <w:vAlign w:val="center"/>
          </w:tcPr>
          <w:p w14:paraId="1FC341D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市州是否成立政府负责同志牵头的领导协调机制，专项行动期间领导协调机制发挥作用情况（注明召开会议时间、研究事项）</w:t>
            </w:r>
          </w:p>
        </w:tc>
        <w:tc>
          <w:tcPr>
            <w:tcW w:w="853" w:type="dxa"/>
            <w:vMerge w:val="restart"/>
            <w:tcBorders>
              <w:top w:val="nil"/>
              <w:left w:val="single" w:color="auto" w:sz="4" w:space="0"/>
              <w:bottom w:val="single" w:color="000000" w:sz="4" w:space="0"/>
              <w:right w:val="single" w:color="auto" w:sz="4" w:space="0"/>
            </w:tcBorders>
            <w:vAlign w:val="center"/>
          </w:tcPr>
          <w:p w14:paraId="0A15153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市州党委、政府领导对救助管理工作调研指导、解决工作中的突出困难和问题情况</w:t>
            </w:r>
          </w:p>
        </w:tc>
        <w:tc>
          <w:tcPr>
            <w:tcW w:w="696" w:type="dxa"/>
            <w:gridSpan w:val="2"/>
            <w:tcBorders>
              <w:top w:val="single" w:color="auto" w:sz="4" w:space="0"/>
              <w:left w:val="single" w:color="auto" w:sz="4" w:space="0"/>
              <w:bottom w:val="nil"/>
              <w:right w:val="single" w:color="auto" w:sz="4" w:space="0"/>
            </w:tcBorders>
            <w:vAlign w:val="center"/>
          </w:tcPr>
          <w:p w14:paraId="2FF7F6A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救助管理机构监管情况</w:t>
            </w:r>
          </w:p>
        </w:tc>
        <w:tc>
          <w:tcPr>
            <w:tcW w:w="653" w:type="dxa"/>
            <w:gridSpan w:val="2"/>
            <w:tcBorders>
              <w:top w:val="single" w:color="auto" w:sz="4" w:space="0"/>
              <w:left w:val="nil"/>
              <w:bottom w:val="nil"/>
              <w:right w:val="single" w:color="auto" w:sz="4" w:space="0"/>
            </w:tcBorders>
            <w:vAlign w:val="center"/>
          </w:tcPr>
          <w:p w14:paraId="7BAE70A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托养机构监管</w:t>
            </w:r>
            <w:r>
              <w:rPr>
                <w:rFonts w:ascii="仿宋" w:hAnsi="仿宋" w:eastAsia="仿宋"/>
                <w:color w:val="000000"/>
                <w:kern w:val="0"/>
                <w:sz w:val="20"/>
                <w:szCs w:val="20"/>
              </w:rPr>
              <w:br w:type="textWrapping"/>
            </w:r>
            <w:r>
              <w:rPr>
                <w:rFonts w:hint="eastAsia" w:ascii="仿宋" w:hAnsi="仿宋" w:eastAsia="仿宋" w:cs="宋体"/>
                <w:color w:val="000000"/>
                <w:kern w:val="0"/>
                <w:sz w:val="20"/>
                <w:szCs w:val="20"/>
              </w:rPr>
              <w:t>情况</w:t>
            </w:r>
          </w:p>
        </w:tc>
        <w:tc>
          <w:tcPr>
            <w:tcW w:w="562" w:type="dxa"/>
            <w:vMerge w:val="restart"/>
            <w:tcBorders>
              <w:top w:val="nil"/>
              <w:left w:val="single" w:color="auto" w:sz="4" w:space="0"/>
              <w:bottom w:val="single" w:color="auto" w:sz="4" w:space="0"/>
              <w:right w:val="single" w:color="auto" w:sz="4" w:space="0"/>
            </w:tcBorders>
            <w:vAlign w:val="center"/>
          </w:tcPr>
          <w:p w14:paraId="6F18FE9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截至</w:t>
            </w:r>
            <w:r>
              <w:rPr>
                <w:rFonts w:ascii="仿宋" w:hAnsi="仿宋" w:eastAsia="仿宋"/>
                <w:color w:val="000000"/>
                <w:kern w:val="0"/>
                <w:sz w:val="20"/>
                <w:szCs w:val="20"/>
              </w:rPr>
              <w:t>2020</w:t>
            </w:r>
            <w:r>
              <w:rPr>
                <w:rFonts w:hint="eastAsia" w:ascii="仿宋" w:hAnsi="仿宋" w:eastAsia="仿宋" w:cs="宋体"/>
                <w:color w:val="000000"/>
                <w:kern w:val="0"/>
                <w:sz w:val="20"/>
                <w:szCs w:val="20"/>
              </w:rPr>
              <w:t>年</w:t>
            </w:r>
            <w:r>
              <w:rPr>
                <w:rFonts w:ascii="仿宋" w:hAnsi="仿宋" w:eastAsia="仿宋"/>
                <w:color w:val="000000"/>
                <w:kern w:val="0"/>
                <w:sz w:val="20"/>
                <w:szCs w:val="20"/>
              </w:rPr>
              <w:t>3</w:t>
            </w:r>
            <w:r>
              <w:rPr>
                <w:rFonts w:hint="eastAsia" w:ascii="仿宋" w:hAnsi="仿宋" w:eastAsia="仿宋" w:cs="宋体"/>
                <w:color w:val="000000"/>
                <w:kern w:val="0"/>
                <w:sz w:val="20"/>
                <w:szCs w:val="20"/>
              </w:rPr>
              <w:t>月站外托养人数</w:t>
            </w:r>
          </w:p>
        </w:tc>
        <w:tc>
          <w:tcPr>
            <w:tcW w:w="401" w:type="dxa"/>
            <w:vMerge w:val="restart"/>
            <w:tcBorders>
              <w:top w:val="nil"/>
              <w:left w:val="single" w:color="auto" w:sz="4" w:space="0"/>
              <w:bottom w:val="single" w:color="auto" w:sz="4" w:space="0"/>
              <w:right w:val="single" w:color="auto" w:sz="4" w:space="0"/>
            </w:tcBorders>
            <w:vAlign w:val="center"/>
          </w:tcPr>
          <w:p w14:paraId="04D3971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专项行动期间接回站内照料人数</w:t>
            </w:r>
          </w:p>
        </w:tc>
        <w:tc>
          <w:tcPr>
            <w:tcW w:w="477" w:type="dxa"/>
            <w:vMerge w:val="restart"/>
            <w:tcBorders>
              <w:top w:val="nil"/>
              <w:left w:val="single" w:color="auto" w:sz="4" w:space="0"/>
              <w:bottom w:val="single" w:color="000000" w:sz="4" w:space="0"/>
              <w:right w:val="single" w:color="auto" w:sz="4" w:space="0"/>
            </w:tcBorders>
            <w:vAlign w:val="center"/>
          </w:tcPr>
          <w:p w14:paraId="200EA0B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专项行动期间是否发生负面舆情等异常情况</w:t>
            </w:r>
          </w:p>
        </w:tc>
        <w:tc>
          <w:tcPr>
            <w:tcW w:w="652" w:type="dxa"/>
            <w:vMerge w:val="restart"/>
            <w:tcBorders>
              <w:top w:val="nil"/>
              <w:left w:val="single" w:color="auto" w:sz="4" w:space="0"/>
              <w:bottom w:val="single" w:color="auto" w:sz="4" w:space="0"/>
              <w:right w:val="single" w:color="auto" w:sz="4" w:space="0"/>
            </w:tcBorders>
            <w:vAlign w:val="center"/>
          </w:tcPr>
          <w:p w14:paraId="342E06E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滞留超过</w:t>
            </w:r>
            <w:r>
              <w:rPr>
                <w:rFonts w:ascii="仿宋" w:hAnsi="仿宋" w:eastAsia="仿宋"/>
                <w:color w:val="000000"/>
                <w:kern w:val="0"/>
                <w:sz w:val="20"/>
                <w:szCs w:val="20"/>
              </w:rPr>
              <w:t>10</w:t>
            </w:r>
            <w:r>
              <w:rPr>
                <w:rFonts w:hint="eastAsia" w:ascii="仿宋" w:hAnsi="仿宋" w:eastAsia="仿宋" w:cs="宋体"/>
                <w:color w:val="000000"/>
                <w:kern w:val="0"/>
                <w:sz w:val="20"/>
                <w:szCs w:val="20"/>
              </w:rPr>
              <w:t>天（无法查明身份信息）人员总数</w:t>
            </w:r>
          </w:p>
        </w:tc>
        <w:tc>
          <w:tcPr>
            <w:tcW w:w="456" w:type="dxa"/>
            <w:vMerge w:val="restart"/>
            <w:tcBorders>
              <w:top w:val="nil"/>
              <w:left w:val="single" w:color="auto" w:sz="4" w:space="0"/>
              <w:bottom w:val="single" w:color="auto" w:sz="4" w:space="0"/>
              <w:right w:val="single" w:color="auto" w:sz="4" w:space="0"/>
            </w:tcBorders>
            <w:vAlign w:val="center"/>
          </w:tcPr>
          <w:p w14:paraId="0C43FDF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专项行动以来查明滞留人员身份信息人数</w:t>
            </w:r>
          </w:p>
        </w:tc>
        <w:tc>
          <w:tcPr>
            <w:tcW w:w="496" w:type="dxa"/>
            <w:vMerge w:val="restart"/>
            <w:tcBorders>
              <w:top w:val="nil"/>
              <w:left w:val="single" w:color="auto" w:sz="4" w:space="0"/>
              <w:bottom w:val="single" w:color="auto" w:sz="4" w:space="0"/>
              <w:right w:val="single" w:color="auto" w:sz="4" w:space="0"/>
            </w:tcBorders>
            <w:vAlign w:val="center"/>
          </w:tcPr>
          <w:p w14:paraId="491309C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县市区总数</w:t>
            </w:r>
          </w:p>
        </w:tc>
        <w:tc>
          <w:tcPr>
            <w:tcW w:w="593" w:type="dxa"/>
            <w:vMerge w:val="restart"/>
            <w:tcBorders>
              <w:top w:val="nil"/>
              <w:left w:val="single" w:color="auto" w:sz="4" w:space="0"/>
              <w:bottom w:val="single" w:color="auto" w:sz="4" w:space="0"/>
              <w:right w:val="single" w:color="auto" w:sz="4" w:space="0"/>
            </w:tcBorders>
            <w:vAlign w:val="center"/>
          </w:tcPr>
          <w:p w14:paraId="15763EA3">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已建成公安、城管牵头履行街面巡查职责个数（市州、县市区分别注明）</w:t>
            </w:r>
          </w:p>
        </w:tc>
        <w:tc>
          <w:tcPr>
            <w:tcW w:w="562" w:type="dxa"/>
            <w:vMerge w:val="restart"/>
            <w:tcBorders>
              <w:top w:val="nil"/>
              <w:left w:val="single" w:color="auto" w:sz="4" w:space="0"/>
              <w:bottom w:val="single" w:color="auto" w:sz="4" w:space="0"/>
              <w:right w:val="single" w:color="auto" w:sz="4" w:space="0"/>
            </w:tcBorders>
            <w:vAlign w:val="center"/>
          </w:tcPr>
          <w:p w14:paraId="4684FDE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截至</w:t>
            </w:r>
            <w:r>
              <w:rPr>
                <w:rFonts w:ascii="仿宋" w:hAnsi="仿宋" w:eastAsia="仿宋"/>
                <w:color w:val="000000"/>
                <w:kern w:val="0"/>
                <w:sz w:val="20"/>
                <w:szCs w:val="20"/>
              </w:rPr>
              <w:t>2020</w:t>
            </w:r>
            <w:r>
              <w:rPr>
                <w:rFonts w:hint="eastAsia" w:ascii="仿宋" w:hAnsi="仿宋" w:eastAsia="仿宋" w:cs="宋体"/>
                <w:color w:val="000000"/>
                <w:kern w:val="0"/>
                <w:sz w:val="20"/>
                <w:szCs w:val="20"/>
              </w:rPr>
              <w:t>年</w:t>
            </w:r>
            <w:r>
              <w:rPr>
                <w:rFonts w:ascii="仿宋" w:hAnsi="仿宋" w:eastAsia="仿宋"/>
                <w:color w:val="000000"/>
                <w:kern w:val="0"/>
                <w:sz w:val="20"/>
                <w:szCs w:val="20"/>
              </w:rPr>
              <w:t>3</w:t>
            </w:r>
            <w:r>
              <w:rPr>
                <w:rFonts w:hint="eastAsia" w:ascii="仿宋" w:hAnsi="仿宋" w:eastAsia="仿宋" w:cs="宋体"/>
                <w:color w:val="000000"/>
                <w:kern w:val="0"/>
                <w:sz w:val="20"/>
                <w:szCs w:val="20"/>
              </w:rPr>
              <w:t>月滞留人员总数</w:t>
            </w:r>
          </w:p>
        </w:tc>
        <w:tc>
          <w:tcPr>
            <w:tcW w:w="388" w:type="dxa"/>
            <w:vMerge w:val="restart"/>
            <w:tcBorders>
              <w:top w:val="nil"/>
              <w:left w:val="single" w:color="auto" w:sz="4" w:space="0"/>
              <w:bottom w:val="single" w:color="auto" w:sz="4" w:space="0"/>
              <w:right w:val="single" w:color="auto" w:sz="4" w:space="0"/>
            </w:tcBorders>
            <w:vAlign w:val="center"/>
          </w:tcPr>
          <w:p w14:paraId="39A54D3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向民政部门报请安置申请人数</w:t>
            </w:r>
          </w:p>
        </w:tc>
        <w:tc>
          <w:tcPr>
            <w:tcW w:w="427" w:type="dxa"/>
            <w:vMerge w:val="restart"/>
            <w:tcBorders>
              <w:top w:val="nil"/>
              <w:left w:val="single" w:color="auto" w:sz="4" w:space="0"/>
              <w:bottom w:val="single" w:color="auto" w:sz="4" w:space="0"/>
              <w:right w:val="single" w:color="auto" w:sz="4" w:space="0"/>
            </w:tcBorders>
            <w:vAlign w:val="center"/>
          </w:tcPr>
          <w:p w14:paraId="13EC279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民政部门向同级政府报安置方案人数</w:t>
            </w:r>
          </w:p>
        </w:tc>
        <w:tc>
          <w:tcPr>
            <w:tcW w:w="376" w:type="dxa"/>
            <w:vMerge w:val="restart"/>
            <w:tcBorders>
              <w:top w:val="nil"/>
              <w:left w:val="single" w:color="auto" w:sz="4" w:space="0"/>
              <w:bottom w:val="single" w:color="auto" w:sz="4" w:space="0"/>
              <w:right w:val="single" w:color="auto" w:sz="4" w:space="0"/>
            </w:tcBorders>
            <w:vAlign w:val="center"/>
          </w:tcPr>
          <w:p w14:paraId="01E9CD73">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政府部门批准落户安置人数</w:t>
            </w:r>
          </w:p>
        </w:tc>
        <w:tc>
          <w:tcPr>
            <w:tcW w:w="541" w:type="dxa"/>
            <w:vMerge w:val="restart"/>
            <w:tcBorders>
              <w:top w:val="nil"/>
              <w:left w:val="single" w:color="auto" w:sz="4" w:space="0"/>
              <w:bottom w:val="single" w:color="auto" w:sz="4" w:space="0"/>
              <w:right w:val="single" w:color="auto" w:sz="4" w:space="0"/>
            </w:tcBorders>
            <w:vAlign w:val="center"/>
          </w:tcPr>
          <w:p w14:paraId="02C1F0D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长期安置（未落户）人数</w:t>
            </w:r>
          </w:p>
        </w:tc>
        <w:tc>
          <w:tcPr>
            <w:tcW w:w="775" w:type="dxa"/>
            <w:vMerge w:val="restart"/>
            <w:tcBorders>
              <w:top w:val="nil"/>
              <w:left w:val="single" w:color="auto" w:sz="4" w:space="0"/>
              <w:bottom w:val="single" w:color="auto" w:sz="4" w:space="0"/>
              <w:right w:val="single" w:color="auto" w:sz="4" w:space="0"/>
            </w:tcBorders>
            <w:vAlign w:val="center"/>
          </w:tcPr>
          <w:p w14:paraId="026EB5E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建立返乡人员信息台账救助管理机构个数（市州、县市区分别注明）</w:t>
            </w:r>
          </w:p>
        </w:tc>
        <w:tc>
          <w:tcPr>
            <w:tcW w:w="774" w:type="dxa"/>
            <w:vMerge w:val="restart"/>
            <w:tcBorders>
              <w:top w:val="nil"/>
              <w:left w:val="single" w:color="auto" w:sz="4" w:space="0"/>
              <w:bottom w:val="single" w:color="auto" w:sz="4" w:space="0"/>
              <w:right w:val="single" w:color="auto" w:sz="4" w:space="0"/>
            </w:tcBorders>
            <w:vAlign w:val="center"/>
          </w:tcPr>
          <w:p w14:paraId="7106ABD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建立易走失人员信息库救助管理机构个数（市州、县市区分别注明）</w:t>
            </w:r>
          </w:p>
        </w:tc>
        <w:tc>
          <w:tcPr>
            <w:tcW w:w="487" w:type="dxa"/>
            <w:vMerge w:val="restart"/>
            <w:tcBorders>
              <w:top w:val="nil"/>
              <w:left w:val="single" w:color="auto" w:sz="4" w:space="0"/>
              <w:bottom w:val="single" w:color="auto" w:sz="4" w:space="0"/>
              <w:right w:val="single" w:color="auto" w:sz="4" w:space="0"/>
            </w:tcBorders>
            <w:vAlign w:val="center"/>
          </w:tcPr>
          <w:p w14:paraId="2355937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脱贫攻坚建档立卡人员中有流浪乞讨经历人数</w:t>
            </w:r>
          </w:p>
        </w:tc>
        <w:tc>
          <w:tcPr>
            <w:tcW w:w="312" w:type="dxa"/>
            <w:vMerge w:val="restart"/>
            <w:tcBorders>
              <w:top w:val="nil"/>
              <w:left w:val="single" w:color="auto" w:sz="4" w:space="0"/>
              <w:bottom w:val="single" w:color="auto" w:sz="4" w:space="0"/>
              <w:right w:val="single" w:color="auto" w:sz="4" w:space="0"/>
            </w:tcBorders>
            <w:vAlign w:val="center"/>
          </w:tcPr>
          <w:p w14:paraId="79CA6CA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干部职工总人数</w:t>
            </w:r>
          </w:p>
        </w:tc>
        <w:tc>
          <w:tcPr>
            <w:tcW w:w="374" w:type="dxa"/>
            <w:vMerge w:val="restart"/>
            <w:tcBorders>
              <w:top w:val="nil"/>
              <w:left w:val="single" w:color="auto" w:sz="4" w:space="0"/>
              <w:bottom w:val="single" w:color="auto" w:sz="4" w:space="0"/>
              <w:right w:val="single" w:color="auto" w:sz="4" w:space="0"/>
            </w:tcBorders>
            <w:vAlign w:val="center"/>
          </w:tcPr>
          <w:p w14:paraId="5F8D66B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参加两天以上脱产培训人数</w:t>
            </w:r>
          </w:p>
        </w:tc>
        <w:tc>
          <w:tcPr>
            <w:tcW w:w="454" w:type="dxa"/>
            <w:vMerge w:val="restart"/>
            <w:tcBorders>
              <w:top w:val="nil"/>
              <w:left w:val="single" w:color="auto" w:sz="4" w:space="0"/>
              <w:bottom w:val="single" w:color="000000" w:sz="4" w:space="0"/>
              <w:right w:val="single" w:color="auto" w:sz="4" w:space="0"/>
            </w:tcBorders>
            <w:vAlign w:val="center"/>
          </w:tcPr>
          <w:p w14:paraId="42CBF45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专项行动期间参加专业水平测试职工人数</w:t>
            </w:r>
          </w:p>
        </w:tc>
        <w:tc>
          <w:tcPr>
            <w:tcW w:w="489" w:type="dxa"/>
            <w:vMerge w:val="restart"/>
            <w:tcBorders>
              <w:top w:val="nil"/>
              <w:left w:val="single" w:color="auto" w:sz="4" w:space="0"/>
              <w:bottom w:val="single" w:color="auto" w:sz="4" w:space="0"/>
              <w:right w:val="single" w:color="auto" w:sz="4" w:space="0"/>
            </w:tcBorders>
            <w:vAlign w:val="center"/>
          </w:tcPr>
          <w:p w14:paraId="4B36F9D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持有社会工作者证职工人数</w:t>
            </w:r>
          </w:p>
        </w:tc>
        <w:tc>
          <w:tcPr>
            <w:tcW w:w="505" w:type="dxa"/>
            <w:vMerge w:val="restart"/>
            <w:tcBorders>
              <w:top w:val="nil"/>
              <w:left w:val="single" w:color="auto" w:sz="4" w:space="0"/>
              <w:bottom w:val="single" w:color="auto" w:sz="4" w:space="0"/>
              <w:right w:val="single" w:color="auto" w:sz="4" w:space="0"/>
            </w:tcBorders>
            <w:vAlign w:val="center"/>
          </w:tcPr>
          <w:p w14:paraId="5DC3678A">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工资倾斜政策落实情况</w:t>
            </w:r>
          </w:p>
        </w:tc>
      </w:tr>
      <w:tr w14:paraId="13675E1C">
        <w:tblPrEx>
          <w:tblCellMar>
            <w:top w:w="0" w:type="dxa"/>
            <w:left w:w="28" w:type="dxa"/>
            <w:bottom w:w="0" w:type="dxa"/>
            <w:right w:w="28" w:type="dxa"/>
          </w:tblCellMar>
        </w:tblPrEx>
        <w:trPr>
          <w:trHeight w:val="2721" w:hRule="atLeast"/>
          <w:jc w:val="center"/>
        </w:trPr>
        <w:tc>
          <w:tcPr>
            <w:tcW w:w="413" w:type="dxa"/>
            <w:vMerge w:val="continue"/>
            <w:tcBorders>
              <w:top w:val="single" w:color="auto" w:sz="4" w:space="0"/>
              <w:left w:val="single" w:color="auto" w:sz="4" w:space="0"/>
              <w:bottom w:val="single" w:color="auto" w:sz="4" w:space="0"/>
              <w:right w:val="single" w:color="auto" w:sz="4" w:space="0"/>
            </w:tcBorders>
            <w:vAlign w:val="center"/>
          </w:tcPr>
          <w:p w14:paraId="223EC93E">
            <w:pPr>
              <w:widowControl/>
              <w:spacing w:line="240" w:lineRule="exact"/>
              <w:jc w:val="left"/>
              <w:rPr>
                <w:rFonts w:ascii="仿宋" w:hAnsi="仿宋" w:eastAsia="仿宋"/>
                <w:color w:val="000000"/>
                <w:kern w:val="0"/>
                <w:sz w:val="20"/>
                <w:szCs w:val="20"/>
              </w:rPr>
            </w:pPr>
          </w:p>
        </w:tc>
        <w:tc>
          <w:tcPr>
            <w:tcW w:w="330" w:type="dxa"/>
            <w:vMerge w:val="continue"/>
            <w:tcBorders>
              <w:top w:val="single" w:color="auto" w:sz="4" w:space="0"/>
              <w:left w:val="single" w:color="auto" w:sz="4" w:space="0"/>
              <w:bottom w:val="single" w:color="auto" w:sz="4" w:space="0"/>
              <w:right w:val="single" w:color="auto" w:sz="4" w:space="0"/>
            </w:tcBorders>
            <w:vAlign w:val="center"/>
          </w:tcPr>
          <w:p w14:paraId="03C566BD">
            <w:pPr>
              <w:widowControl/>
              <w:spacing w:line="240" w:lineRule="exact"/>
              <w:jc w:val="left"/>
              <w:rPr>
                <w:rFonts w:ascii="仿宋" w:hAnsi="仿宋" w:eastAsia="仿宋"/>
                <w:color w:val="000000"/>
                <w:kern w:val="0"/>
                <w:sz w:val="20"/>
                <w:szCs w:val="20"/>
              </w:rPr>
            </w:pPr>
          </w:p>
        </w:tc>
        <w:tc>
          <w:tcPr>
            <w:tcW w:w="1014" w:type="dxa"/>
            <w:vMerge w:val="continue"/>
            <w:tcBorders>
              <w:top w:val="nil"/>
              <w:left w:val="single" w:color="auto" w:sz="4" w:space="0"/>
              <w:bottom w:val="single" w:color="000000" w:sz="4" w:space="0"/>
              <w:right w:val="single" w:color="auto" w:sz="4" w:space="0"/>
            </w:tcBorders>
            <w:vAlign w:val="center"/>
          </w:tcPr>
          <w:p w14:paraId="5F5D708E">
            <w:pPr>
              <w:widowControl/>
              <w:spacing w:line="240" w:lineRule="exact"/>
              <w:jc w:val="left"/>
              <w:rPr>
                <w:rFonts w:ascii="仿宋" w:hAnsi="仿宋" w:eastAsia="仿宋"/>
                <w:color w:val="000000"/>
                <w:kern w:val="0"/>
                <w:sz w:val="20"/>
                <w:szCs w:val="20"/>
              </w:rPr>
            </w:pPr>
          </w:p>
        </w:tc>
        <w:tc>
          <w:tcPr>
            <w:tcW w:w="853" w:type="dxa"/>
            <w:vMerge w:val="continue"/>
            <w:tcBorders>
              <w:top w:val="nil"/>
              <w:left w:val="single" w:color="auto" w:sz="4" w:space="0"/>
              <w:bottom w:val="single" w:color="000000" w:sz="4" w:space="0"/>
              <w:right w:val="single" w:color="auto" w:sz="4" w:space="0"/>
            </w:tcBorders>
            <w:vAlign w:val="center"/>
          </w:tcPr>
          <w:p w14:paraId="0E60063E">
            <w:pPr>
              <w:widowControl/>
              <w:spacing w:line="240" w:lineRule="exact"/>
              <w:jc w:val="left"/>
              <w:rPr>
                <w:rFonts w:ascii="仿宋" w:hAnsi="仿宋" w:eastAsia="仿宋"/>
                <w:color w:val="000000"/>
                <w:kern w:val="0"/>
                <w:sz w:val="20"/>
                <w:szCs w:val="20"/>
              </w:rPr>
            </w:pPr>
          </w:p>
        </w:tc>
        <w:tc>
          <w:tcPr>
            <w:tcW w:w="323" w:type="dxa"/>
            <w:tcBorders>
              <w:top w:val="single" w:color="auto" w:sz="4" w:space="0"/>
              <w:left w:val="single" w:color="auto" w:sz="4" w:space="0"/>
              <w:bottom w:val="single" w:color="auto" w:sz="4" w:space="0"/>
              <w:right w:val="nil"/>
            </w:tcBorders>
            <w:vAlign w:val="center"/>
          </w:tcPr>
          <w:p w14:paraId="46C87183">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救助管理机构总数</w:t>
            </w:r>
          </w:p>
        </w:tc>
        <w:tc>
          <w:tcPr>
            <w:tcW w:w="373" w:type="dxa"/>
            <w:tcBorders>
              <w:top w:val="single" w:color="auto" w:sz="4" w:space="0"/>
              <w:left w:val="single" w:color="auto" w:sz="4" w:space="0"/>
              <w:bottom w:val="single" w:color="auto" w:sz="4" w:space="0"/>
              <w:right w:val="nil"/>
            </w:tcBorders>
            <w:vAlign w:val="center"/>
          </w:tcPr>
          <w:p w14:paraId="0E36981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相关部门实地检查个数</w:t>
            </w:r>
          </w:p>
        </w:tc>
        <w:tc>
          <w:tcPr>
            <w:tcW w:w="300" w:type="dxa"/>
            <w:tcBorders>
              <w:top w:val="single" w:color="auto" w:sz="4" w:space="0"/>
              <w:left w:val="single" w:color="auto" w:sz="4" w:space="0"/>
              <w:bottom w:val="single" w:color="auto" w:sz="4" w:space="0"/>
              <w:right w:val="nil"/>
            </w:tcBorders>
            <w:vAlign w:val="center"/>
          </w:tcPr>
          <w:p w14:paraId="20131D6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托养机构总数</w:t>
            </w:r>
          </w:p>
        </w:tc>
        <w:tc>
          <w:tcPr>
            <w:tcW w:w="353" w:type="dxa"/>
            <w:tcBorders>
              <w:top w:val="single" w:color="auto" w:sz="4" w:space="0"/>
              <w:left w:val="single" w:color="auto" w:sz="4" w:space="0"/>
              <w:bottom w:val="single" w:color="auto" w:sz="4" w:space="0"/>
              <w:right w:val="single" w:color="auto" w:sz="4" w:space="0"/>
            </w:tcBorders>
            <w:vAlign w:val="center"/>
          </w:tcPr>
          <w:p w14:paraId="37FEF02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相关部门实地检查个数</w:t>
            </w:r>
          </w:p>
        </w:tc>
        <w:tc>
          <w:tcPr>
            <w:tcW w:w="562" w:type="dxa"/>
            <w:vMerge w:val="continue"/>
            <w:tcBorders>
              <w:top w:val="nil"/>
              <w:left w:val="single" w:color="auto" w:sz="4" w:space="0"/>
              <w:bottom w:val="single" w:color="auto" w:sz="4" w:space="0"/>
              <w:right w:val="single" w:color="auto" w:sz="4" w:space="0"/>
            </w:tcBorders>
            <w:vAlign w:val="center"/>
          </w:tcPr>
          <w:p w14:paraId="4E6F52D1">
            <w:pPr>
              <w:widowControl/>
              <w:spacing w:line="240" w:lineRule="exact"/>
              <w:jc w:val="left"/>
              <w:rPr>
                <w:rFonts w:ascii="仿宋" w:hAnsi="仿宋" w:eastAsia="仿宋"/>
                <w:color w:val="000000"/>
                <w:kern w:val="0"/>
                <w:sz w:val="20"/>
                <w:szCs w:val="20"/>
              </w:rPr>
            </w:pPr>
          </w:p>
        </w:tc>
        <w:tc>
          <w:tcPr>
            <w:tcW w:w="401" w:type="dxa"/>
            <w:vMerge w:val="continue"/>
            <w:tcBorders>
              <w:top w:val="nil"/>
              <w:left w:val="single" w:color="auto" w:sz="4" w:space="0"/>
              <w:bottom w:val="single" w:color="auto" w:sz="4" w:space="0"/>
              <w:right w:val="single" w:color="auto" w:sz="4" w:space="0"/>
            </w:tcBorders>
            <w:vAlign w:val="center"/>
          </w:tcPr>
          <w:p w14:paraId="30D77FB7">
            <w:pPr>
              <w:widowControl/>
              <w:spacing w:line="240" w:lineRule="exact"/>
              <w:jc w:val="left"/>
              <w:rPr>
                <w:rFonts w:ascii="仿宋" w:hAnsi="仿宋" w:eastAsia="仿宋"/>
                <w:color w:val="000000"/>
                <w:kern w:val="0"/>
                <w:sz w:val="20"/>
                <w:szCs w:val="20"/>
              </w:rPr>
            </w:pPr>
          </w:p>
        </w:tc>
        <w:tc>
          <w:tcPr>
            <w:tcW w:w="477" w:type="dxa"/>
            <w:vMerge w:val="continue"/>
            <w:tcBorders>
              <w:top w:val="nil"/>
              <w:left w:val="single" w:color="auto" w:sz="4" w:space="0"/>
              <w:bottom w:val="single" w:color="000000" w:sz="4" w:space="0"/>
              <w:right w:val="single" w:color="auto" w:sz="4" w:space="0"/>
            </w:tcBorders>
            <w:vAlign w:val="center"/>
          </w:tcPr>
          <w:p w14:paraId="59925889">
            <w:pPr>
              <w:widowControl/>
              <w:spacing w:line="240" w:lineRule="exact"/>
              <w:jc w:val="left"/>
              <w:rPr>
                <w:rFonts w:ascii="仿宋" w:hAnsi="仿宋" w:eastAsia="仿宋"/>
                <w:color w:val="000000"/>
                <w:kern w:val="0"/>
                <w:sz w:val="20"/>
                <w:szCs w:val="20"/>
              </w:rPr>
            </w:pPr>
          </w:p>
        </w:tc>
        <w:tc>
          <w:tcPr>
            <w:tcW w:w="652" w:type="dxa"/>
            <w:vMerge w:val="continue"/>
            <w:tcBorders>
              <w:top w:val="nil"/>
              <w:left w:val="single" w:color="auto" w:sz="4" w:space="0"/>
              <w:bottom w:val="single" w:color="auto" w:sz="4" w:space="0"/>
              <w:right w:val="single" w:color="auto" w:sz="4" w:space="0"/>
            </w:tcBorders>
            <w:vAlign w:val="center"/>
          </w:tcPr>
          <w:p w14:paraId="3C07B7C5">
            <w:pPr>
              <w:widowControl/>
              <w:spacing w:line="240" w:lineRule="exact"/>
              <w:jc w:val="left"/>
              <w:rPr>
                <w:rFonts w:ascii="仿宋" w:hAnsi="仿宋" w:eastAsia="仿宋"/>
                <w:color w:val="000000"/>
                <w:kern w:val="0"/>
                <w:sz w:val="20"/>
                <w:szCs w:val="20"/>
              </w:rPr>
            </w:pPr>
          </w:p>
        </w:tc>
        <w:tc>
          <w:tcPr>
            <w:tcW w:w="456" w:type="dxa"/>
            <w:vMerge w:val="continue"/>
            <w:tcBorders>
              <w:top w:val="nil"/>
              <w:left w:val="single" w:color="auto" w:sz="4" w:space="0"/>
              <w:bottom w:val="single" w:color="auto" w:sz="4" w:space="0"/>
              <w:right w:val="single" w:color="auto" w:sz="4" w:space="0"/>
            </w:tcBorders>
            <w:vAlign w:val="center"/>
          </w:tcPr>
          <w:p w14:paraId="29101802">
            <w:pPr>
              <w:widowControl/>
              <w:spacing w:line="240" w:lineRule="exact"/>
              <w:jc w:val="left"/>
              <w:rPr>
                <w:rFonts w:ascii="仿宋" w:hAnsi="仿宋" w:eastAsia="仿宋"/>
                <w:color w:val="000000"/>
                <w:kern w:val="0"/>
                <w:sz w:val="20"/>
                <w:szCs w:val="20"/>
              </w:rPr>
            </w:pPr>
          </w:p>
        </w:tc>
        <w:tc>
          <w:tcPr>
            <w:tcW w:w="496" w:type="dxa"/>
            <w:vMerge w:val="continue"/>
            <w:tcBorders>
              <w:top w:val="nil"/>
              <w:left w:val="single" w:color="auto" w:sz="4" w:space="0"/>
              <w:bottom w:val="single" w:color="auto" w:sz="4" w:space="0"/>
              <w:right w:val="single" w:color="auto" w:sz="4" w:space="0"/>
            </w:tcBorders>
            <w:vAlign w:val="center"/>
          </w:tcPr>
          <w:p w14:paraId="5FA4D3A9">
            <w:pPr>
              <w:widowControl/>
              <w:spacing w:line="240" w:lineRule="exact"/>
              <w:jc w:val="left"/>
              <w:rPr>
                <w:rFonts w:ascii="仿宋" w:hAnsi="仿宋" w:eastAsia="仿宋"/>
                <w:color w:val="000000"/>
                <w:kern w:val="0"/>
                <w:sz w:val="20"/>
                <w:szCs w:val="20"/>
              </w:rPr>
            </w:pPr>
          </w:p>
        </w:tc>
        <w:tc>
          <w:tcPr>
            <w:tcW w:w="593" w:type="dxa"/>
            <w:vMerge w:val="continue"/>
            <w:tcBorders>
              <w:top w:val="nil"/>
              <w:left w:val="single" w:color="auto" w:sz="4" w:space="0"/>
              <w:bottom w:val="single" w:color="auto" w:sz="4" w:space="0"/>
              <w:right w:val="single" w:color="auto" w:sz="4" w:space="0"/>
            </w:tcBorders>
            <w:vAlign w:val="center"/>
          </w:tcPr>
          <w:p w14:paraId="28FAFDF8">
            <w:pPr>
              <w:widowControl/>
              <w:spacing w:line="240" w:lineRule="exact"/>
              <w:jc w:val="left"/>
              <w:rPr>
                <w:rFonts w:ascii="仿宋" w:hAnsi="仿宋" w:eastAsia="仿宋"/>
                <w:color w:val="000000"/>
                <w:kern w:val="0"/>
                <w:sz w:val="20"/>
                <w:szCs w:val="20"/>
              </w:rPr>
            </w:pPr>
          </w:p>
        </w:tc>
        <w:tc>
          <w:tcPr>
            <w:tcW w:w="562" w:type="dxa"/>
            <w:vMerge w:val="continue"/>
            <w:tcBorders>
              <w:top w:val="nil"/>
              <w:left w:val="single" w:color="auto" w:sz="4" w:space="0"/>
              <w:bottom w:val="single" w:color="auto" w:sz="4" w:space="0"/>
              <w:right w:val="single" w:color="auto" w:sz="4" w:space="0"/>
            </w:tcBorders>
            <w:vAlign w:val="center"/>
          </w:tcPr>
          <w:p w14:paraId="7D4770A6">
            <w:pPr>
              <w:widowControl/>
              <w:spacing w:line="240" w:lineRule="exact"/>
              <w:jc w:val="left"/>
              <w:rPr>
                <w:rFonts w:ascii="仿宋" w:hAnsi="仿宋" w:eastAsia="仿宋"/>
                <w:color w:val="000000"/>
                <w:kern w:val="0"/>
                <w:sz w:val="20"/>
                <w:szCs w:val="20"/>
              </w:rPr>
            </w:pPr>
          </w:p>
        </w:tc>
        <w:tc>
          <w:tcPr>
            <w:tcW w:w="388" w:type="dxa"/>
            <w:vMerge w:val="continue"/>
            <w:tcBorders>
              <w:top w:val="nil"/>
              <w:left w:val="single" w:color="auto" w:sz="4" w:space="0"/>
              <w:bottom w:val="single" w:color="auto" w:sz="4" w:space="0"/>
              <w:right w:val="single" w:color="auto" w:sz="4" w:space="0"/>
            </w:tcBorders>
            <w:vAlign w:val="center"/>
          </w:tcPr>
          <w:p w14:paraId="252994F0">
            <w:pPr>
              <w:widowControl/>
              <w:spacing w:line="240" w:lineRule="exact"/>
              <w:jc w:val="left"/>
              <w:rPr>
                <w:rFonts w:ascii="仿宋" w:hAnsi="仿宋" w:eastAsia="仿宋"/>
                <w:color w:val="000000"/>
                <w:kern w:val="0"/>
                <w:sz w:val="20"/>
                <w:szCs w:val="20"/>
              </w:rPr>
            </w:pPr>
          </w:p>
        </w:tc>
        <w:tc>
          <w:tcPr>
            <w:tcW w:w="427" w:type="dxa"/>
            <w:vMerge w:val="continue"/>
            <w:tcBorders>
              <w:top w:val="nil"/>
              <w:left w:val="single" w:color="auto" w:sz="4" w:space="0"/>
              <w:bottom w:val="single" w:color="auto" w:sz="4" w:space="0"/>
              <w:right w:val="single" w:color="auto" w:sz="4" w:space="0"/>
            </w:tcBorders>
            <w:vAlign w:val="center"/>
          </w:tcPr>
          <w:p w14:paraId="106F7858">
            <w:pPr>
              <w:widowControl/>
              <w:spacing w:line="240" w:lineRule="exact"/>
              <w:jc w:val="left"/>
              <w:rPr>
                <w:rFonts w:ascii="仿宋" w:hAnsi="仿宋" w:eastAsia="仿宋"/>
                <w:color w:val="000000"/>
                <w:kern w:val="0"/>
                <w:sz w:val="20"/>
                <w:szCs w:val="20"/>
              </w:rPr>
            </w:pPr>
          </w:p>
        </w:tc>
        <w:tc>
          <w:tcPr>
            <w:tcW w:w="376" w:type="dxa"/>
            <w:vMerge w:val="continue"/>
            <w:tcBorders>
              <w:top w:val="nil"/>
              <w:left w:val="single" w:color="auto" w:sz="4" w:space="0"/>
              <w:bottom w:val="single" w:color="auto" w:sz="4" w:space="0"/>
              <w:right w:val="single" w:color="auto" w:sz="4" w:space="0"/>
            </w:tcBorders>
            <w:vAlign w:val="center"/>
          </w:tcPr>
          <w:p w14:paraId="060401FE">
            <w:pPr>
              <w:widowControl/>
              <w:spacing w:line="240" w:lineRule="exact"/>
              <w:jc w:val="left"/>
              <w:rPr>
                <w:rFonts w:ascii="仿宋" w:hAnsi="仿宋" w:eastAsia="仿宋"/>
                <w:color w:val="000000"/>
                <w:kern w:val="0"/>
                <w:sz w:val="20"/>
                <w:szCs w:val="20"/>
              </w:rPr>
            </w:pPr>
          </w:p>
        </w:tc>
        <w:tc>
          <w:tcPr>
            <w:tcW w:w="541" w:type="dxa"/>
            <w:vMerge w:val="continue"/>
            <w:tcBorders>
              <w:top w:val="nil"/>
              <w:left w:val="single" w:color="auto" w:sz="4" w:space="0"/>
              <w:bottom w:val="single" w:color="auto" w:sz="4" w:space="0"/>
              <w:right w:val="single" w:color="auto" w:sz="4" w:space="0"/>
            </w:tcBorders>
            <w:vAlign w:val="center"/>
          </w:tcPr>
          <w:p w14:paraId="4020F80F">
            <w:pPr>
              <w:widowControl/>
              <w:spacing w:line="240" w:lineRule="exact"/>
              <w:jc w:val="left"/>
              <w:rPr>
                <w:rFonts w:ascii="仿宋" w:hAnsi="仿宋" w:eastAsia="仿宋"/>
                <w:color w:val="000000"/>
                <w:kern w:val="0"/>
                <w:sz w:val="20"/>
                <w:szCs w:val="20"/>
              </w:rPr>
            </w:pPr>
          </w:p>
        </w:tc>
        <w:tc>
          <w:tcPr>
            <w:tcW w:w="775" w:type="dxa"/>
            <w:vMerge w:val="continue"/>
            <w:tcBorders>
              <w:top w:val="nil"/>
              <w:left w:val="single" w:color="auto" w:sz="4" w:space="0"/>
              <w:bottom w:val="single" w:color="auto" w:sz="4" w:space="0"/>
              <w:right w:val="single" w:color="auto" w:sz="4" w:space="0"/>
            </w:tcBorders>
            <w:vAlign w:val="center"/>
          </w:tcPr>
          <w:p w14:paraId="0B705D2D">
            <w:pPr>
              <w:widowControl/>
              <w:spacing w:line="240" w:lineRule="exact"/>
              <w:jc w:val="left"/>
              <w:rPr>
                <w:rFonts w:ascii="仿宋" w:hAnsi="仿宋" w:eastAsia="仿宋"/>
                <w:color w:val="000000"/>
                <w:kern w:val="0"/>
                <w:sz w:val="20"/>
                <w:szCs w:val="20"/>
              </w:rPr>
            </w:pPr>
          </w:p>
        </w:tc>
        <w:tc>
          <w:tcPr>
            <w:tcW w:w="774" w:type="dxa"/>
            <w:vMerge w:val="continue"/>
            <w:tcBorders>
              <w:top w:val="nil"/>
              <w:left w:val="single" w:color="auto" w:sz="4" w:space="0"/>
              <w:bottom w:val="single" w:color="auto" w:sz="4" w:space="0"/>
              <w:right w:val="single" w:color="auto" w:sz="4" w:space="0"/>
            </w:tcBorders>
            <w:vAlign w:val="center"/>
          </w:tcPr>
          <w:p w14:paraId="246327BB">
            <w:pPr>
              <w:widowControl/>
              <w:spacing w:line="240" w:lineRule="exact"/>
              <w:jc w:val="left"/>
              <w:rPr>
                <w:rFonts w:ascii="仿宋" w:hAnsi="仿宋" w:eastAsia="仿宋"/>
                <w:color w:val="000000"/>
                <w:kern w:val="0"/>
                <w:sz w:val="20"/>
                <w:szCs w:val="20"/>
              </w:rPr>
            </w:pPr>
          </w:p>
        </w:tc>
        <w:tc>
          <w:tcPr>
            <w:tcW w:w="487" w:type="dxa"/>
            <w:vMerge w:val="continue"/>
            <w:tcBorders>
              <w:top w:val="nil"/>
              <w:left w:val="single" w:color="auto" w:sz="4" w:space="0"/>
              <w:bottom w:val="single" w:color="auto" w:sz="4" w:space="0"/>
              <w:right w:val="single" w:color="auto" w:sz="4" w:space="0"/>
            </w:tcBorders>
            <w:vAlign w:val="center"/>
          </w:tcPr>
          <w:p w14:paraId="41CE10A7">
            <w:pPr>
              <w:widowControl/>
              <w:spacing w:line="240" w:lineRule="exact"/>
              <w:jc w:val="left"/>
              <w:rPr>
                <w:rFonts w:ascii="仿宋" w:hAnsi="仿宋" w:eastAsia="仿宋"/>
                <w:color w:val="000000"/>
                <w:kern w:val="0"/>
                <w:sz w:val="20"/>
                <w:szCs w:val="20"/>
              </w:rPr>
            </w:pPr>
          </w:p>
        </w:tc>
        <w:tc>
          <w:tcPr>
            <w:tcW w:w="312" w:type="dxa"/>
            <w:vMerge w:val="continue"/>
            <w:tcBorders>
              <w:top w:val="nil"/>
              <w:left w:val="single" w:color="auto" w:sz="4" w:space="0"/>
              <w:bottom w:val="single" w:color="auto" w:sz="4" w:space="0"/>
              <w:right w:val="single" w:color="auto" w:sz="4" w:space="0"/>
            </w:tcBorders>
            <w:vAlign w:val="center"/>
          </w:tcPr>
          <w:p w14:paraId="08DB952F">
            <w:pPr>
              <w:widowControl/>
              <w:spacing w:line="240" w:lineRule="exact"/>
              <w:jc w:val="left"/>
              <w:rPr>
                <w:rFonts w:ascii="仿宋" w:hAnsi="仿宋" w:eastAsia="仿宋"/>
                <w:color w:val="000000"/>
                <w:kern w:val="0"/>
                <w:sz w:val="20"/>
                <w:szCs w:val="20"/>
              </w:rPr>
            </w:pPr>
          </w:p>
        </w:tc>
        <w:tc>
          <w:tcPr>
            <w:tcW w:w="374" w:type="dxa"/>
            <w:vMerge w:val="continue"/>
            <w:tcBorders>
              <w:top w:val="nil"/>
              <w:left w:val="single" w:color="auto" w:sz="4" w:space="0"/>
              <w:bottom w:val="single" w:color="auto" w:sz="4" w:space="0"/>
              <w:right w:val="single" w:color="auto" w:sz="4" w:space="0"/>
            </w:tcBorders>
            <w:vAlign w:val="center"/>
          </w:tcPr>
          <w:p w14:paraId="414856BE">
            <w:pPr>
              <w:widowControl/>
              <w:spacing w:line="240" w:lineRule="exact"/>
              <w:jc w:val="left"/>
              <w:rPr>
                <w:rFonts w:ascii="仿宋" w:hAnsi="仿宋" w:eastAsia="仿宋"/>
                <w:color w:val="000000"/>
                <w:kern w:val="0"/>
                <w:sz w:val="20"/>
                <w:szCs w:val="20"/>
              </w:rPr>
            </w:pPr>
          </w:p>
        </w:tc>
        <w:tc>
          <w:tcPr>
            <w:tcW w:w="454" w:type="dxa"/>
            <w:vMerge w:val="continue"/>
            <w:tcBorders>
              <w:top w:val="nil"/>
              <w:left w:val="single" w:color="auto" w:sz="4" w:space="0"/>
              <w:bottom w:val="single" w:color="000000" w:sz="4" w:space="0"/>
              <w:right w:val="single" w:color="auto" w:sz="4" w:space="0"/>
            </w:tcBorders>
            <w:vAlign w:val="center"/>
          </w:tcPr>
          <w:p w14:paraId="706F9131">
            <w:pPr>
              <w:widowControl/>
              <w:spacing w:line="240" w:lineRule="exact"/>
              <w:jc w:val="left"/>
              <w:rPr>
                <w:rFonts w:ascii="仿宋" w:hAnsi="仿宋" w:eastAsia="仿宋"/>
                <w:color w:val="000000"/>
                <w:kern w:val="0"/>
                <w:sz w:val="20"/>
                <w:szCs w:val="20"/>
              </w:rPr>
            </w:pPr>
          </w:p>
        </w:tc>
        <w:tc>
          <w:tcPr>
            <w:tcW w:w="489" w:type="dxa"/>
            <w:vMerge w:val="continue"/>
            <w:tcBorders>
              <w:top w:val="nil"/>
              <w:left w:val="single" w:color="auto" w:sz="4" w:space="0"/>
              <w:bottom w:val="single" w:color="auto" w:sz="4" w:space="0"/>
              <w:right w:val="single" w:color="auto" w:sz="4" w:space="0"/>
            </w:tcBorders>
            <w:vAlign w:val="center"/>
          </w:tcPr>
          <w:p w14:paraId="105D9B69">
            <w:pPr>
              <w:widowControl/>
              <w:spacing w:line="240" w:lineRule="exact"/>
              <w:jc w:val="left"/>
              <w:rPr>
                <w:rFonts w:ascii="仿宋" w:hAnsi="仿宋" w:eastAsia="仿宋"/>
                <w:color w:val="000000"/>
                <w:kern w:val="0"/>
                <w:sz w:val="20"/>
                <w:szCs w:val="20"/>
              </w:rPr>
            </w:pPr>
          </w:p>
        </w:tc>
        <w:tc>
          <w:tcPr>
            <w:tcW w:w="505" w:type="dxa"/>
            <w:vMerge w:val="continue"/>
            <w:tcBorders>
              <w:top w:val="nil"/>
              <w:left w:val="single" w:color="auto" w:sz="4" w:space="0"/>
              <w:bottom w:val="single" w:color="auto" w:sz="4" w:space="0"/>
              <w:right w:val="single" w:color="auto" w:sz="4" w:space="0"/>
            </w:tcBorders>
            <w:vAlign w:val="center"/>
          </w:tcPr>
          <w:p w14:paraId="5F880235">
            <w:pPr>
              <w:widowControl/>
              <w:spacing w:line="240" w:lineRule="exact"/>
              <w:jc w:val="left"/>
              <w:rPr>
                <w:rFonts w:ascii="仿宋" w:hAnsi="仿宋" w:eastAsia="仿宋"/>
                <w:color w:val="000000"/>
                <w:kern w:val="0"/>
                <w:sz w:val="20"/>
                <w:szCs w:val="20"/>
              </w:rPr>
            </w:pPr>
          </w:p>
        </w:tc>
      </w:tr>
      <w:tr w14:paraId="4FEE3407">
        <w:tblPrEx>
          <w:tblCellMar>
            <w:top w:w="0" w:type="dxa"/>
            <w:left w:w="28" w:type="dxa"/>
            <w:bottom w:w="0" w:type="dxa"/>
            <w:right w:w="28" w:type="dxa"/>
          </w:tblCellMar>
        </w:tblPrEx>
        <w:trPr>
          <w:trHeight w:val="389" w:hRule="atLeast"/>
          <w:jc w:val="center"/>
        </w:trPr>
        <w:tc>
          <w:tcPr>
            <w:tcW w:w="413" w:type="dxa"/>
            <w:tcBorders>
              <w:top w:val="nil"/>
              <w:left w:val="single" w:color="auto" w:sz="4" w:space="0"/>
              <w:bottom w:val="single" w:color="auto" w:sz="4" w:space="0"/>
              <w:right w:val="single" w:color="auto" w:sz="4" w:space="0"/>
            </w:tcBorders>
            <w:vAlign w:val="center"/>
          </w:tcPr>
          <w:p w14:paraId="7F3F058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30" w:type="dxa"/>
            <w:tcBorders>
              <w:top w:val="nil"/>
              <w:left w:val="nil"/>
              <w:bottom w:val="single" w:color="auto" w:sz="4" w:space="0"/>
              <w:right w:val="single" w:color="auto" w:sz="4" w:space="0"/>
            </w:tcBorders>
            <w:vAlign w:val="center"/>
          </w:tcPr>
          <w:p w14:paraId="4B0E02D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1014" w:type="dxa"/>
            <w:tcBorders>
              <w:top w:val="nil"/>
              <w:left w:val="nil"/>
              <w:bottom w:val="single" w:color="auto" w:sz="4" w:space="0"/>
              <w:right w:val="single" w:color="auto" w:sz="4" w:space="0"/>
            </w:tcBorders>
            <w:vAlign w:val="center"/>
          </w:tcPr>
          <w:p w14:paraId="508019F3">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853" w:type="dxa"/>
            <w:tcBorders>
              <w:top w:val="nil"/>
              <w:left w:val="nil"/>
              <w:bottom w:val="single" w:color="auto" w:sz="4" w:space="0"/>
              <w:right w:val="nil"/>
            </w:tcBorders>
            <w:vAlign w:val="center"/>
          </w:tcPr>
          <w:p w14:paraId="7A5242E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23" w:type="dxa"/>
            <w:tcBorders>
              <w:top w:val="nil"/>
              <w:left w:val="single" w:color="auto" w:sz="4" w:space="0"/>
              <w:bottom w:val="single" w:color="auto" w:sz="4" w:space="0"/>
              <w:right w:val="nil"/>
            </w:tcBorders>
            <w:vAlign w:val="center"/>
          </w:tcPr>
          <w:p w14:paraId="7ED06AC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3" w:type="dxa"/>
            <w:tcBorders>
              <w:top w:val="nil"/>
              <w:left w:val="single" w:color="auto" w:sz="4" w:space="0"/>
              <w:bottom w:val="single" w:color="auto" w:sz="4" w:space="0"/>
              <w:right w:val="nil"/>
            </w:tcBorders>
            <w:vAlign w:val="center"/>
          </w:tcPr>
          <w:p w14:paraId="1FACAC6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00" w:type="dxa"/>
            <w:tcBorders>
              <w:top w:val="nil"/>
              <w:left w:val="single" w:color="auto" w:sz="4" w:space="0"/>
              <w:bottom w:val="single" w:color="auto" w:sz="4" w:space="0"/>
              <w:right w:val="nil"/>
            </w:tcBorders>
            <w:vAlign w:val="center"/>
          </w:tcPr>
          <w:p w14:paraId="71B7DD4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53" w:type="dxa"/>
            <w:tcBorders>
              <w:top w:val="nil"/>
              <w:left w:val="single" w:color="auto" w:sz="4" w:space="0"/>
              <w:bottom w:val="single" w:color="auto" w:sz="4" w:space="0"/>
              <w:right w:val="single" w:color="auto" w:sz="4" w:space="0"/>
            </w:tcBorders>
            <w:vAlign w:val="center"/>
          </w:tcPr>
          <w:p w14:paraId="79B60098">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62" w:type="dxa"/>
            <w:tcBorders>
              <w:top w:val="nil"/>
              <w:left w:val="nil"/>
              <w:bottom w:val="single" w:color="auto" w:sz="4" w:space="0"/>
              <w:right w:val="single" w:color="auto" w:sz="4" w:space="0"/>
            </w:tcBorders>
            <w:vAlign w:val="center"/>
          </w:tcPr>
          <w:p w14:paraId="5FC46E8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01" w:type="dxa"/>
            <w:tcBorders>
              <w:top w:val="nil"/>
              <w:left w:val="nil"/>
              <w:bottom w:val="single" w:color="auto" w:sz="4" w:space="0"/>
              <w:right w:val="single" w:color="auto" w:sz="4" w:space="0"/>
            </w:tcBorders>
            <w:vAlign w:val="center"/>
          </w:tcPr>
          <w:p w14:paraId="57B8BEC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77" w:type="dxa"/>
            <w:tcBorders>
              <w:top w:val="nil"/>
              <w:left w:val="nil"/>
              <w:bottom w:val="single" w:color="auto" w:sz="4" w:space="0"/>
              <w:right w:val="single" w:color="auto" w:sz="4" w:space="0"/>
            </w:tcBorders>
            <w:vAlign w:val="center"/>
          </w:tcPr>
          <w:p w14:paraId="7EA4A57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652" w:type="dxa"/>
            <w:tcBorders>
              <w:top w:val="nil"/>
              <w:left w:val="nil"/>
              <w:bottom w:val="single" w:color="auto" w:sz="4" w:space="0"/>
              <w:right w:val="single" w:color="auto" w:sz="4" w:space="0"/>
            </w:tcBorders>
            <w:vAlign w:val="center"/>
          </w:tcPr>
          <w:p w14:paraId="770CF7B6">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56" w:type="dxa"/>
            <w:tcBorders>
              <w:top w:val="nil"/>
              <w:left w:val="nil"/>
              <w:bottom w:val="single" w:color="auto" w:sz="4" w:space="0"/>
              <w:right w:val="single" w:color="auto" w:sz="4" w:space="0"/>
            </w:tcBorders>
            <w:vAlign w:val="center"/>
          </w:tcPr>
          <w:p w14:paraId="3233D7A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96" w:type="dxa"/>
            <w:tcBorders>
              <w:top w:val="nil"/>
              <w:left w:val="nil"/>
              <w:bottom w:val="single" w:color="auto" w:sz="4" w:space="0"/>
              <w:right w:val="single" w:color="auto" w:sz="4" w:space="0"/>
            </w:tcBorders>
            <w:vAlign w:val="center"/>
          </w:tcPr>
          <w:p w14:paraId="58E2DE8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93" w:type="dxa"/>
            <w:tcBorders>
              <w:top w:val="nil"/>
              <w:left w:val="nil"/>
              <w:bottom w:val="single" w:color="auto" w:sz="4" w:space="0"/>
              <w:right w:val="single" w:color="auto" w:sz="4" w:space="0"/>
            </w:tcBorders>
            <w:vAlign w:val="center"/>
          </w:tcPr>
          <w:p w14:paraId="647DD9F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62" w:type="dxa"/>
            <w:tcBorders>
              <w:top w:val="nil"/>
              <w:left w:val="nil"/>
              <w:bottom w:val="single" w:color="auto" w:sz="4" w:space="0"/>
              <w:right w:val="single" w:color="auto" w:sz="4" w:space="0"/>
            </w:tcBorders>
            <w:vAlign w:val="center"/>
          </w:tcPr>
          <w:p w14:paraId="3EB7086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88" w:type="dxa"/>
            <w:tcBorders>
              <w:top w:val="nil"/>
              <w:left w:val="nil"/>
              <w:bottom w:val="single" w:color="auto" w:sz="4" w:space="0"/>
              <w:right w:val="single" w:color="auto" w:sz="4" w:space="0"/>
            </w:tcBorders>
            <w:vAlign w:val="center"/>
          </w:tcPr>
          <w:p w14:paraId="5430396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27" w:type="dxa"/>
            <w:tcBorders>
              <w:top w:val="nil"/>
              <w:left w:val="nil"/>
              <w:bottom w:val="single" w:color="auto" w:sz="4" w:space="0"/>
              <w:right w:val="single" w:color="auto" w:sz="4" w:space="0"/>
            </w:tcBorders>
            <w:vAlign w:val="center"/>
          </w:tcPr>
          <w:p w14:paraId="10F69EC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6" w:type="dxa"/>
            <w:tcBorders>
              <w:top w:val="nil"/>
              <w:left w:val="nil"/>
              <w:bottom w:val="single" w:color="auto" w:sz="4" w:space="0"/>
              <w:right w:val="single" w:color="auto" w:sz="4" w:space="0"/>
            </w:tcBorders>
            <w:vAlign w:val="center"/>
          </w:tcPr>
          <w:p w14:paraId="6A5ACB7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41" w:type="dxa"/>
            <w:tcBorders>
              <w:top w:val="nil"/>
              <w:left w:val="nil"/>
              <w:bottom w:val="single" w:color="auto" w:sz="4" w:space="0"/>
              <w:right w:val="single" w:color="auto" w:sz="4" w:space="0"/>
            </w:tcBorders>
            <w:vAlign w:val="center"/>
          </w:tcPr>
          <w:p w14:paraId="05CE94A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775" w:type="dxa"/>
            <w:tcBorders>
              <w:top w:val="nil"/>
              <w:left w:val="nil"/>
              <w:bottom w:val="single" w:color="auto" w:sz="4" w:space="0"/>
              <w:right w:val="single" w:color="auto" w:sz="4" w:space="0"/>
            </w:tcBorders>
            <w:vAlign w:val="center"/>
          </w:tcPr>
          <w:p w14:paraId="0FE3680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774" w:type="dxa"/>
            <w:tcBorders>
              <w:top w:val="nil"/>
              <w:left w:val="nil"/>
              <w:bottom w:val="single" w:color="auto" w:sz="4" w:space="0"/>
              <w:right w:val="single" w:color="auto" w:sz="4" w:space="0"/>
            </w:tcBorders>
            <w:vAlign w:val="center"/>
          </w:tcPr>
          <w:p w14:paraId="24A590A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87" w:type="dxa"/>
            <w:tcBorders>
              <w:top w:val="nil"/>
              <w:left w:val="nil"/>
              <w:bottom w:val="single" w:color="auto" w:sz="4" w:space="0"/>
              <w:right w:val="single" w:color="auto" w:sz="4" w:space="0"/>
            </w:tcBorders>
            <w:vAlign w:val="center"/>
          </w:tcPr>
          <w:p w14:paraId="46AB8FC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12" w:type="dxa"/>
            <w:tcBorders>
              <w:top w:val="nil"/>
              <w:left w:val="nil"/>
              <w:bottom w:val="single" w:color="auto" w:sz="4" w:space="0"/>
              <w:right w:val="single" w:color="auto" w:sz="4" w:space="0"/>
            </w:tcBorders>
            <w:vAlign w:val="center"/>
          </w:tcPr>
          <w:p w14:paraId="0DD10FF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4" w:type="dxa"/>
            <w:tcBorders>
              <w:top w:val="nil"/>
              <w:left w:val="nil"/>
              <w:bottom w:val="single" w:color="auto" w:sz="4" w:space="0"/>
              <w:right w:val="single" w:color="auto" w:sz="4" w:space="0"/>
            </w:tcBorders>
            <w:vAlign w:val="center"/>
          </w:tcPr>
          <w:p w14:paraId="52251D4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54" w:type="dxa"/>
            <w:tcBorders>
              <w:top w:val="nil"/>
              <w:left w:val="nil"/>
              <w:bottom w:val="single" w:color="auto" w:sz="4" w:space="0"/>
              <w:right w:val="single" w:color="auto" w:sz="4" w:space="0"/>
            </w:tcBorders>
            <w:vAlign w:val="center"/>
          </w:tcPr>
          <w:p w14:paraId="56013CB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89" w:type="dxa"/>
            <w:tcBorders>
              <w:top w:val="nil"/>
              <w:left w:val="nil"/>
              <w:bottom w:val="single" w:color="auto" w:sz="4" w:space="0"/>
              <w:right w:val="single" w:color="auto" w:sz="4" w:space="0"/>
            </w:tcBorders>
            <w:vAlign w:val="center"/>
          </w:tcPr>
          <w:p w14:paraId="65D42F5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05" w:type="dxa"/>
            <w:tcBorders>
              <w:top w:val="nil"/>
              <w:left w:val="nil"/>
              <w:bottom w:val="single" w:color="auto" w:sz="4" w:space="0"/>
              <w:right w:val="single" w:color="auto" w:sz="4" w:space="0"/>
            </w:tcBorders>
            <w:vAlign w:val="center"/>
          </w:tcPr>
          <w:p w14:paraId="339F510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r>
      <w:tr w14:paraId="2E933366">
        <w:tblPrEx>
          <w:tblCellMar>
            <w:top w:w="0" w:type="dxa"/>
            <w:left w:w="28" w:type="dxa"/>
            <w:bottom w:w="0" w:type="dxa"/>
            <w:right w:w="28" w:type="dxa"/>
          </w:tblCellMar>
        </w:tblPrEx>
        <w:trPr>
          <w:trHeight w:val="389" w:hRule="atLeast"/>
          <w:jc w:val="center"/>
        </w:trPr>
        <w:tc>
          <w:tcPr>
            <w:tcW w:w="413" w:type="dxa"/>
            <w:tcBorders>
              <w:top w:val="nil"/>
              <w:left w:val="single" w:color="auto" w:sz="4" w:space="0"/>
              <w:bottom w:val="single" w:color="auto" w:sz="4" w:space="0"/>
              <w:right w:val="single" w:color="auto" w:sz="4" w:space="0"/>
            </w:tcBorders>
            <w:vAlign w:val="center"/>
          </w:tcPr>
          <w:p w14:paraId="295228A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30" w:type="dxa"/>
            <w:tcBorders>
              <w:top w:val="nil"/>
              <w:left w:val="nil"/>
              <w:bottom w:val="single" w:color="auto" w:sz="4" w:space="0"/>
              <w:right w:val="single" w:color="auto" w:sz="4" w:space="0"/>
            </w:tcBorders>
            <w:vAlign w:val="center"/>
          </w:tcPr>
          <w:p w14:paraId="5FE00E3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1014" w:type="dxa"/>
            <w:tcBorders>
              <w:top w:val="nil"/>
              <w:left w:val="nil"/>
              <w:bottom w:val="single" w:color="auto" w:sz="4" w:space="0"/>
              <w:right w:val="single" w:color="auto" w:sz="4" w:space="0"/>
            </w:tcBorders>
            <w:vAlign w:val="center"/>
          </w:tcPr>
          <w:p w14:paraId="7E3E190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853" w:type="dxa"/>
            <w:tcBorders>
              <w:top w:val="nil"/>
              <w:left w:val="nil"/>
              <w:bottom w:val="single" w:color="auto" w:sz="4" w:space="0"/>
              <w:right w:val="nil"/>
            </w:tcBorders>
            <w:vAlign w:val="center"/>
          </w:tcPr>
          <w:p w14:paraId="57F91FE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23" w:type="dxa"/>
            <w:tcBorders>
              <w:top w:val="nil"/>
              <w:left w:val="single" w:color="auto" w:sz="4" w:space="0"/>
              <w:bottom w:val="single" w:color="auto" w:sz="4" w:space="0"/>
              <w:right w:val="nil"/>
            </w:tcBorders>
            <w:vAlign w:val="center"/>
          </w:tcPr>
          <w:p w14:paraId="1E0D374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3" w:type="dxa"/>
            <w:tcBorders>
              <w:top w:val="nil"/>
              <w:left w:val="single" w:color="auto" w:sz="4" w:space="0"/>
              <w:bottom w:val="single" w:color="auto" w:sz="4" w:space="0"/>
              <w:right w:val="nil"/>
            </w:tcBorders>
            <w:vAlign w:val="center"/>
          </w:tcPr>
          <w:p w14:paraId="5B30968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00" w:type="dxa"/>
            <w:tcBorders>
              <w:top w:val="nil"/>
              <w:left w:val="single" w:color="auto" w:sz="4" w:space="0"/>
              <w:bottom w:val="single" w:color="auto" w:sz="4" w:space="0"/>
              <w:right w:val="nil"/>
            </w:tcBorders>
            <w:vAlign w:val="center"/>
          </w:tcPr>
          <w:p w14:paraId="0E0085A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53" w:type="dxa"/>
            <w:tcBorders>
              <w:top w:val="nil"/>
              <w:left w:val="single" w:color="auto" w:sz="4" w:space="0"/>
              <w:bottom w:val="single" w:color="auto" w:sz="4" w:space="0"/>
              <w:right w:val="single" w:color="auto" w:sz="4" w:space="0"/>
            </w:tcBorders>
            <w:vAlign w:val="center"/>
          </w:tcPr>
          <w:p w14:paraId="1E8BED7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62" w:type="dxa"/>
            <w:tcBorders>
              <w:top w:val="nil"/>
              <w:left w:val="nil"/>
              <w:bottom w:val="single" w:color="auto" w:sz="4" w:space="0"/>
              <w:right w:val="single" w:color="auto" w:sz="4" w:space="0"/>
            </w:tcBorders>
            <w:vAlign w:val="center"/>
          </w:tcPr>
          <w:p w14:paraId="0B9EB2E6">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01" w:type="dxa"/>
            <w:tcBorders>
              <w:top w:val="nil"/>
              <w:left w:val="nil"/>
              <w:bottom w:val="single" w:color="auto" w:sz="4" w:space="0"/>
              <w:right w:val="single" w:color="auto" w:sz="4" w:space="0"/>
            </w:tcBorders>
            <w:vAlign w:val="center"/>
          </w:tcPr>
          <w:p w14:paraId="363466B6">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77" w:type="dxa"/>
            <w:tcBorders>
              <w:top w:val="nil"/>
              <w:left w:val="nil"/>
              <w:bottom w:val="single" w:color="auto" w:sz="4" w:space="0"/>
              <w:right w:val="single" w:color="auto" w:sz="4" w:space="0"/>
            </w:tcBorders>
            <w:vAlign w:val="center"/>
          </w:tcPr>
          <w:p w14:paraId="2A3A2CB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652" w:type="dxa"/>
            <w:tcBorders>
              <w:top w:val="nil"/>
              <w:left w:val="nil"/>
              <w:bottom w:val="single" w:color="auto" w:sz="4" w:space="0"/>
              <w:right w:val="single" w:color="auto" w:sz="4" w:space="0"/>
            </w:tcBorders>
            <w:vAlign w:val="center"/>
          </w:tcPr>
          <w:p w14:paraId="10BF8B1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56" w:type="dxa"/>
            <w:tcBorders>
              <w:top w:val="nil"/>
              <w:left w:val="nil"/>
              <w:bottom w:val="single" w:color="auto" w:sz="4" w:space="0"/>
              <w:right w:val="single" w:color="auto" w:sz="4" w:space="0"/>
            </w:tcBorders>
            <w:vAlign w:val="center"/>
          </w:tcPr>
          <w:p w14:paraId="31E3C3D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96" w:type="dxa"/>
            <w:tcBorders>
              <w:top w:val="nil"/>
              <w:left w:val="nil"/>
              <w:bottom w:val="single" w:color="auto" w:sz="4" w:space="0"/>
              <w:right w:val="single" w:color="auto" w:sz="4" w:space="0"/>
            </w:tcBorders>
            <w:vAlign w:val="center"/>
          </w:tcPr>
          <w:p w14:paraId="5E49854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93" w:type="dxa"/>
            <w:tcBorders>
              <w:top w:val="nil"/>
              <w:left w:val="nil"/>
              <w:bottom w:val="single" w:color="auto" w:sz="4" w:space="0"/>
              <w:right w:val="single" w:color="auto" w:sz="4" w:space="0"/>
            </w:tcBorders>
            <w:vAlign w:val="center"/>
          </w:tcPr>
          <w:p w14:paraId="11BAAEA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62" w:type="dxa"/>
            <w:tcBorders>
              <w:top w:val="nil"/>
              <w:left w:val="nil"/>
              <w:bottom w:val="single" w:color="auto" w:sz="4" w:space="0"/>
              <w:right w:val="single" w:color="auto" w:sz="4" w:space="0"/>
            </w:tcBorders>
            <w:vAlign w:val="center"/>
          </w:tcPr>
          <w:p w14:paraId="1FCA86A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88" w:type="dxa"/>
            <w:tcBorders>
              <w:top w:val="nil"/>
              <w:left w:val="nil"/>
              <w:bottom w:val="single" w:color="auto" w:sz="4" w:space="0"/>
              <w:right w:val="single" w:color="auto" w:sz="4" w:space="0"/>
            </w:tcBorders>
            <w:vAlign w:val="center"/>
          </w:tcPr>
          <w:p w14:paraId="603BA236">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27" w:type="dxa"/>
            <w:tcBorders>
              <w:top w:val="nil"/>
              <w:left w:val="nil"/>
              <w:bottom w:val="single" w:color="auto" w:sz="4" w:space="0"/>
              <w:right w:val="single" w:color="auto" w:sz="4" w:space="0"/>
            </w:tcBorders>
            <w:vAlign w:val="center"/>
          </w:tcPr>
          <w:p w14:paraId="0FC90608">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6" w:type="dxa"/>
            <w:tcBorders>
              <w:top w:val="nil"/>
              <w:left w:val="nil"/>
              <w:bottom w:val="single" w:color="auto" w:sz="4" w:space="0"/>
              <w:right w:val="single" w:color="auto" w:sz="4" w:space="0"/>
            </w:tcBorders>
            <w:vAlign w:val="center"/>
          </w:tcPr>
          <w:p w14:paraId="365AF54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41" w:type="dxa"/>
            <w:tcBorders>
              <w:top w:val="nil"/>
              <w:left w:val="nil"/>
              <w:bottom w:val="single" w:color="auto" w:sz="4" w:space="0"/>
              <w:right w:val="single" w:color="auto" w:sz="4" w:space="0"/>
            </w:tcBorders>
            <w:vAlign w:val="center"/>
          </w:tcPr>
          <w:p w14:paraId="31F0C6D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775" w:type="dxa"/>
            <w:tcBorders>
              <w:top w:val="nil"/>
              <w:left w:val="nil"/>
              <w:bottom w:val="single" w:color="auto" w:sz="4" w:space="0"/>
              <w:right w:val="single" w:color="auto" w:sz="4" w:space="0"/>
            </w:tcBorders>
            <w:vAlign w:val="center"/>
          </w:tcPr>
          <w:p w14:paraId="405DE85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774" w:type="dxa"/>
            <w:tcBorders>
              <w:top w:val="nil"/>
              <w:left w:val="nil"/>
              <w:bottom w:val="single" w:color="auto" w:sz="4" w:space="0"/>
              <w:right w:val="single" w:color="auto" w:sz="4" w:space="0"/>
            </w:tcBorders>
            <w:vAlign w:val="center"/>
          </w:tcPr>
          <w:p w14:paraId="1160194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87" w:type="dxa"/>
            <w:tcBorders>
              <w:top w:val="nil"/>
              <w:left w:val="nil"/>
              <w:bottom w:val="single" w:color="auto" w:sz="4" w:space="0"/>
              <w:right w:val="single" w:color="auto" w:sz="4" w:space="0"/>
            </w:tcBorders>
            <w:vAlign w:val="center"/>
          </w:tcPr>
          <w:p w14:paraId="108798B6">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12" w:type="dxa"/>
            <w:tcBorders>
              <w:top w:val="nil"/>
              <w:left w:val="nil"/>
              <w:bottom w:val="single" w:color="auto" w:sz="4" w:space="0"/>
              <w:right w:val="single" w:color="auto" w:sz="4" w:space="0"/>
            </w:tcBorders>
            <w:vAlign w:val="center"/>
          </w:tcPr>
          <w:p w14:paraId="4C7F19E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4" w:type="dxa"/>
            <w:tcBorders>
              <w:top w:val="nil"/>
              <w:left w:val="nil"/>
              <w:bottom w:val="single" w:color="auto" w:sz="4" w:space="0"/>
              <w:right w:val="single" w:color="auto" w:sz="4" w:space="0"/>
            </w:tcBorders>
            <w:vAlign w:val="center"/>
          </w:tcPr>
          <w:p w14:paraId="214B43C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54" w:type="dxa"/>
            <w:tcBorders>
              <w:top w:val="nil"/>
              <w:left w:val="nil"/>
              <w:bottom w:val="single" w:color="auto" w:sz="4" w:space="0"/>
              <w:right w:val="single" w:color="auto" w:sz="4" w:space="0"/>
            </w:tcBorders>
            <w:vAlign w:val="center"/>
          </w:tcPr>
          <w:p w14:paraId="3899F088">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89" w:type="dxa"/>
            <w:tcBorders>
              <w:top w:val="nil"/>
              <w:left w:val="nil"/>
              <w:bottom w:val="single" w:color="auto" w:sz="4" w:space="0"/>
              <w:right w:val="single" w:color="auto" w:sz="4" w:space="0"/>
            </w:tcBorders>
            <w:vAlign w:val="center"/>
          </w:tcPr>
          <w:p w14:paraId="738F415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05" w:type="dxa"/>
            <w:tcBorders>
              <w:top w:val="nil"/>
              <w:left w:val="nil"/>
              <w:bottom w:val="single" w:color="auto" w:sz="4" w:space="0"/>
              <w:right w:val="single" w:color="auto" w:sz="4" w:space="0"/>
            </w:tcBorders>
            <w:vAlign w:val="center"/>
          </w:tcPr>
          <w:p w14:paraId="4E50CBA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r>
      <w:tr w14:paraId="04F6A645">
        <w:tblPrEx>
          <w:tblCellMar>
            <w:top w:w="0" w:type="dxa"/>
            <w:left w:w="28" w:type="dxa"/>
            <w:bottom w:w="0" w:type="dxa"/>
            <w:right w:w="28" w:type="dxa"/>
          </w:tblCellMar>
        </w:tblPrEx>
        <w:trPr>
          <w:trHeight w:val="389" w:hRule="atLeast"/>
          <w:jc w:val="center"/>
        </w:trPr>
        <w:tc>
          <w:tcPr>
            <w:tcW w:w="413" w:type="dxa"/>
            <w:tcBorders>
              <w:top w:val="nil"/>
              <w:left w:val="single" w:color="auto" w:sz="4" w:space="0"/>
              <w:bottom w:val="single" w:color="auto" w:sz="4" w:space="0"/>
              <w:right w:val="single" w:color="auto" w:sz="4" w:space="0"/>
            </w:tcBorders>
            <w:vAlign w:val="center"/>
          </w:tcPr>
          <w:p w14:paraId="19B7E16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30" w:type="dxa"/>
            <w:tcBorders>
              <w:top w:val="nil"/>
              <w:left w:val="nil"/>
              <w:bottom w:val="single" w:color="auto" w:sz="4" w:space="0"/>
              <w:right w:val="single" w:color="auto" w:sz="4" w:space="0"/>
            </w:tcBorders>
            <w:vAlign w:val="center"/>
          </w:tcPr>
          <w:p w14:paraId="24ABB4B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1014" w:type="dxa"/>
            <w:tcBorders>
              <w:top w:val="nil"/>
              <w:left w:val="nil"/>
              <w:bottom w:val="single" w:color="auto" w:sz="4" w:space="0"/>
              <w:right w:val="single" w:color="auto" w:sz="4" w:space="0"/>
            </w:tcBorders>
            <w:vAlign w:val="center"/>
          </w:tcPr>
          <w:p w14:paraId="61365F9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853" w:type="dxa"/>
            <w:tcBorders>
              <w:top w:val="nil"/>
              <w:left w:val="nil"/>
              <w:bottom w:val="single" w:color="auto" w:sz="4" w:space="0"/>
              <w:right w:val="nil"/>
            </w:tcBorders>
            <w:vAlign w:val="center"/>
          </w:tcPr>
          <w:p w14:paraId="155E1CA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23" w:type="dxa"/>
            <w:tcBorders>
              <w:top w:val="nil"/>
              <w:left w:val="single" w:color="auto" w:sz="4" w:space="0"/>
              <w:bottom w:val="single" w:color="auto" w:sz="4" w:space="0"/>
              <w:right w:val="nil"/>
            </w:tcBorders>
            <w:vAlign w:val="center"/>
          </w:tcPr>
          <w:p w14:paraId="6E125CB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3" w:type="dxa"/>
            <w:tcBorders>
              <w:top w:val="nil"/>
              <w:left w:val="single" w:color="auto" w:sz="4" w:space="0"/>
              <w:bottom w:val="single" w:color="auto" w:sz="4" w:space="0"/>
              <w:right w:val="nil"/>
            </w:tcBorders>
            <w:vAlign w:val="center"/>
          </w:tcPr>
          <w:p w14:paraId="69D6491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00" w:type="dxa"/>
            <w:tcBorders>
              <w:top w:val="nil"/>
              <w:left w:val="single" w:color="auto" w:sz="4" w:space="0"/>
              <w:bottom w:val="single" w:color="auto" w:sz="4" w:space="0"/>
              <w:right w:val="nil"/>
            </w:tcBorders>
            <w:vAlign w:val="center"/>
          </w:tcPr>
          <w:p w14:paraId="293755F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53" w:type="dxa"/>
            <w:tcBorders>
              <w:top w:val="nil"/>
              <w:left w:val="single" w:color="auto" w:sz="4" w:space="0"/>
              <w:bottom w:val="single" w:color="auto" w:sz="4" w:space="0"/>
              <w:right w:val="single" w:color="auto" w:sz="4" w:space="0"/>
            </w:tcBorders>
            <w:vAlign w:val="center"/>
          </w:tcPr>
          <w:p w14:paraId="6D76DCC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62" w:type="dxa"/>
            <w:tcBorders>
              <w:top w:val="nil"/>
              <w:left w:val="nil"/>
              <w:bottom w:val="single" w:color="auto" w:sz="4" w:space="0"/>
              <w:right w:val="single" w:color="auto" w:sz="4" w:space="0"/>
            </w:tcBorders>
            <w:vAlign w:val="center"/>
          </w:tcPr>
          <w:p w14:paraId="2A115EB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01" w:type="dxa"/>
            <w:tcBorders>
              <w:top w:val="nil"/>
              <w:left w:val="nil"/>
              <w:bottom w:val="single" w:color="auto" w:sz="4" w:space="0"/>
              <w:right w:val="single" w:color="auto" w:sz="4" w:space="0"/>
            </w:tcBorders>
            <w:vAlign w:val="center"/>
          </w:tcPr>
          <w:p w14:paraId="1B09D569">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77" w:type="dxa"/>
            <w:tcBorders>
              <w:top w:val="nil"/>
              <w:left w:val="nil"/>
              <w:bottom w:val="single" w:color="auto" w:sz="4" w:space="0"/>
              <w:right w:val="single" w:color="auto" w:sz="4" w:space="0"/>
            </w:tcBorders>
            <w:vAlign w:val="center"/>
          </w:tcPr>
          <w:p w14:paraId="0B5A980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652" w:type="dxa"/>
            <w:tcBorders>
              <w:top w:val="nil"/>
              <w:left w:val="nil"/>
              <w:bottom w:val="single" w:color="auto" w:sz="4" w:space="0"/>
              <w:right w:val="single" w:color="auto" w:sz="4" w:space="0"/>
            </w:tcBorders>
            <w:vAlign w:val="center"/>
          </w:tcPr>
          <w:p w14:paraId="69DEAC0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56" w:type="dxa"/>
            <w:tcBorders>
              <w:top w:val="nil"/>
              <w:left w:val="nil"/>
              <w:bottom w:val="single" w:color="auto" w:sz="4" w:space="0"/>
              <w:right w:val="single" w:color="auto" w:sz="4" w:space="0"/>
            </w:tcBorders>
            <w:vAlign w:val="center"/>
          </w:tcPr>
          <w:p w14:paraId="2F70214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96" w:type="dxa"/>
            <w:tcBorders>
              <w:top w:val="nil"/>
              <w:left w:val="nil"/>
              <w:bottom w:val="single" w:color="auto" w:sz="4" w:space="0"/>
              <w:right w:val="single" w:color="auto" w:sz="4" w:space="0"/>
            </w:tcBorders>
            <w:vAlign w:val="center"/>
          </w:tcPr>
          <w:p w14:paraId="3359BAD3">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93" w:type="dxa"/>
            <w:tcBorders>
              <w:top w:val="nil"/>
              <w:left w:val="nil"/>
              <w:bottom w:val="single" w:color="auto" w:sz="4" w:space="0"/>
              <w:right w:val="single" w:color="auto" w:sz="4" w:space="0"/>
            </w:tcBorders>
            <w:vAlign w:val="center"/>
          </w:tcPr>
          <w:p w14:paraId="351878F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62" w:type="dxa"/>
            <w:tcBorders>
              <w:top w:val="nil"/>
              <w:left w:val="nil"/>
              <w:bottom w:val="single" w:color="auto" w:sz="4" w:space="0"/>
              <w:right w:val="single" w:color="auto" w:sz="4" w:space="0"/>
            </w:tcBorders>
            <w:vAlign w:val="center"/>
          </w:tcPr>
          <w:p w14:paraId="69DAE06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88" w:type="dxa"/>
            <w:tcBorders>
              <w:top w:val="nil"/>
              <w:left w:val="nil"/>
              <w:bottom w:val="single" w:color="auto" w:sz="4" w:space="0"/>
              <w:right w:val="single" w:color="auto" w:sz="4" w:space="0"/>
            </w:tcBorders>
            <w:vAlign w:val="center"/>
          </w:tcPr>
          <w:p w14:paraId="081B877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27" w:type="dxa"/>
            <w:tcBorders>
              <w:top w:val="nil"/>
              <w:left w:val="nil"/>
              <w:bottom w:val="single" w:color="auto" w:sz="4" w:space="0"/>
              <w:right w:val="single" w:color="auto" w:sz="4" w:space="0"/>
            </w:tcBorders>
            <w:vAlign w:val="center"/>
          </w:tcPr>
          <w:p w14:paraId="12BBA2D6">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6" w:type="dxa"/>
            <w:tcBorders>
              <w:top w:val="nil"/>
              <w:left w:val="nil"/>
              <w:bottom w:val="single" w:color="auto" w:sz="4" w:space="0"/>
              <w:right w:val="single" w:color="auto" w:sz="4" w:space="0"/>
            </w:tcBorders>
            <w:vAlign w:val="center"/>
          </w:tcPr>
          <w:p w14:paraId="0C8E74A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41" w:type="dxa"/>
            <w:tcBorders>
              <w:top w:val="nil"/>
              <w:left w:val="nil"/>
              <w:bottom w:val="single" w:color="auto" w:sz="4" w:space="0"/>
              <w:right w:val="single" w:color="auto" w:sz="4" w:space="0"/>
            </w:tcBorders>
            <w:vAlign w:val="center"/>
          </w:tcPr>
          <w:p w14:paraId="4F9C860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775" w:type="dxa"/>
            <w:tcBorders>
              <w:top w:val="nil"/>
              <w:left w:val="nil"/>
              <w:bottom w:val="single" w:color="auto" w:sz="4" w:space="0"/>
              <w:right w:val="single" w:color="auto" w:sz="4" w:space="0"/>
            </w:tcBorders>
            <w:vAlign w:val="center"/>
          </w:tcPr>
          <w:p w14:paraId="644EFB6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774" w:type="dxa"/>
            <w:tcBorders>
              <w:top w:val="nil"/>
              <w:left w:val="nil"/>
              <w:bottom w:val="single" w:color="auto" w:sz="4" w:space="0"/>
              <w:right w:val="single" w:color="auto" w:sz="4" w:space="0"/>
            </w:tcBorders>
            <w:vAlign w:val="center"/>
          </w:tcPr>
          <w:p w14:paraId="4097CC6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87" w:type="dxa"/>
            <w:tcBorders>
              <w:top w:val="nil"/>
              <w:left w:val="nil"/>
              <w:bottom w:val="single" w:color="auto" w:sz="4" w:space="0"/>
              <w:right w:val="single" w:color="auto" w:sz="4" w:space="0"/>
            </w:tcBorders>
            <w:vAlign w:val="center"/>
          </w:tcPr>
          <w:p w14:paraId="187F17D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12" w:type="dxa"/>
            <w:tcBorders>
              <w:top w:val="nil"/>
              <w:left w:val="nil"/>
              <w:bottom w:val="single" w:color="auto" w:sz="4" w:space="0"/>
              <w:right w:val="single" w:color="auto" w:sz="4" w:space="0"/>
            </w:tcBorders>
            <w:vAlign w:val="center"/>
          </w:tcPr>
          <w:p w14:paraId="0B11AE8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4" w:type="dxa"/>
            <w:tcBorders>
              <w:top w:val="nil"/>
              <w:left w:val="nil"/>
              <w:bottom w:val="single" w:color="auto" w:sz="4" w:space="0"/>
              <w:right w:val="single" w:color="auto" w:sz="4" w:space="0"/>
            </w:tcBorders>
            <w:vAlign w:val="center"/>
          </w:tcPr>
          <w:p w14:paraId="5AFCC2E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54" w:type="dxa"/>
            <w:tcBorders>
              <w:top w:val="nil"/>
              <w:left w:val="nil"/>
              <w:bottom w:val="single" w:color="auto" w:sz="4" w:space="0"/>
              <w:right w:val="single" w:color="auto" w:sz="4" w:space="0"/>
            </w:tcBorders>
            <w:vAlign w:val="center"/>
          </w:tcPr>
          <w:p w14:paraId="17CF721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89" w:type="dxa"/>
            <w:tcBorders>
              <w:top w:val="nil"/>
              <w:left w:val="nil"/>
              <w:bottom w:val="single" w:color="auto" w:sz="4" w:space="0"/>
              <w:right w:val="single" w:color="auto" w:sz="4" w:space="0"/>
            </w:tcBorders>
            <w:vAlign w:val="center"/>
          </w:tcPr>
          <w:p w14:paraId="6065B8E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05" w:type="dxa"/>
            <w:tcBorders>
              <w:top w:val="nil"/>
              <w:left w:val="nil"/>
              <w:bottom w:val="single" w:color="auto" w:sz="4" w:space="0"/>
              <w:right w:val="single" w:color="auto" w:sz="4" w:space="0"/>
            </w:tcBorders>
            <w:vAlign w:val="center"/>
          </w:tcPr>
          <w:p w14:paraId="6B662EC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r>
      <w:tr w14:paraId="73AC3E64">
        <w:tblPrEx>
          <w:tblCellMar>
            <w:top w:w="0" w:type="dxa"/>
            <w:left w:w="28" w:type="dxa"/>
            <w:bottom w:w="0" w:type="dxa"/>
            <w:right w:w="28" w:type="dxa"/>
          </w:tblCellMar>
        </w:tblPrEx>
        <w:trPr>
          <w:trHeight w:val="454" w:hRule="atLeast"/>
          <w:jc w:val="center"/>
        </w:trPr>
        <w:tc>
          <w:tcPr>
            <w:tcW w:w="413" w:type="dxa"/>
            <w:tcBorders>
              <w:top w:val="nil"/>
              <w:left w:val="single" w:color="auto" w:sz="4" w:space="0"/>
              <w:bottom w:val="single" w:color="auto" w:sz="4" w:space="0"/>
              <w:right w:val="single" w:color="auto" w:sz="4" w:space="0"/>
            </w:tcBorders>
            <w:vAlign w:val="center"/>
          </w:tcPr>
          <w:p w14:paraId="08E654B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30" w:type="dxa"/>
            <w:tcBorders>
              <w:top w:val="nil"/>
              <w:left w:val="nil"/>
              <w:bottom w:val="single" w:color="auto" w:sz="4" w:space="0"/>
              <w:right w:val="single" w:color="auto" w:sz="4" w:space="0"/>
            </w:tcBorders>
            <w:vAlign w:val="center"/>
          </w:tcPr>
          <w:p w14:paraId="14A8189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1014" w:type="dxa"/>
            <w:tcBorders>
              <w:top w:val="nil"/>
              <w:left w:val="nil"/>
              <w:bottom w:val="single" w:color="auto" w:sz="4" w:space="0"/>
              <w:right w:val="single" w:color="auto" w:sz="4" w:space="0"/>
            </w:tcBorders>
            <w:vAlign w:val="center"/>
          </w:tcPr>
          <w:p w14:paraId="02513BD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853" w:type="dxa"/>
            <w:tcBorders>
              <w:top w:val="nil"/>
              <w:left w:val="nil"/>
              <w:bottom w:val="single" w:color="auto" w:sz="4" w:space="0"/>
              <w:right w:val="single" w:color="auto" w:sz="4" w:space="0"/>
            </w:tcBorders>
            <w:vAlign w:val="center"/>
          </w:tcPr>
          <w:p w14:paraId="4BE5A54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23" w:type="dxa"/>
            <w:tcBorders>
              <w:top w:val="nil"/>
              <w:left w:val="nil"/>
              <w:bottom w:val="single" w:color="auto" w:sz="4" w:space="0"/>
              <w:right w:val="single" w:color="auto" w:sz="4" w:space="0"/>
            </w:tcBorders>
            <w:vAlign w:val="center"/>
          </w:tcPr>
          <w:p w14:paraId="6411DE9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3" w:type="dxa"/>
            <w:tcBorders>
              <w:top w:val="nil"/>
              <w:left w:val="nil"/>
              <w:bottom w:val="single" w:color="auto" w:sz="4" w:space="0"/>
              <w:right w:val="single" w:color="auto" w:sz="4" w:space="0"/>
            </w:tcBorders>
            <w:vAlign w:val="center"/>
          </w:tcPr>
          <w:p w14:paraId="5DBFE355">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00" w:type="dxa"/>
            <w:tcBorders>
              <w:top w:val="nil"/>
              <w:left w:val="nil"/>
              <w:bottom w:val="single" w:color="auto" w:sz="4" w:space="0"/>
              <w:right w:val="single" w:color="auto" w:sz="4" w:space="0"/>
            </w:tcBorders>
            <w:vAlign w:val="center"/>
          </w:tcPr>
          <w:p w14:paraId="06B87B1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53" w:type="dxa"/>
            <w:tcBorders>
              <w:top w:val="nil"/>
              <w:left w:val="nil"/>
              <w:bottom w:val="single" w:color="auto" w:sz="4" w:space="0"/>
              <w:right w:val="single" w:color="auto" w:sz="4" w:space="0"/>
            </w:tcBorders>
            <w:vAlign w:val="center"/>
          </w:tcPr>
          <w:p w14:paraId="2DCB8B3E">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62" w:type="dxa"/>
            <w:tcBorders>
              <w:top w:val="nil"/>
              <w:left w:val="nil"/>
              <w:bottom w:val="single" w:color="auto" w:sz="4" w:space="0"/>
              <w:right w:val="single" w:color="auto" w:sz="4" w:space="0"/>
            </w:tcBorders>
            <w:vAlign w:val="center"/>
          </w:tcPr>
          <w:p w14:paraId="41E59A2C">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01" w:type="dxa"/>
            <w:tcBorders>
              <w:top w:val="nil"/>
              <w:left w:val="nil"/>
              <w:bottom w:val="single" w:color="auto" w:sz="4" w:space="0"/>
              <w:right w:val="single" w:color="auto" w:sz="4" w:space="0"/>
            </w:tcBorders>
            <w:vAlign w:val="center"/>
          </w:tcPr>
          <w:p w14:paraId="44DBD2B8">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77" w:type="dxa"/>
            <w:tcBorders>
              <w:top w:val="nil"/>
              <w:left w:val="nil"/>
              <w:bottom w:val="single" w:color="auto" w:sz="4" w:space="0"/>
              <w:right w:val="single" w:color="auto" w:sz="4" w:space="0"/>
            </w:tcBorders>
            <w:vAlign w:val="center"/>
          </w:tcPr>
          <w:p w14:paraId="65585BA3">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652" w:type="dxa"/>
            <w:tcBorders>
              <w:top w:val="nil"/>
              <w:left w:val="nil"/>
              <w:bottom w:val="single" w:color="auto" w:sz="4" w:space="0"/>
              <w:right w:val="single" w:color="auto" w:sz="4" w:space="0"/>
            </w:tcBorders>
            <w:vAlign w:val="center"/>
          </w:tcPr>
          <w:p w14:paraId="3CC2C70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56" w:type="dxa"/>
            <w:tcBorders>
              <w:top w:val="nil"/>
              <w:left w:val="nil"/>
              <w:bottom w:val="single" w:color="auto" w:sz="4" w:space="0"/>
              <w:right w:val="single" w:color="auto" w:sz="4" w:space="0"/>
            </w:tcBorders>
            <w:vAlign w:val="center"/>
          </w:tcPr>
          <w:p w14:paraId="46087A2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96" w:type="dxa"/>
            <w:tcBorders>
              <w:top w:val="nil"/>
              <w:left w:val="nil"/>
              <w:bottom w:val="single" w:color="auto" w:sz="4" w:space="0"/>
              <w:right w:val="single" w:color="auto" w:sz="4" w:space="0"/>
            </w:tcBorders>
            <w:vAlign w:val="center"/>
          </w:tcPr>
          <w:p w14:paraId="523FB74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93" w:type="dxa"/>
            <w:tcBorders>
              <w:top w:val="nil"/>
              <w:left w:val="nil"/>
              <w:bottom w:val="single" w:color="auto" w:sz="4" w:space="0"/>
              <w:right w:val="single" w:color="auto" w:sz="4" w:space="0"/>
            </w:tcBorders>
            <w:vAlign w:val="center"/>
          </w:tcPr>
          <w:p w14:paraId="3F327F8A">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62" w:type="dxa"/>
            <w:tcBorders>
              <w:top w:val="nil"/>
              <w:left w:val="nil"/>
              <w:bottom w:val="single" w:color="auto" w:sz="4" w:space="0"/>
              <w:right w:val="single" w:color="auto" w:sz="4" w:space="0"/>
            </w:tcBorders>
            <w:vAlign w:val="center"/>
          </w:tcPr>
          <w:p w14:paraId="3B3EF43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88" w:type="dxa"/>
            <w:tcBorders>
              <w:top w:val="nil"/>
              <w:left w:val="nil"/>
              <w:bottom w:val="single" w:color="auto" w:sz="4" w:space="0"/>
              <w:right w:val="single" w:color="auto" w:sz="4" w:space="0"/>
            </w:tcBorders>
            <w:vAlign w:val="center"/>
          </w:tcPr>
          <w:p w14:paraId="37F24A6D">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27" w:type="dxa"/>
            <w:tcBorders>
              <w:top w:val="nil"/>
              <w:left w:val="nil"/>
              <w:bottom w:val="single" w:color="auto" w:sz="4" w:space="0"/>
              <w:right w:val="single" w:color="auto" w:sz="4" w:space="0"/>
            </w:tcBorders>
            <w:vAlign w:val="center"/>
          </w:tcPr>
          <w:p w14:paraId="523C6D36">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6" w:type="dxa"/>
            <w:tcBorders>
              <w:top w:val="nil"/>
              <w:left w:val="nil"/>
              <w:bottom w:val="single" w:color="auto" w:sz="4" w:space="0"/>
              <w:right w:val="single" w:color="auto" w:sz="4" w:space="0"/>
            </w:tcBorders>
            <w:vAlign w:val="center"/>
          </w:tcPr>
          <w:p w14:paraId="21A827D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41" w:type="dxa"/>
            <w:tcBorders>
              <w:top w:val="nil"/>
              <w:left w:val="nil"/>
              <w:bottom w:val="single" w:color="auto" w:sz="4" w:space="0"/>
              <w:right w:val="single" w:color="auto" w:sz="4" w:space="0"/>
            </w:tcBorders>
            <w:vAlign w:val="center"/>
          </w:tcPr>
          <w:p w14:paraId="33F01504">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775" w:type="dxa"/>
            <w:tcBorders>
              <w:top w:val="nil"/>
              <w:left w:val="nil"/>
              <w:bottom w:val="single" w:color="auto" w:sz="4" w:space="0"/>
              <w:right w:val="single" w:color="auto" w:sz="4" w:space="0"/>
            </w:tcBorders>
            <w:vAlign w:val="center"/>
          </w:tcPr>
          <w:p w14:paraId="70A3B5F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774" w:type="dxa"/>
            <w:tcBorders>
              <w:top w:val="nil"/>
              <w:left w:val="nil"/>
              <w:bottom w:val="single" w:color="auto" w:sz="4" w:space="0"/>
              <w:right w:val="single" w:color="auto" w:sz="4" w:space="0"/>
            </w:tcBorders>
            <w:vAlign w:val="center"/>
          </w:tcPr>
          <w:p w14:paraId="5B3A8692">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87" w:type="dxa"/>
            <w:tcBorders>
              <w:top w:val="nil"/>
              <w:left w:val="nil"/>
              <w:bottom w:val="single" w:color="auto" w:sz="4" w:space="0"/>
              <w:right w:val="single" w:color="auto" w:sz="4" w:space="0"/>
            </w:tcBorders>
            <w:vAlign w:val="center"/>
          </w:tcPr>
          <w:p w14:paraId="3B5A7820">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12" w:type="dxa"/>
            <w:tcBorders>
              <w:top w:val="nil"/>
              <w:left w:val="nil"/>
              <w:bottom w:val="single" w:color="auto" w:sz="4" w:space="0"/>
              <w:right w:val="single" w:color="auto" w:sz="4" w:space="0"/>
            </w:tcBorders>
            <w:vAlign w:val="center"/>
          </w:tcPr>
          <w:p w14:paraId="15C90781">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374" w:type="dxa"/>
            <w:tcBorders>
              <w:top w:val="nil"/>
              <w:left w:val="nil"/>
              <w:bottom w:val="single" w:color="auto" w:sz="4" w:space="0"/>
              <w:right w:val="single" w:color="auto" w:sz="4" w:space="0"/>
            </w:tcBorders>
            <w:vAlign w:val="center"/>
          </w:tcPr>
          <w:p w14:paraId="21C56E4A">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54" w:type="dxa"/>
            <w:tcBorders>
              <w:top w:val="nil"/>
              <w:left w:val="nil"/>
              <w:bottom w:val="single" w:color="auto" w:sz="4" w:space="0"/>
              <w:right w:val="single" w:color="auto" w:sz="4" w:space="0"/>
            </w:tcBorders>
            <w:vAlign w:val="center"/>
          </w:tcPr>
          <w:p w14:paraId="5A8C197F">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489" w:type="dxa"/>
            <w:tcBorders>
              <w:top w:val="nil"/>
              <w:left w:val="nil"/>
              <w:bottom w:val="single" w:color="auto" w:sz="4" w:space="0"/>
              <w:right w:val="single" w:color="auto" w:sz="4" w:space="0"/>
            </w:tcBorders>
            <w:vAlign w:val="center"/>
          </w:tcPr>
          <w:p w14:paraId="675AA0C7">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c>
          <w:tcPr>
            <w:tcW w:w="505" w:type="dxa"/>
            <w:tcBorders>
              <w:top w:val="nil"/>
              <w:left w:val="nil"/>
              <w:bottom w:val="single" w:color="auto" w:sz="4" w:space="0"/>
              <w:right w:val="single" w:color="auto" w:sz="4" w:space="0"/>
            </w:tcBorders>
            <w:vAlign w:val="center"/>
          </w:tcPr>
          <w:p w14:paraId="3B4B4E2B">
            <w:pPr>
              <w:widowControl/>
              <w:spacing w:line="240" w:lineRule="exact"/>
              <w:jc w:val="center"/>
              <w:rPr>
                <w:rFonts w:ascii="仿宋" w:hAnsi="仿宋" w:eastAsia="仿宋"/>
                <w:color w:val="000000"/>
                <w:kern w:val="0"/>
                <w:sz w:val="20"/>
                <w:szCs w:val="20"/>
              </w:rPr>
            </w:pPr>
            <w:r>
              <w:rPr>
                <w:rFonts w:hint="eastAsia" w:ascii="仿宋" w:hAnsi="仿宋" w:eastAsia="仿宋" w:cs="宋体"/>
                <w:color w:val="000000"/>
                <w:kern w:val="0"/>
                <w:sz w:val="20"/>
                <w:szCs w:val="20"/>
              </w:rPr>
              <w:t>　</w:t>
            </w:r>
          </w:p>
        </w:tc>
      </w:tr>
    </w:tbl>
    <w:p w14:paraId="231F2EE2">
      <w:pPr>
        <w:spacing w:line="360" w:lineRule="auto"/>
        <w:rPr>
          <w:rFonts w:ascii="仿宋" w:hAnsi="仿宋" w:eastAsia="仿宋"/>
          <w:vanish/>
          <w:color w:val="000000"/>
          <w:kern w:val="0"/>
          <w:sz w:val="20"/>
          <w:szCs w:val="20"/>
        </w:rPr>
      </w:pPr>
      <w:r>
        <w:rPr>
          <w:rFonts w:hint="eastAsia" w:ascii="仿宋" w:hAnsi="仿宋" w:eastAsia="仿宋" w:cs="宋体"/>
          <w:color w:val="000000"/>
          <w:kern w:val="0"/>
          <w:sz w:val="20"/>
          <w:szCs w:val="20"/>
        </w:rPr>
        <w:t>备注：有关数据统计截止时间为填报日</w:t>
      </w:r>
    </w:p>
    <w:p w14:paraId="757DBF58">
      <w:pPr>
        <w:spacing w:line="360" w:lineRule="auto"/>
        <w:jc w:val="left"/>
        <w:rPr>
          <w:rFonts w:ascii="仿宋" w:hAnsi="仿宋" w:eastAsia="仿宋"/>
          <w:vanish/>
          <w:color w:val="000000"/>
          <w:sz w:val="20"/>
          <w:szCs w:val="20"/>
        </w:rPr>
      </w:pPr>
    </w:p>
    <w:p w14:paraId="63CB6DC2">
      <w:pPr>
        <w:spacing w:line="360" w:lineRule="auto"/>
        <w:jc w:val="left"/>
        <w:rPr>
          <w:rFonts w:ascii="仿宋" w:hAnsi="仿宋" w:eastAsia="仿宋"/>
          <w:vanish/>
          <w:color w:val="000000"/>
          <w:sz w:val="20"/>
          <w:szCs w:val="20"/>
        </w:rPr>
      </w:pPr>
    </w:p>
    <w:p w14:paraId="46F4E5CC">
      <w:pPr>
        <w:spacing w:line="360" w:lineRule="auto"/>
        <w:rPr>
          <w:rFonts w:ascii="仿宋" w:hAnsi="仿宋" w:eastAsia="仿宋"/>
          <w:color w:val="000000"/>
          <w:sz w:val="20"/>
          <w:szCs w:val="20"/>
        </w:rPr>
      </w:pPr>
    </w:p>
    <w:sectPr>
      <w:pgSz w:w="16838" w:h="11906" w:orient="landscape"/>
      <w:pgMar w:top="1417" w:right="1417" w:bottom="1417" w:left="1417" w:header="0" w:footer="1417" w:gutter="0"/>
      <w:cols w:space="0" w:num="1"/>
      <w:docGrid w:type="linesAndChars" w:linePitch="453"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大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4F371">
    <w:pPr>
      <w:pStyle w:val="3"/>
      <w:ind w:right="360" w:firstLine="360"/>
    </w:pPr>
    <w: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2ABC5807">
                <w:pPr>
                  <w:pStyle w:val="3"/>
                  <w:rPr>
                    <w:rStyle w:val="10"/>
                    <w:sz w:val="28"/>
                    <w:szCs w:val="28"/>
                  </w:rPr>
                </w:pPr>
                <w:r>
                  <w:rPr>
                    <w:rStyle w:val="10"/>
                    <w:sz w:val="28"/>
                    <w:szCs w:val="28"/>
                  </w:rPr>
                  <w:t xml:space="preserve">— </w:t>
                </w:r>
                <w:r>
                  <w:rPr>
                    <w:rStyle w:val="10"/>
                    <w:sz w:val="28"/>
                    <w:szCs w:val="28"/>
                  </w:rPr>
                  <w:fldChar w:fldCharType="begin"/>
                </w:r>
                <w:r>
                  <w:rPr>
                    <w:rStyle w:val="10"/>
                    <w:sz w:val="28"/>
                    <w:szCs w:val="28"/>
                  </w:rPr>
                  <w:instrText xml:space="preserve">PAGE  </w:instrText>
                </w:r>
                <w:r>
                  <w:rPr>
                    <w:rStyle w:val="10"/>
                    <w:sz w:val="28"/>
                    <w:szCs w:val="28"/>
                  </w:rPr>
                  <w:fldChar w:fldCharType="separate"/>
                </w:r>
                <w:r>
                  <w:rPr>
                    <w:rStyle w:val="10"/>
                    <w:sz w:val="28"/>
                    <w:szCs w:val="28"/>
                  </w:rPr>
                  <w:t>2</w:t>
                </w:r>
                <w:r>
                  <w:rPr>
                    <w:rStyle w:val="10"/>
                    <w:sz w:val="28"/>
                    <w:szCs w:val="28"/>
                  </w:rPr>
                  <w:fldChar w:fldCharType="end"/>
                </w:r>
                <w:r>
                  <w:rPr>
                    <w:rStyle w:val="10"/>
                    <w:sz w:val="28"/>
                    <w:szCs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7C9BE">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95F0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F8AE5">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4E3BE">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69120">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62"/>
  <w:drawingGridVerticalSpacing w:val="22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1"/>
  </w:compat>
  <w:docVars>
    <w:docVar w:name="commondata" w:val="eyJoZGlkIjoiZDVhMzkwOTc1ODA2YzZkNmI4NDc5YmFjZTUxNjdmNDQifQ=="/>
  </w:docVars>
  <w:rsids>
    <w:rsidRoot w:val="00D328E4"/>
    <w:rsid w:val="0002246C"/>
    <w:rsid w:val="00031186"/>
    <w:rsid w:val="00035733"/>
    <w:rsid w:val="0004263A"/>
    <w:rsid w:val="000666DA"/>
    <w:rsid w:val="000C4BD5"/>
    <w:rsid w:val="000D11EE"/>
    <w:rsid w:val="000D26CA"/>
    <w:rsid w:val="000F27CB"/>
    <w:rsid w:val="000F7D0B"/>
    <w:rsid w:val="00113864"/>
    <w:rsid w:val="00151134"/>
    <w:rsid w:val="00155114"/>
    <w:rsid w:val="00157468"/>
    <w:rsid w:val="00162005"/>
    <w:rsid w:val="00166BA3"/>
    <w:rsid w:val="001760E5"/>
    <w:rsid w:val="001930BA"/>
    <w:rsid w:val="001A0EC5"/>
    <w:rsid w:val="001C0474"/>
    <w:rsid w:val="001C4966"/>
    <w:rsid w:val="001D6988"/>
    <w:rsid w:val="001E70CE"/>
    <w:rsid w:val="001F6136"/>
    <w:rsid w:val="00204544"/>
    <w:rsid w:val="00216B58"/>
    <w:rsid w:val="0021758A"/>
    <w:rsid w:val="0026669A"/>
    <w:rsid w:val="0027516D"/>
    <w:rsid w:val="00285ACA"/>
    <w:rsid w:val="002F7140"/>
    <w:rsid w:val="00316421"/>
    <w:rsid w:val="00324F0F"/>
    <w:rsid w:val="00337B69"/>
    <w:rsid w:val="00343057"/>
    <w:rsid w:val="003435A7"/>
    <w:rsid w:val="0036480F"/>
    <w:rsid w:val="00367164"/>
    <w:rsid w:val="00376A14"/>
    <w:rsid w:val="003816AF"/>
    <w:rsid w:val="003821D4"/>
    <w:rsid w:val="003A512B"/>
    <w:rsid w:val="003B4D7D"/>
    <w:rsid w:val="003F0285"/>
    <w:rsid w:val="003F1AE9"/>
    <w:rsid w:val="003F4256"/>
    <w:rsid w:val="003F54B1"/>
    <w:rsid w:val="003F7138"/>
    <w:rsid w:val="00417C20"/>
    <w:rsid w:val="0042309E"/>
    <w:rsid w:val="00423E68"/>
    <w:rsid w:val="004624EB"/>
    <w:rsid w:val="004B2CCE"/>
    <w:rsid w:val="004F0133"/>
    <w:rsid w:val="00533381"/>
    <w:rsid w:val="00534C52"/>
    <w:rsid w:val="0053692B"/>
    <w:rsid w:val="00562963"/>
    <w:rsid w:val="0057772B"/>
    <w:rsid w:val="005A5F9C"/>
    <w:rsid w:val="005B167E"/>
    <w:rsid w:val="005C3C61"/>
    <w:rsid w:val="005D5D29"/>
    <w:rsid w:val="005F777E"/>
    <w:rsid w:val="00606389"/>
    <w:rsid w:val="00606EAD"/>
    <w:rsid w:val="00611BDD"/>
    <w:rsid w:val="00616241"/>
    <w:rsid w:val="0064171D"/>
    <w:rsid w:val="0064456A"/>
    <w:rsid w:val="006459F1"/>
    <w:rsid w:val="006605D5"/>
    <w:rsid w:val="00672DDF"/>
    <w:rsid w:val="00697056"/>
    <w:rsid w:val="006A032C"/>
    <w:rsid w:val="006A5CA4"/>
    <w:rsid w:val="006B3140"/>
    <w:rsid w:val="006C7E0A"/>
    <w:rsid w:val="006E3C39"/>
    <w:rsid w:val="006E75B0"/>
    <w:rsid w:val="007075AB"/>
    <w:rsid w:val="007218AF"/>
    <w:rsid w:val="00734DEA"/>
    <w:rsid w:val="00734EF9"/>
    <w:rsid w:val="00735D85"/>
    <w:rsid w:val="00744B66"/>
    <w:rsid w:val="00754FC7"/>
    <w:rsid w:val="00756D48"/>
    <w:rsid w:val="007870B6"/>
    <w:rsid w:val="007C1061"/>
    <w:rsid w:val="007C2D19"/>
    <w:rsid w:val="007C3F4D"/>
    <w:rsid w:val="0082246B"/>
    <w:rsid w:val="0084142C"/>
    <w:rsid w:val="00852A5C"/>
    <w:rsid w:val="008543A4"/>
    <w:rsid w:val="00862C16"/>
    <w:rsid w:val="0086470B"/>
    <w:rsid w:val="00865808"/>
    <w:rsid w:val="008A3430"/>
    <w:rsid w:val="008B7928"/>
    <w:rsid w:val="008C3916"/>
    <w:rsid w:val="008C6F6E"/>
    <w:rsid w:val="0092027C"/>
    <w:rsid w:val="00923C98"/>
    <w:rsid w:val="00930584"/>
    <w:rsid w:val="009408D0"/>
    <w:rsid w:val="009452B8"/>
    <w:rsid w:val="00962925"/>
    <w:rsid w:val="0096785B"/>
    <w:rsid w:val="009768B9"/>
    <w:rsid w:val="00992722"/>
    <w:rsid w:val="009B3111"/>
    <w:rsid w:val="009C65DD"/>
    <w:rsid w:val="009E1431"/>
    <w:rsid w:val="009E3C87"/>
    <w:rsid w:val="009E459E"/>
    <w:rsid w:val="00A22E0B"/>
    <w:rsid w:val="00A302AF"/>
    <w:rsid w:val="00A36288"/>
    <w:rsid w:val="00A43234"/>
    <w:rsid w:val="00A47AD8"/>
    <w:rsid w:val="00A5198B"/>
    <w:rsid w:val="00A63923"/>
    <w:rsid w:val="00A80BBA"/>
    <w:rsid w:val="00A81B9D"/>
    <w:rsid w:val="00A81CCB"/>
    <w:rsid w:val="00A90541"/>
    <w:rsid w:val="00A950A8"/>
    <w:rsid w:val="00A962A2"/>
    <w:rsid w:val="00AB0A0C"/>
    <w:rsid w:val="00AB20BF"/>
    <w:rsid w:val="00AC17F1"/>
    <w:rsid w:val="00B46CE5"/>
    <w:rsid w:val="00B8177B"/>
    <w:rsid w:val="00BA2D13"/>
    <w:rsid w:val="00BB37B8"/>
    <w:rsid w:val="00C22B1D"/>
    <w:rsid w:val="00C6781D"/>
    <w:rsid w:val="00C815A9"/>
    <w:rsid w:val="00C9322E"/>
    <w:rsid w:val="00CA0552"/>
    <w:rsid w:val="00CB03DB"/>
    <w:rsid w:val="00CB158C"/>
    <w:rsid w:val="00CF0420"/>
    <w:rsid w:val="00D110A4"/>
    <w:rsid w:val="00D24434"/>
    <w:rsid w:val="00D2503E"/>
    <w:rsid w:val="00D3103C"/>
    <w:rsid w:val="00D328E4"/>
    <w:rsid w:val="00D4541A"/>
    <w:rsid w:val="00D52710"/>
    <w:rsid w:val="00D53650"/>
    <w:rsid w:val="00D76212"/>
    <w:rsid w:val="00D85B22"/>
    <w:rsid w:val="00DB6473"/>
    <w:rsid w:val="00DC7FED"/>
    <w:rsid w:val="00DD1F65"/>
    <w:rsid w:val="00DF3EB2"/>
    <w:rsid w:val="00E067C4"/>
    <w:rsid w:val="00E27445"/>
    <w:rsid w:val="00E61BB5"/>
    <w:rsid w:val="00EA15B9"/>
    <w:rsid w:val="00EC1C99"/>
    <w:rsid w:val="00ED343F"/>
    <w:rsid w:val="00ED4656"/>
    <w:rsid w:val="00EE0859"/>
    <w:rsid w:val="00EE4745"/>
    <w:rsid w:val="00EF0A92"/>
    <w:rsid w:val="00F02C27"/>
    <w:rsid w:val="00F22E46"/>
    <w:rsid w:val="00F50D6A"/>
    <w:rsid w:val="00F65F63"/>
    <w:rsid w:val="00F95411"/>
    <w:rsid w:val="00FC1EE5"/>
    <w:rsid w:val="00FC59E2"/>
    <w:rsid w:val="00FD663C"/>
    <w:rsid w:val="00FE5035"/>
    <w:rsid w:val="00FE54CF"/>
    <w:rsid w:val="092D6762"/>
    <w:rsid w:val="0A7B2019"/>
    <w:rsid w:val="0F1A517D"/>
    <w:rsid w:val="13761FDC"/>
    <w:rsid w:val="181B10C2"/>
    <w:rsid w:val="1C7D08CF"/>
    <w:rsid w:val="1CDB5F3B"/>
    <w:rsid w:val="1D38782F"/>
    <w:rsid w:val="2E4711C6"/>
    <w:rsid w:val="2F98329C"/>
    <w:rsid w:val="33CD6216"/>
    <w:rsid w:val="36E32B7D"/>
    <w:rsid w:val="384575B5"/>
    <w:rsid w:val="3C735732"/>
    <w:rsid w:val="3D855E98"/>
    <w:rsid w:val="4AE16DF1"/>
    <w:rsid w:val="4E9A6A2C"/>
    <w:rsid w:val="512D7B49"/>
    <w:rsid w:val="53595F53"/>
    <w:rsid w:val="55565E45"/>
    <w:rsid w:val="558E4E03"/>
    <w:rsid w:val="56AF6632"/>
    <w:rsid w:val="59193569"/>
    <w:rsid w:val="5AD8313A"/>
    <w:rsid w:val="5B720590"/>
    <w:rsid w:val="5BAE37A9"/>
    <w:rsid w:val="5E7424DE"/>
    <w:rsid w:val="663F0D1B"/>
    <w:rsid w:val="66664169"/>
    <w:rsid w:val="6DFA666D"/>
    <w:rsid w:val="6E122C37"/>
    <w:rsid w:val="72812D14"/>
    <w:rsid w:val="75FF5279"/>
    <w:rsid w:val="7A3E613C"/>
    <w:rsid w:val="7BD71861"/>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locked/>
    <w:uiPriority w:val="0"/>
    <w:pPr>
      <w:keepNext/>
      <w:keepLines/>
      <w:spacing w:line="576" w:lineRule="auto"/>
      <w:outlineLvl w:val="0"/>
    </w:pPr>
    <w:rPr>
      <w:b/>
      <w:kern w:val="44"/>
      <w:sz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99"/>
    <w:pPr>
      <w:tabs>
        <w:tab w:val="center" w:pos="4153"/>
        <w:tab w:val="right" w:pos="8306"/>
      </w:tabs>
      <w:snapToGrid w:val="0"/>
      <w:jc w:val="left"/>
    </w:pPr>
    <w:rPr>
      <w:sz w:val="18"/>
      <w:szCs w:val="18"/>
    </w:rPr>
  </w:style>
  <w:style w:type="paragraph" w:styleId="4">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Title"/>
    <w:basedOn w:val="1"/>
    <w:next w:val="1"/>
    <w:link w:val="13"/>
    <w:qFormat/>
    <w:uiPriority w:val="99"/>
    <w:pPr>
      <w:spacing w:before="240" w:after="60"/>
      <w:jc w:val="center"/>
      <w:outlineLvl w:val="0"/>
    </w:pPr>
    <w:rPr>
      <w:rFonts w:ascii="Cambria" w:hAnsi="Cambria" w:eastAsia="宋体" w:cs="Cambria"/>
      <w:b/>
      <w:bCs/>
    </w:rPr>
  </w:style>
  <w:style w:type="table" w:styleId="8">
    <w:name w:val="Table Grid"/>
    <w:basedOn w:val="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style>
  <w:style w:type="character" w:customStyle="1" w:styleId="11">
    <w:name w:val="页脚 Char"/>
    <w:basedOn w:val="9"/>
    <w:link w:val="3"/>
    <w:semiHidden/>
    <w:qFormat/>
    <w:locked/>
    <w:uiPriority w:val="99"/>
    <w:rPr>
      <w:rFonts w:eastAsia="仿宋_GB2312"/>
      <w:sz w:val="18"/>
      <w:szCs w:val="18"/>
    </w:rPr>
  </w:style>
  <w:style w:type="character" w:customStyle="1" w:styleId="12">
    <w:name w:val="页眉 Char"/>
    <w:basedOn w:val="9"/>
    <w:link w:val="4"/>
    <w:qFormat/>
    <w:locked/>
    <w:uiPriority w:val="99"/>
    <w:rPr>
      <w:rFonts w:eastAsia="仿宋_GB2312"/>
      <w:kern w:val="2"/>
      <w:sz w:val="18"/>
      <w:szCs w:val="18"/>
    </w:rPr>
  </w:style>
  <w:style w:type="character" w:customStyle="1" w:styleId="13">
    <w:name w:val="标题 Char"/>
    <w:basedOn w:val="9"/>
    <w:link w:val="6"/>
    <w:qFormat/>
    <w:locked/>
    <w:uiPriority w:val="99"/>
    <w:rPr>
      <w:rFonts w:ascii="Cambria" w:hAnsi="Cambria" w:cs="Cambria"/>
      <w:b/>
      <w:bCs/>
      <w:kern w:val="2"/>
      <w:sz w:val="32"/>
      <w:szCs w:val="32"/>
    </w:rPr>
  </w:style>
  <w:style w:type="paragraph" w:customStyle="1" w:styleId="14">
    <w:name w:val="Char Char1 Char Char Char Char Char Char"/>
    <w:basedOn w:val="1"/>
    <w:qFormat/>
    <w:uiPriority w:val="99"/>
    <w:pPr>
      <w:widowControl/>
      <w:spacing w:after="160" w:line="240" w:lineRule="exact"/>
      <w:jc w:val="left"/>
    </w:pPr>
    <w:rPr>
      <w:rFonts w:eastAsia="宋体"/>
      <w:sz w:val="21"/>
      <w:szCs w:val="21"/>
    </w:rPr>
  </w:style>
  <w:style w:type="paragraph" w:customStyle="1" w:styleId="15">
    <w:name w:val="Char Char1 Char Char Char Char Char Char1"/>
    <w:basedOn w:val="1"/>
    <w:qFormat/>
    <w:uiPriority w:val="99"/>
    <w:pPr>
      <w:widowControl/>
      <w:spacing w:after="160" w:line="240" w:lineRule="exact"/>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信念技术论坛</Company>
  <Pages>14</Pages>
  <Words>5975</Words>
  <Characters>6057</Characters>
  <Lines>4</Lines>
  <Paragraphs>13</Paragraphs>
  <TotalTime>1</TotalTime>
  <ScaleCrop>false</ScaleCrop>
  <LinksUpToDate>false</LinksUpToDate>
  <CharactersWithSpaces>6194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2020-03-26T06:53:00Z</dcterms:created>
  <dc:creator>微软用户</dc:creator>
  <cp:lastModifiedBy>空城旧梦</cp:lastModifiedBy>
  <cp:lastPrinted>2020-10-22T03:01:00Z</cp:lastPrinted>
  <dcterms:modified xsi:type="dcterms:W3CDTF">2024-08-27T07:28:04Z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2A3B34173E7647B9B982AE05B58C1408_12</vt:lpwstr>
  </property>
</Properties>
</file>