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82383">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rPr>
          <w:rFonts w:hint="eastAsia" w:ascii="黑体" w:hAnsi="黑体" w:eastAsia="黑体" w:cs="黑体"/>
          <w:color w:val="auto"/>
          <w:sz w:val="40"/>
          <w:szCs w:val="40"/>
          <w:lang w:eastAsia="zh-CN"/>
        </w:rPr>
      </w:pPr>
      <w:r>
        <w:rPr>
          <w:rFonts w:hint="eastAsia" w:ascii="黑体" w:hAnsi="黑体" w:eastAsia="黑体" w:cs="黑体"/>
          <w:color w:val="auto"/>
          <w:sz w:val="40"/>
          <w:szCs w:val="40"/>
          <w:lang w:val="en-US" w:eastAsia="zh-CN"/>
        </w:rPr>
        <w:t>临武县发展和改革</w:t>
      </w:r>
      <w:r>
        <w:rPr>
          <w:rFonts w:hint="eastAsia" w:ascii="黑体" w:hAnsi="黑体" w:eastAsia="黑体" w:cs="黑体"/>
          <w:color w:val="auto"/>
          <w:sz w:val="40"/>
          <w:szCs w:val="40"/>
          <w:lang w:eastAsia="zh-CN"/>
        </w:rPr>
        <w:t>局</w:t>
      </w:r>
    </w:p>
    <w:p w14:paraId="331DBD30">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rPr>
          <w:rFonts w:hint="eastAsia" w:ascii="黑体" w:hAnsi="黑体" w:eastAsia="黑体" w:cs="黑体"/>
          <w:color w:val="auto"/>
          <w:sz w:val="40"/>
          <w:szCs w:val="40"/>
        </w:rPr>
      </w:pPr>
      <w:r>
        <w:rPr>
          <w:rFonts w:hint="eastAsia" w:ascii="黑体" w:hAnsi="黑体" w:eastAsia="黑体" w:cs="黑体"/>
          <w:color w:val="auto"/>
          <w:sz w:val="40"/>
          <w:szCs w:val="40"/>
        </w:rPr>
        <w:t>201</w:t>
      </w:r>
      <w:r>
        <w:rPr>
          <w:rFonts w:hint="eastAsia" w:ascii="黑体" w:hAnsi="黑体" w:eastAsia="黑体" w:cs="黑体"/>
          <w:color w:val="auto"/>
          <w:sz w:val="40"/>
          <w:szCs w:val="40"/>
          <w:lang w:val="en-US" w:eastAsia="zh-CN"/>
        </w:rPr>
        <w:t>9</w:t>
      </w:r>
      <w:r>
        <w:rPr>
          <w:rFonts w:hint="eastAsia" w:ascii="黑体" w:hAnsi="黑体" w:eastAsia="黑体" w:cs="黑体"/>
          <w:color w:val="auto"/>
          <w:sz w:val="40"/>
          <w:szCs w:val="40"/>
        </w:rPr>
        <w:t>年度整体支出绩效自评报告</w:t>
      </w:r>
    </w:p>
    <w:p w14:paraId="753C0191">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rPr>
          <w:rFonts w:hint="eastAsia" w:ascii="仿宋_GB2312" w:hAnsi="仿宋_GB2312" w:eastAsia="仿宋_GB2312" w:cs="仿宋_GB2312"/>
          <w:color w:val="auto"/>
          <w:sz w:val="21"/>
          <w:szCs w:val="21"/>
        </w:rPr>
      </w:pPr>
    </w:p>
    <w:p w14:paraId="0F7E93B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为加强资金管理，根据县财政局文件精神，我</w:t>
      </w:r>
      <w:r>
        <w:rPr>
          <w:rFonts w:hint="eastAsia" w:ascii="仿宋" w:hAnsi="仿宋" w:eastAsia="仿宋" w:cs="仿宋"/>
          <w:color w:val="auto"/>
          <w:sz w:val="32"/>
          <w:szCs w:val="32"/>
          <w:lang w:val="en-US" w:eastAsia="zh-CN"/>
        </w:rPr>
        <w:t>局</w:t>
      </w:r>
      <w:r>
        <w:rPr>
          <w:rFonts w:hint="eastAsia" w:ascii="仿宋" w:hAnsi="仿宋" w:eastAsia="仿宋" w:cs="仿宋"/>
          <w:color w:val="auto"/>
          <w:sz w:val="32"/>
          <w:szCs w:val="32"/>
        </w:rPr>
        <w:t>对201</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年部门整体支出绩效进行了全面整体评价，现将有关情况报告如下：</w:t>
      </w:r>
    </w:p>
    <w:p w14:paraId="6E5C944F">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leftChars="0" w:right="0" w:rightChars="0" w:firstLine="570"/>
        <w:jc w:val="left"/>
        <w:textAlignment w:val="auto"/>
        <w:rPr>
          <w:rFonts w:hint="eastAsia" w:ascii="黑体" w:hAnsi="黑体" w:eastAsia="黑体" w:cs="黑体"/>
          <w:b/>
          <w:bCs/>
          <w:color w:val="auto"/>
          <w:kern w:val="0"/>
          <w:sz w:val="32"/>
          <w:szCs w:val="32"/>
          <w:lang w:val="en-US" w:eastAsia="zh-CN" w:bidi="ar"/>
        </w:rPr>
      </w:pPr>
      <w:r>
        <w:rPr>
          <w:rFonts w:hint="eastAsia" w:ascii="黑体" w:hAnsi="黑体" w:eastAsia="黑体" w:cs="黑体"/>
          <w:b/>
          <w:bCs/>
          <w:color w:val="auto"/>
          <w:kern w:val="0"/>
          <w:sz w:val="32"/>
          <w:szCs w:val="32"/>
          <w:lang w:val="en-US" w:eastAsia="zh-CN" w:bidi="ar"/>
        </w:rPr>
        <w:t xml:space="preserve"> 一、单位基本情况</w:t>
      </w:r>
    </w:p>
    <w:p w14:paraId="10753F9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（一）</w:t>
      </w:r>
      <w:r>
        <w:rPr>
          <w:rFonts w:hint="eastAsia" w:cs="仿宋"/>
          <w:b/>
          <w:bCs/>
          <w:color w:val="auto"/>
          <w:sz w:val="32"/>
          <w:szCs w:val="32"/>
          <w:lang w:eastAsia="zh-CN"/>
        </w:rPr>
        <w:t>职能职责</w:t>
      </w:r>
    </w:p>
    <w:p w14:paraId="5B36E9C7">
      <w:pPr>
        <w:keepNext w:val="0"/>
        <w:keepLines w:val="0"/>
        <w:pageBreakBefore w:val="0"/>
        <w:widowControl/>
        <w:kinsoku/>
        <w:overflowPunct/>
        <w:topLinePunct w:val="0"/>
        <w:autoSpaceDE/>
        <w:autoSpaceDN/>
        <w:bidi w:val="0"/>
        <w:adjustRightInd/>
        <w:snapToGrid/>
        <w:spacing w:line="600" w:lineRule="exact"/>
        <w:ind w:right="0" w:rightChars="0" w:firstLine="643" w:firstLineChars="200"/>
        <w:jc w:val="both"/>
        <w:textAlignment w:val="auto"/>
        <w:rPr>
          <w:rFonts w:hint="eastAsia" w:asciiTheme="majorEastAsia" w:hAnsiTheme="majorEastAsia" w:eastAsiaTheme="majorEastAsia" w:cstheme="majorEastAsia"/>
          <w:b/>
          <w:bCs w:val="0"/>
          <w:color w:val="auto"/>
          <w:kern w:val="0"/>
          <w:sz w:val="32"/>
          <w:szCs w:val="32"/>
          <w:lang w:val="en-US" w:eastAsia="zh-CN"/>
        </w:rPr>
      </w:pPr>
      <w:r>
        <w:rPr>
          <w:rFonts w:hint="eastAsia" w:asciiTheme="majorEastAsia" w:hAnsiTheme="majorEastAsia" w:eastAsiaTheme="majorEastAsia" w:cstheme="majorEastAsia"/>
          <w:b/>
          <w:bCs w:val="0"/>
          <w:color w:val="auto"/>
          <w:kern w:val="0"/>
          <w:sz w:val="32"/>
          <w:szCs w:val="32"/>
          <w:lang w:val="en-US" w:eastAsia="zh-CN"/>
        </w:rPr>
        <w:t>一、部门职责</w:t>
      </w:r>
    </w:p>
    <w:p w14:paraId="67858628">
      <w:pPr>
        <w:spacing w:line="552" w:lineRule="exact"/>
        <w:ind w:firstLine="640" w:firstLineChars="200"/>
        <w:rPr>
          <w:rFonts w:hint="eastAsia" w:eastAsia="仿宋_GB2312" w:cs="仿宋_GB2312"/>
          <w:color w:val="auto"/>
          <w:sz w:val="32"/>
          <w:szCs w:val="32"/>
        </w:rPr>
      </w:pPr>
      <w:r>
        <w:rPr>
          <w:rFonts w:hint="eastAsia" w:eastAsia="仿宋_GB2312" w:cs="仿宋_GB2312"/>
          <w:color w:val="auto"/>
          <w:sz w:val="32"/>
          <w:szCs w:val="32"/>
        </w:rPr>
        <w:t>（一）拟订并组织实施全县国民经济和社会发展战略、中长</w:t>
      </w:r>
      <w:r>
        <w:rPr>
          <w:rFonts w:hint="eastAsia" w:eastAsia="仿宋_GB2312" w:cs="仿宋_GB2312"/>
          <w:color w:val="auto"/>
          <w:spacing w:val="2"/>
          <w:sz w:val="32"/>
          <w:szCs w:val="32"/>
        </w:rPr>
        <w:t>期规划和年度计划，统筹协调相关总体规划、区域规划与专项规划；提出全县国民经济发展、价格总水平调控和优化重大经济结构的目标、政策，提出综合运用各种经济手段和政策的建议，受县政府委托向县人民代表大会提交国民经济和社会发展计划报告。</w:t>
      </w:r>
    </w:p>
    <w:p w14:paraId="62955FE9">
      <w:pPr>
        <w:spacing w:line="552" w:lineRule="exact"/>
        <w:ind w:firstLine="640" w:firstLineChars="200"/>
        <w:rPr>
          <w:rFonts w:hint="eastAsia" w:eastAsia="仿宋_GB2312" w:cs="仿宋_GB2312"/>
          <w:color w:val="auto"/>
          <w:sz w:val="32"/>
          <w:szCs w:val="32"/>
        </w:rPr>
      </w:pPr>
      <w:r>
        <w:rPr>
          <w:rFonts w:hint="eastAsia" w:eastAsia="仿宋_GB2312" w:cs="仿宋_GB2312"/>
          <w:color w:val="auto"/>
          <w:sz w:val="32"/>
          <w:szCs w:val="32"/>
        </w:rPr>
        <w:t>（二）研究分析全县宏观经济运行、总量平衡、经济安全和总体产业安全等重要问题并提出宏观调控政策建议，协调解决经济运行中的重大问题。组织开展重大战略规划、重大政策、重大工程等评估指导，提出相关调整建议。</w:t>
      </w:r>
    </w:p>
    <w:p w14:paraId="2789B612">
      <w:pPr>
        <w:spacing w:line="552" w:lineRule="exact"/>
        <w:ind w:firstLine="640" w:firstLineChars="200"/>
        <w:rPr>
          <w:rFonts w:hint="eastAsia" w:eastAsia="仿宋_GB2312" w:cs="仿宋_GB2312"/>
          <w:color w:val="auto"/>
          <w:sz w:val="32"/>
          <w:szCs w:val="32"/>
        </w:rPr>
      </w:pPr>
      <w:r>
        <w:rPr>
          <w:rFonts w:hint="eastAsia" w:eastAsia="仿宋_GB2312" w:cs="仿宋_GB2312"/>
          <w:color w:val="auto"/>
          <w:sz w:val="32"/>
          <w:szCs w:val="32"/>
        </w:rPr>
        <w:t>（三）汇</w:t>
      </w:r>
      <w:r>
        <w:rPr>
          <w:rFonts w:hint="eastAsia" w:eastAsia="仿宋_GB2312" w:cs="仿宋_GB2312"/>
          <w:color w:val="auto"/>
          <w:spacing w:val="-6"/>
          <w:sz w:val="32"/>
          <w:szCs w:val="32"/>
        </w:rPr>
        <w:t>总社会资金总体运行情况，参与制定财政、金融、土地政策并综合分析政策执行效果。会同有关部门完善宏观调控协调机制，统筹推进产业、创业等投资基金的发展和制度建设。</w:t>
      </w:r>
    </w:p>
    <w:p w14:paraId="214DC28E">
      <w:pPr>
        <w:spacing w:line="552" w:lineRule="exact"/>
        <w:ind w:firstLine="640" w:firstLineChars="200"/>
        <w:rPr>
          <w:rFonts w:hint="eastAsia" w:eastAsia="仿宋_GB2312" w:cs="仿宋_GB2312"/>
          <w:color w:val="auto"/>
          <w:sz w:val="32"/>
          <w:szCs w:val="32"/>
        </w:rPr>
      </w:pPr>
      <w:r>
        <w:rPr>
          <w:rFonts w:hint="eastAsia" w:eastAsia="仿宋_GB2312" w:cs="仿宋_GB2312"/>
          <w:color w:val="auto"/>
          <w:sz w:val="32"/>
          <w:szCs w:val="32"/>
        </w:rPr>
        <w:t>（四）指导推进和综合协调全县经济体制改革，研究全县经济体制改革和对外开放重大问题，组织拟订综合性经济体制改革方案，协调有关专项改革方案。会同有关部门搞好专项改革之间的衔接。指导经济体制改革试点和改革试验区工作，组织推进“两型”社会建设工作。</w:t>
      </w:r>
    </w:p>
    <w:p w14:paraId="11F04686">
      <w:pPr>
        <w:spacing w:line="552" w:lineRule="exact"/>
        <w:ind w:firstLine="640" w:firstLineChars="200"/>
        <w:rPr>
          <w:rFonts w:hint="eastAsia" w:eastAsia="仿宋_GB2312" w:cs="仿宋_GB2312"/>
          <w:color w:val="auto"/>
          <w:sz w:val="32"/>
          <w:szCs w:val="32"/>
        </w:rPr>
      </w:pPr>
      <w:r>
        <w:rPr>
          <w:rFonts w:hint="eastAsia" w:eastAsia="仿宋_GB2312" w:cs="仿宋_GB2312"/>
          <w:color w:val="auto"/>
          <w:sz w:val="32"/>
          <w:szCs w:val="32"/>
        </w:rPr>
        <w:t>（五）拟订全县固定资产投资总规模和投资结构的调控目标、政策及措施。负责中央、省、市财政性建设资金项目的申报。提出财政性建设资金和专项建设资金安排意见，指导和监督政策性贷款的使用方向。规划全县重大建设项目和生产力布局，按规定权限审批、核准、审核、备案跨地区、跨行业、跨领域和涉及综合平衡、重大布局的重大建设项目、外资项目、境外投资项目。研究提出全县利用外资和境外投资的战略、规划、总量平衡和结构优化的目标和政策。指导和监督国外贷款建设资金的使用，引导民间投资方向。研究提出县重点建设项目计划。</w:t>
      </w:r>
    </w:p>
    <w:p w14:paraId="433EE276">
      <w:pPr>
        <w:spacing w:line="552" w:lineRule="exact"/>
        <w:ind w:firstLine="640" w:firstLineChars="200"/>
        <w:rPr>
          <w:rFonts w:hint="eastAsia" w:eastAsia="仿宋_GB2312" w:cs="仿宋_GB2312"/>
          <w:color w:val="auto"/>
          <w:sz w:val="32"/>
          <w:szCs w:val="32"/>
        </w:rPr>
      </w:pPr>
      <w:r>
        <w:rPr>
          <w:rFonts w:hint="eastAsia" w:eastAsia="仿宋_GB2312" w:cs="仿宋_GB2312"/>
          <w:color w:val="auto"/>
          <w:sz w:val="32"/>
          <w:szCs w:val="32"/>
        </w:rPr>
        <w:t>（六）组织拟订综合性产业政策，负责协调第一、二、三产业发展的重大问题并衔接平衡相关发展规划和重大政策，负责统筹交通运输体系发展规划与国民经济和社会发展规划的衔接平衡；协调农业和农村经济社会发展的重大问题。负责制定发展战略性新兴产业规划，研究提出新型工业化和产业集群发展的政策措施。会同有关部门研究拟订高新技术产业、服务业发展规划和重大政策，实施高新技术产业发展的宏观指导，协调解决重大技术装备推广应用等方面的重大问题。</w:t>
      </w:r>
    </w:p>
    <w:p w14:paraId="1D0264D9">
      <w:pPr>
        <w:spacing w:line="552" w:lineRule="exact"/>
        <w:ind w:firstLine="640" w:firstLineChars="200"/>
        <w:rPr>
          <w:rFonts w:hint="eastAsia" w:eastAsia="仿宋_GB2312" w:cs="仿宋_GB2312"/>
          <w:color w:val="auto"/>
          <w:sz w:val="32"/>
          <w:szCs w:val="32"/>
        </w:rPr>
      </w:pPr>
      <w:r>
        <w:rPr>
          <w:rFonts w:hint="eastAsia" w:eastAsia="仿宋_GB2312" w:cs="仿宋_GB2312"/>
          <w:color w:val="auto"/>
          <w:sz w:val="32"/>
          <w:szCs w:val="32"/>
        </w:rPr>
        <w:t>（七）贯彻落实国家中部崛起、长江经济带开发建设的政策措施。研究分析县域经济和城镇化发展情况，组织编制区域规划并协调实施。拟订促进老少边穷地区加快发展的战略、规划和重大政策，拟订并组织实施全县易地扶贫搬迁和以工代赈规划和计划。会同有关部门研究拟订全县城镇化发展战略和重大政策措施；制定开发区发展规划和政策。负责开发区设立、调区、扩区审核、申报以及发展情况调度、统计、考核等工作，协调开发区发展有关矛盾和问题。统筹协调区域合作。</w:t>
      </w:r>
    </w:p>
    <w:p w14:paraId="698DEB27">
      <w:pPr>
        <w:spacing w:line="552" w:lineRule="exact"/>
        <w:ind w:firstLine="640" w:firstLineChars="200"/>
        <w:rPr>
          <w:rFonts w:hint="eastAsia" w:eastAsia="仿宋_GB2312" w:cs="仿宋_GB2312"/>
          <w:color w:val="auto"/>
          <w:sz w:val="32"/>
          <w:szCs w:val="32"/>
        </w:rPr>
      </w:pPr>
      <w:r>
        <w:rPr>
          <w:rFonts w:hint="eastAsia" w:eastAsia="仿宋_GB2312" w:cs="仿宋_GB2312"/>
          <w:color w:val="auto"/>
          <w:sz w:val="32"/>
          <w:szCs w:val="32"/>
        </w:rPr>
        <w:t>（八）承担重要商品总量平衡和宏观调控，编制重要农产品、工业品和原材料进出口总量平衡计划并监督执行，根据经济运行情况对计划进行调整。</w:t>
      </w:r>
    </w:p>
    <w:p w14:paraId="2FC55430">
      <w:pPr>
        <w:spacing w:line="552" w:lineRule="exact"/>
        <w:ind w:firstLine="640" w:firstLineChars="200"/>
        <w:rPr>
          <w:rFonts w:hint="eastAsia" w:eastAsia="仿宋_GB2312" w:cs="仿宋_GB2312"/>
          <w:color w:val="auto"/>
          <w:sz w:val="32"/>
          <w:szCs w:val="32"/>
        </w:rPr>
      </w:pPr>
      <w:r>
        <w:rPr>
          <w:rFonts w:hint="eastAsia" w:eastAsia="仿宋_GB2312" w:cs="仿宋_GB2312"/>
          <w:color w:val="auto"/>
          <w:sz w:val="32"/>
          <w:szCs w:val="32"/>
        </w:rPr>
        <w:t>（九）负责社会发展与国民经济发展的政策衔接。组织拟订社会发展战略、总体规划和年度计划。拟订人口发展战略、规划及人口政策。参与拟订科学技术、教育、文化、卫生、民政等发展政策；统筹推进基本公共服务体系建设和收入分配制度改革。研究提出促进就业、完善社会保障与经济协调发展的政策建议。协调社会事业发展和改革中的重大问题及政策；参与推进深化医药卫生体制改革工作。</w:t>
      </w:r>
    </w:p>
    <w:p w14:paraId="1BC8B476">
      <w:pPr>
        <w:spacing w:line="552" w:lineRule="exact"/>
        <w:ind w:firstLine="640" w:firstLineChars="200"/>
        <w:rPr>
          <w:rFonts w:hint="eastAsia" w:eastAsia="仿宋_GB2312" w:cs="仿宋_GB2312"/>
          <w:color w:val="auto"/>
          <w:sz w:val="32"/>
          <w:szCs w:val="32"/>
        </w:rPr>
      </w:pPr>
      <w:r>
        <w:rPr>
          <w:rFonts w:hint="eastAsia" w:eastAsia="仿宋_GB2312" w:cs="仿宋_GB2312"/>
          <w:color w:val="auto"/>
          <w:sz w:val="32"/>
          <w:szCs w:val="32"/>
        </w:rPr>
        <w:t>（十）研究分析经济社会与资源、环境协调发展的重大问题，研究提出能源消费总量控制目标的建议，牵头拟订能源消费总量控制工作方案并组织实施。负责节能降耗的综合协调工作，组织拟订发展循环经济、能源资源节约和综合利用规划、政策并协调实施。负责全县节能监察、考核的组织、指导、协</w:t>
      </w:r>
      <w:r>
        <w:rPr>
          <w:rFonts w:hint="eastAsia" w:eastAsia="仿宋_GB2312" w:cs="仿宋_GB2312"/>
          <w:color w:val="auto"/>
          <w:spacing w:val="-6"/>
          <w:sz w:val="32"/>
          <w:szCs w:val="32"/>
        </w:rPr>
        <w:t>调。参与编制生态文明建设、环境保护规划，协调生态建设、能源资源节约和综合利用的重大问题，会同有关部门提出建立健全生态补偿机制的政策措施。综合协调节能环保产业和清洁生产促进有关工作。完善固定资产投资项目节能评估和审查制度。</w:t>
      </w:r>
    </w:p>
    <w:p w14:paraId="1928573A">
      <w:pPr>
        <w:pStyle w:val="2"/>
        <w:spacing w:line="552"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十一）拟订并组织实施全县能源发展战略、规划和政策，推进全县能源体制改革。组织拟订并实施煤炭、石油、天然气、电力、新能源和再生能源产业政策，组织实施相关产业（煤炭除外）标准，指导、协调农村能源发展。研究提出煤炭资源合理开发利用意见并指导实施，组织实施煤炭产业结构调整，统筹协调煤炭物流规划布局。会同有关部门负责全县煤矿生产能力监管的指导工作，协调有关部门推进煤气层开发、淘汰煤炭落后产能工作。承担能源预测预警和相关信息发布，负责全县石油、天然气储备管理和管道保护相关工作。组织、指导推进能源科技进步。拟订并监督实施电力普遍服务政策。</w:t>
      </w:r>
    </w:p>
    <w:p w14:paraId="0C6A026F">
      <w:pPr>
        <w:pStyle w:val="2"/>
        <w:spacing w:line="552"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十二）编制和执行全县价格改革规划，拟订并组织实施价格政策。监测、分析市场价格形势，组织实施价格总水平调控。管理国家、省市列名管理的商品和服务价格，监管实行市场调节价的商品和服务价格，承担行政事业性收费管理工作。组织实施价格调节基金政策，依法对重大自然灾害和特殊时期实施临时价格干预措施，负责价格公共服务工作。承担涉案物品价格鉴证管理工作。负责价格成本调查和监审工作。</w:t>
      </w:r>
    </w:p>
    <w:p w14:paraId="3C4CB1D7">
      <w:pPr>
        <w:pStyle w:val="2"/>
        <w:spacing w:line="552" w:lineRule="exact"/>
        <w:ind w:firstLine="640" w:firstLineChars="200"/>
        <w:rPr>
          <w:rFonts w:hint="eastAsia" w:ascii="Times New Roman" w:hAnsi="Times New Roman" w:eastAsia="仿宋_GB2312" w:cs="仿宋_GB2312"/>
          <w:color w:val="auto"/>
          <w:spacing w:val="-6"/>
          <w:sz w:val="32"/>
          <w:szCs w:val="32"/>
        </w:rPr>
      </w:pPr>
      <w:r>
        <w:rPr>
          <w:rFonts w:hint="eastAsia" w:ascii="Times New Roman" w:hAnsi="Times New Roman" w:eastAsia="仿宋_GB2312" w:cs="仿宋_GB2312"/>
          <w:color w:val="auto"/>
          <w:sz w:val="32"/>
          <w:szCs w:val="32"/>
        </w:rPr>
        <w:t>（十三）</w:t>
      </w:r>
      <w:r>
        <w:rPr>
          <w:rFonts w:hint="eastAsia" w:ascii="Times New Roman" w:hAnsi="Times New Roman" w:eastAsia="仿宋_GB2312" w:cs="仿宋_GB2312"/>
          <w:color w:val="auto"/>
          <w:spacing w:val="-6"/>
          <w:sz w:val="32"/>
          <w:szCs w:val="32"/>
        </w:rPr>
        <w:t>承担全县优化经济发展环境的职责，牵头落实国家和省、市有关鼓励市场主体投资、保护投资者权益、促进市场公平竞争、维护市场正常秩序的政务、法制、商务、信用等环境，优化重点项目建设环境，承担治理工程建设领域突出问题有关工作。</w:t>
      </w:r>
    </w:p>
    <w:p w14:paraId="6BD8627E">
      <w:pPr>
        <w:spacing w:line="552" w:lineRule="exact"/>
        <w:ind w:firstLine="640" w:firstLineChars="200"/>
        <w:rPr>
          <w:rFonts w:hint="eastAsia" w:eastAsia="仿宋_GB2312" w:cs="仿宋_GB2312"/>
          <w:color w:val="auto"/>
          <w:sz w:val="32"/>
          <w:szCs w:val="32"/>
        </w:rPr>
      </w:pPr>
      <w:r>
        <w:rPr>
          <w:rFonts w:hint="eastAsia" w:eastAsia="仿宋_GB2312" w:cs="仿宋_GB2312"/>
          <w:color w:val="auto"/>
          <w:sz w:val="32"/>
          <w:szCs w:val="32"/>
        </w:rPr>
        <w:t>（十四）</w:t>
      </w:r>
      <w:r>
        <w:rPr>
          <w:rFonts w:hint="eastAsia" w:eastAsia="仿宋_GB2312" w:cs="仿宋_GB2312"/>
          <w:color w:val="auto"/>
          <w:spacing w:val="-6"/>
          <w:sz w:val="32"/>
          <w:szCs w:val="32"/>
        </w:rPr>
        <w:t>研究制定推进社会信用体系建设的规划、规范性文件、政策措施，统筹推进统一的信用信息平台建设，促进信用信息资源的整合与运用，协调社会信用体系建设的重大问题。</w:t>
      </w:r>
    </w:p>
    <w:p w14:paraId="32C6FF48">
      <w:pPr>
        <w:spacing w:line="552" w:lineRule="exact"/>
        <w:ind w:firstLine="640" w:firstLineChars="200"/>
        <w:rPr>
          <w:rFonts w:hint="eastAsia" w:eastAsia="仿宋_GB2312" w:cs="仿宋_GB2312"/>
          <w:color w:val="auto"/>
          <w:sz w:val="32"/>
          <w:szCs w:val="32"/>
        </w:rPr>
      </w:pPr>
      <w:r>
        <w:rPr>
          <w:rFonts w:hint="eastAsia" w:eastAsia="仿宋_GB2312" w:cs="仿宋_GB2312"/>
          <w:color w:val="auto"/>
          <w:sz w:val="32"/>
          <w:szCs w:val="32"/>
        </w:rPr>
        <w:t>（十五）研究拟订推进经济建设与国防建设协调发展的战略和规划，协调有关重大问题。组织编制全县国民经济动员和装备动员规划、计划，并组织实施有关工作。</w:t>
      </w:r>
    </w:p>
    <w:p w14:paraId="0E43F5B5">
      <w:pPr>
        <w:spacing w:line="552" w:lineRule="exact"/>
        <w:ind w:firstLine="640" w:firstLineChars="200"/>
        <w:rPr>
          <w:rFonts w:hint="eastAsia" w:eastAsia="仿宋_GB2312" w:cs="仿宋_GB2312"/>
          <w:color w:val="auto"/>
          <w:sz w:val="32"/>
          <w:szCs w:val="32"/>
        </w:rPr>
      </w:pPr>
      <w:r>
        <w:rPr>
          <w:rFonts w:hint="eastAsia" w:eastAsia="仿宋_GB2312" w:cs="仿宋_GB2312"/>
          <w:color w:val="auto"/>
          <w:sz w:val="32"/>
          <w:szCs w:val="32"/>
        </w:rPr>
        <w:t>（十六）指导、协调、管理、监督全县招投标工作。负责政府投资项目代建制实施的指导、协调和监督管理。指导工程咨询业发展。</w:t>
      </w:r>
    </w:p>
    <w:p w14:paraId="32761DDB">
      <w:pPr>
        <w:spacing w:line="552" w:lineRule="exact"/>
        <w:ind w:firstLine="641"/>
        <w:rPr>
          <w:rFonts w:eastAsia="仿宋_GB2312"/>
          <w:color w:val="auto"/>
          <w:sz w:val="32"/>
          <w:szCs w:val="32"/>
        </w:rPr>
      </w:pPr>
      <w:r>
        <w:rPr>
          <w:rFonts w:hint="eastAsia" w:eastAsia="仿宋_GB2312" w:cs="仿宋_GB2312"/>
          <w:color w:val="auto"/>
          <w:sz w:val="32"/>
          <w:szCs w:val="32"/>
        </w:rPr>
        <w:t>（十七）</w:t>
      </w:r>
      <w:r>
        <w:rPr>
          <w:rFonts w:eastAsia="仿宋_GB2312"/>
          <w:color w:val="auto"/>
          <w:sz w:val="32"/>
          <w:szCs w:val="32"/>
        </w:rPr>
        <w:t>研究提出全</w:t>
      </w:r>
      <w:r>
        <w:rPr>
          <w:rFonts w:hint="eastAsia" w:eastAsia="仿宋_GB2312"/>
          <w:color w:val="auto"/>
          <w:sz w:val="32"/>
          <w:szCs w:val="32"/>
        </w:rPr>
        <w:t>县</w:t>
      </w:r>
      <w:r>
        <w:rPr>
          <w:rFonts w:eastAsia="仿宋_GB2312"/>
          <w:color w:val="auto"/>
          <w:sz w:val="32"/>
          <w:szCs w:val="32"/>
        </w:rPr>
        <w:t>粮食宏观调控及粮食流通的中长期规划，拟订全</w:t>
      </w:r>
      <w:r>
        <w:rPr>
          <w:rFonts w:hint="eastAsia" w:eastAsia="仿宋_GB2312"/>
          <w:color w:val="auto"/>
          <w:sz w:val="32"/>
          <w:szCs w:val="32"/>
        </w:rPr>
        <w:t>县</w:t>
      </w:r>
      <w:r>
        <w:rPr>
          <w:rFonts w:eastAsia="仿宋_GB2312"/>
          <w:color w:val="auto"/>
          <w:sz w:val="32"/>
          <w:szCs w:val="32"/>
        </w:rPr>
        <w:t>粮食市场体系建设与发展规划</w:t>
      </w:r>
      <w:r>
        <w:rPr>
          <w:rFonts w:hint="eastAsia" w:eastAsia="仿宋_GB2312"/>
          <w:color w:val="auto"/>
          <w:sz w:val="32"/>
          <w:szCs w:val="32"/>
        </w:rPr>
        <w:t>。</w:t>
      </w:r>
      <w:r>
        <w:rPr>
          <w:rFonts w:hint="eastAsia" w:eastAsia="仿宋_GB2312" w:cs="仿宋_GB2312"/>
          <w:color w:val="auto"/>
          <w:sz w:val="32"/>
          <w:szCs w:val="32"/>
        </w:rPr>
        <w:t>拟订重要战略物资和</w:t>
      </w:r>
      <w:r>
        <w:rPr>
          <w:rFonts w:hint="eastAsia" w:eastAsia="仿宋_GB2312" w:cs="仿宋_GB2312"/>
          <w:color w:val="auto"/>
          <w:sz w:val="32"/>
          <w:szCs w:val="32"/>
          <w:lang w:eastAsia="zh-CN"/>
        </w:rPr>
        <w:t>应急储备物资</w:t>
      </w:r>
      <w:r>
        <w:rPr>
          <w:rFonts w:hint="eastAsia" w:eastAsia="仿宋_GB2312" w:cs="仿宋_GB2312"/>
          <w:color w:val="auto"/>
          <w:sz w:val="32"/>
          <w:szCs w:val="32"/>
        </w:rPr>
        <w:t>的储备规划，负责组织全县战略和</w:t>
      </w:r>
      <w:r>
        <w:rPr>
          <w:rFonts w:hint="eastAsia" w:eastAsia="仿宋_GB2312" w:cs="仿宋_GB2312"/>
          <w:color w:val="auto"/>
          <w:sz w:val="32"/>
          <w:szCs w:val="32"/>
          <w:lang w:eastAsia="zh-CN"/>
        </w:rPr>
        <w:t>应急储备物资</w:t>
      </w:r>
      <w:r>
        <w:rPr>
          <w:rFonts w:hint="eastAsia" w:eastAsia="仿宋_GB2312" w:cs="仿宋_GB2312"/>
          <w:color w:val="auto"/>
          <w:sz w:val="32"/>
          <w:szCs w:val="32"/>
        </w:rPr>
        <w:t>的收储、动用、轮换和管理，负责管理粮食、棉花、食糖等重要物资和商品的县级储备。负责地方粮食等</w:t>
      </w:r>
      <w:r>
        <w:rPr>
          <w:rFonts w:hint="eastAsia" w:eastAsia="仿宋_GB2312" w:cs="仿宋_GB2312"/>
          <w:color w:val="auto"/>
          <w:sz w:val="32"/>
          <w:szCs w:val="32"/>
          <w:lang w:eastAsia="zh-CN"/>
        </w:rPr>
        <w:t>物资储备</w:t>
      </w:r>
      <w:r>
        <w:rPr>
          <w:rFonts w:hint="eastAsia" w:eastAsia="仿宋_GB2312" w:cs="仿宋_GB2312"/>
          <w:color w:val="auto"/>
          <w:sz w:val="32"/>
          <w:szCs w:val="32"/>
        </w:rPr>
        <w:t>基础设施和管理，负责粮食流通、加工行业发展的指导和管理。</w:t>
      </w:r>
      <w:r>
        <w:rPr>
          <w:rFonts w:eastAsia="仿宋_GB2312"/>
          <w:color w:val="auto"/>
          <w:sz w:val="32"/>
          <w:szCs w:val="32"/>
        </w:rPr>
        <w:t>研究拟订全</w:t>
      </w:r>
      <w:r>
        <w:rPr>
          <w:rFonts w:hint="eastAsia" w:eastAsia="仿宋_GB2312"/>
          <w:color w:val="auto"/>
          <w:sz w:val="32"/>
          <w:szCs w:val="32"/>
        </w:rPr>
        <w:t>县</w:t>
      </w:r>
      <w:r>
        <w:rPr>
          <w:rFonts w:eastAsia="仿宋_GB2312"/>
          <w:color w:val="auto"/>
          <w:kern w:val="0"/>
          <w:sz w:val="32"/>
          <w:szCs w:val="32"/>
        </w:rPr>
        <w:t>粮食</w:t>
      </w:r>
      <w:r>
        <w:rPr>
          <w:rFonts w:hint="eastAsia" w:eastAsia="仿宋_GB2312"/>
          <w:color w:val="auto"/>
          <w:kern w:val="0"/>
          <w:sz w:val="32"/>
          <w:szCs w:val="32"/>
        </w:rPr>
        <w:t>、</w:t>
      </w:r>
      <w:r>
        <w:rPr>
          <w:rFonts w:hint="eastAsia" w:eastAsia="仿宋_GB2312"/>
          <w:color w:val="auto"/>
          <w:sz w:val="32"/>
          <w:szCs w:val="32"/>
        </w:rPr>
        <w:t>重要消费品、救灾物资</w:t>
      </w:r>
      <w:r>
        <w:rPr>
          <w:rFonts w:eastAsia="仿宋_GB2312"/>
          <w:color w:val="auto"/>
          <w:kern w:val="0"/>
          <w:sz w:val="32"/>
          <w:szCs w:val="32"/>
        </w:rPr>
        <w:t>储备管理</w:t>
      </w:r>
      <w:r>
        <w:rPr>
          <w:rFonts w:eastAsia="仿宋_GB2312"/>
          <w:color w:val="auto"/>
          <w:sz w:val="32"/>
          <w:szCs w:val="32"/>
        </w:rPr>
        <w:t>的有关规章制度，协调解决有关重大问题。</w:t>
      </w:r>
    </w:p>
    <w:p w14:paraId="06505A86">
      <w:pPr>
        <w:spacing w:line="552" w:lineRule="exact"/>
        <w:ind w:firstLine="641"/>
        <w:rPr>
          <w:rFonts w:hint="eastAsia" w:eastAsia="仿宋_GB2312" w:cs="仿宋_GB2312"/>
          <w:color w:val="auto"/>
          <w:sz w:val="32"/>
          <w:szCs w:val="32"/>
        </w:rPr>
      </w:pPr>
      <w:r>
        <w:rPr>
          <w:rFonts w:hint="eastAsia" w:eastAsia="仿宋_GB2312" w:cs="仿宋_GB2312"/>
          <w:color w:val="auto"/>
          <w:sz w:val="32"/>
          <w:szCs w:val="32"/>
        </w:rPr>
        <w:t>（十八）负责本行业领域安全生产监督管理和食品安全有关监督管理。</w:t>
      </w:r>
    </w:p>
    <w:p w14:paraId="2F6B9E3B">
      <w:pPr>
        <w:spacing w:line="552" w:lineRule="exact"/>
        <w:ind w:firstLine="641"/>
        <w:rPr>
          <w:rFonts w:eastAsia="仿宋_GB2312" w:cs="仿宋_GB2312"/>
          <w:color w:val="auto"/>
          <w:sz w:val="32"/>
          <w:szCs w:val="32"/>
        </w:rPr>
      </w:pPr>
      <w:r>
        <w:rPr>
          <w:rFonts w:hint="eastAsia" w:eastAsia="仿宋_GB2312" w:cs="仿宋_GB2312"/>
          <w:color w:val="auto"/>
          <w:sz w:val="32"/>
          <w:szCs w:val="32"/>
        </w:rPr>
        <w:t>（十九）完成县委、县政府交办的其他工作。</w:t>
      </w:r>
    </w:p>
    <w:p w14:paraId="3C3A0DA4">
      <w:pPr>
        <w:spacing w:line="552" w:lineRule="exact"/>
        <w:ind w:firstLine="641"/>
        <w:rPr>
          <w:rFonts w:eastAsia="仿宋_GB2312" w:cs="仿宋_GB2312"/>
          <w:color w:val="auto"/>
          <w:sz w:val="32"/>
          <w:szCs w:val="32"/>
        </w:rPr>
      </w:pPr>
      <w:r>
        <w:rPr>
          <w:rFonts w:hint="eastAsia" w:eastAsia="仿宋_GB2312" w:cs="仿宋_GB2312"/>
          <w:color w:val="auto"/>
          <w:sz w:val="32"/>
          <w:szCs w:val="32"/>
        </w:rPr>
        <w:t>（二十）职能转变</w:t>
      </w:r>
    </w:p>
    <w:p w14:paraId="21631164">
      <w:pPr>
        <w:spacing w:line="552" w:lineRule="exact"/>
        <w:ind w:firstLine="641"/>
        <w:rPr>
          <w:rFonts w:eastAsia="仿宋_GB2312" w:cs="仿宋_GB2312"/>
          <w:color w:val="auto"/>
          <w:sz w:val="32"/>
          <w:szCs w:val="32"/>
        </w:rPr>
      </w:pPr>
      <w:r>
        <w:rPr>
          <w:rFonts w:eastAsia="仿宋_GB2312" w:cs="仿宋_GB2312"/>
          <w:color w:val="auto"/>
          <w:sz w:val="32"/>
          <w:szCs w:val="32"/>
        </w:rPr>
        <w:t>1</w:t>
      </w:r>
      <w:r>
        <w:rPr>
          <w:rFonts w:hint="eastAsia" w:eastAsia="仿宋_GB2312" w:cs="仿宋_GB2312"/>
          <w:color w:val="auto"/>
          <w:sz w:val="32"/>
          <w:szCs w:val="32"/>
        </w:rPr>
        <w:t xml:space="preserve">. </w:t>
      </w:r>
      <w:r>
        <w:rPr>
          <w:rFonts w:eastAsia="仿宋_GB2312" w:cs="仿宋_GB2312"/>
          <w:color w:val="auto"/>
          <w:sz w:val="32"/>
          <w:szCs w:val="32"/>
        </w:rPr>
        <w:t>强化</w:t>
      </w:r>
      <w:r>
        <w:rPr>
          <w:rFonts w:hint="eastAsia" w:eastAsia="仿宋_GB2312" w:cs="仿宋_GB2312"/>
          <w:color w:val="auto"/>
          <w:sz w:val="32"/>
          <w:szCs w:val="32"/>
        </w:rPr>
        <w:t>拟</w:t>
      </w:r>
      <w:r>
        <w:rPr>
          <w:rFonts w:eastAsia="仿宋_GB2312" w:cs="仿宋_GB2312"/>
          <w:color w:val="auto"/>
          <w:sz w:val="32"/>
          <w:szCs w:val="32"/>
        </w:rPr>
        <w:t>订全</w:t>
      </w:r>
      <w:r>
        <w:rPr>
          <w:rFonts w:hint="eastAsia" w:eastAsia="仿宋_GB2312" w:cs="仿宋_GB2312"/>
          <w:color w:val="auto"/>
          <w:sz w:val="32"/>
          <w:szCs w:val="32"/>
        </w:rPr>
        <w:t>县</w:t>
      </w:r>
      <w:r>
        <w:rPr>
          <w:rFonts w:eastAsia="仿宋_GB2312" w:cs="仿宋_GB2312"/>
          <w:color w:val="auto"/>
          <w:sz w:val="32"/>
          <w:szCs w:val="32"/>
        </w:rPr>
        <w:t>重大发展战略、统一规划体系的职能，完善相关规划制度，做好规划统筹，精简规划数量，提高规划质量，更好发挥重大发展战略、规划导向作用。</w:t>
      </w:r>
    </w:p>
    <w:p w14:paraId="63A9F6DD">
      <w:pPr>
        <w:spacing w:line="552" w:lineRule="exact"/>
        <w:ind w:firstLine="641"/>
        <w:rPr>
          <w:rFonts w:eastAsia="仿宋_GB2312" w:cs="仿宋_GB2312"/>
          <w:color w:val="auto"/>
          <w:sz w:val="32"/>
          <w:szCs w:val="32"/>
        </w:rPr>
      </w:pPr>
      <w:r>
        <w:rPr>
          <w:rFonts w:eastAsia="仿宋_GB2312" w:cs="仿宋_GB2312"/>
          <w:color w:val="auto"/>
          <w:sz w:val="32"/>
          <w:szCs w:val="32"/>
        </w:rPr>
        <w:t>2</w:t>
      </w:r>
      <w:r>
        <w:rPr>
          <w:rFonts w:hint="eastAsia" w:eastAsia="仿宋_GB2312" w:cs="仿宋_GB2312"/>
          <w:color w:val="auto"/>
          <w:sz w:val="32"/>
          <w:szCs w:val="32"/>
        </w:rPr>
        <w:t xml:space="preserve">. </w:t>
      </w:r>
      <w:r>
        <w:rPr>
          <w:rFonts w:eastAsia="仿宋_GB2312" w:cs="仿宋_GB2312"/>
          <w:color w:val="auto"/>
          <w:sz w:val="32"/>
          <w:szCs w:val="32"/>
        </w:rPr>
        <w:t>完善宏观调控体系，创新调控方式，构建发展规划、财政、金融等政策协调和工作协同机制，强化经济监测预测预警能力，建立健全重大问题研究和政策储备工作机制，增强宏观调控前瞻性、针对性、协同性。</w:t>
      </w:r>
    </w:p>
    <w:p w14:paraId="68D2DFE5">
      <w:pPr>
        <w:spacing w:line="552" w:lineRule="exact"/>
        <w:ind w:firstLine="641"/>
        <w:rPr>
          <w:rFonts w:eastAsia="仿宋_GB2312" w:cs="仿宋_GB2312"/>
          <w:color w:val="auto"/>
          <w:spacing w:val="-6"/>
          <w:sz w:val="32"/>
          <w:szCs w:val="32"/>
        </w:rPr>
      </w:pPr>
      <w:r>
        <w:rPr>
          <w:rFonts w:eastAsia="仿宋_GB2312" w:cs="仿宋_GB2312"/>
          <w:color w:val="auto"/>
          <w:sz w:val="32"/>
          <w:szCs w:val="32"/>
        </w:rPr>
        <w:t>3</w:t>
      </w:r>
      <w:r>
        <w:rPr>
          <w:rFonts w:hint="eastAsia" w:eastAsia="仿宋_GB2312" w:cs="仿宋_GB2312"/>
          <w:color w:val="auto"/>
          <w:sz w:val="32"/>
          <w:szCs w:val="32"/>
        </w:rPr>
        <w:t xml:space="preserve">. </w:t>
      </w:r>
      <w:r>
        <w:rPr>
          <w:rFonts w:eastAsia="仿宋_GB2312" w:cs="仿宋_GB2312"/>
          <w:color w:val="auto"/>
          <w:sz w:val="32"/>
          <w:szCs w:val="32"/>
        </w:rPr>
        <w:t>深</w:t>
      </w:r>
      <w:r>
        <w:rPr>
          <w:rFonts w:eastAsia="仿宋_GB2312" w:cs="仿宋_GB2312"/>
          <w:color w:val="auto"/>
          <w:spacing w:val="-6"/>
          <w:sz w:val="32"/>
          <w:szCs w:val="32"/>
        </w:rPr>
        <w:t>入推进简政放权，全面实施市场准入负面清单制度。深化投融资体制改革，最大限度减少项目审批、核准范围。深化价格改革，及时提出修订调减政府定价目录的建议，健全反映市场供求的定价机制。加快推进政府监管和公共信用信息共享。</w:t>
      </w:r>
    </w:p>
    <w:p w14:paraId="44EC0A6B">
      <w:pPr>
        <w:spacing w:line="552" w:lineRule="exact"/>
        <w:ind w:firstLine="641"/>
        <w:rPr>
          <w:rFonts w:eastAsia="仿宋_GB2312" w:cs="仿宋_GB2312"/>
          <w:color w:val="auto"/>
          <w:sz w:val="32"/>
          <w:szCs w:val="32"/>
        </w:rPr>
      </w:pPr>
      <w:r>
        <w:rPr>
          <w:rFonts w:eastAsia="仿宋_GB2312" w:cs="仿宋_GB2312"/>
          <w:color w:val="auto"/>
          <w:sz w:val="32"/>
          <w:szCs w:val="32"/>
        </w:rPr>
        <w:t>（</w:t>
      </w:r>
      <w:r>
        <w:rPr>
          <w:rFonts w:hint="eastAsia" w:eastAsia="仿宋_GB2312" w:cs="仿宋_GB2312"/>
          <w:color w:val="auto"/>
          <w:sz w:val="32"/>
          <w:szCs w:val="32"/>
        </w:rPr>
        <w:t>二十一</w:t>
      </w:r>
      <w:r>
        <w:rPr>
          <w:rFonts w:eastAsia="仿宋_GB2312" w:cs="仿宋_GB2312"/>
          <w:color w:val="auto"/>
          <w:sz w:val="32"/>
          <w:szCs w:val="32"/>
        </w:rPr>
        <w:t>）</w:t>
      </w:r>
      <w:r>
        <w:rPr>
          <w:rFonts w:hint="eastAsia" w:eastAsia="仿宋_GB2312" w:cs="仿宋_GB2312"/>
          <w:color w:val="auto"/>
          <w:sz w:val="32"/>
          <w:szCs w:val="32"/>
        </w:rPr>
        <w:t>关于职责调整</w:t>
      </w:r>
    </w:p>
    <w:p w14:paraId="0FE227A9">
      <w:pPr>
        <w:spacing w:line="552" w:lineRule="exact"/>
        <w:ind w:firstLine="641"/>
        <w:rPr>
          <w:rFonts w:eastAsia="仿宋_GB2312" w:cs="仿宋_GB2312"/>
          <w:color w:val="auto"/>
          <w:sz w:val="32"/>
          <w:szCs w:val="32"/>
        </w:rPr>
      </w:pPr>
      <w:r>
        <w:rPr>
          <w:rFonts w:hint="eastAsia" w:eastAsia="仿宋_GB2312" w:cs="仿宋_GB2312"/>
          <w:color w:val="auto"/>
          <w:sz w:val="32"/>
          <w:szCs w:val="32"/>
        </w:rPr>
        <w:t>1. 划出的职能</w:t>
      </w:r>
    </w:p>
    <w:p w14:paraId="49074F2D">
      <w:pPr>
        <w:spacing w:line="552" w:lineRule="exact"/>
        <w:ind w:firstLine="641"/>
        <w:rPr>
          <w:rFonts w:eastAsia="仿宋_GB2312" w:cs="仿宋_GB2312"/>
          <w:color w:val="auto"/>
          <w:sz w:val="32"/>
          <w:szCs w:val="32"/>
        </w:rPr>
      </w:pPr>
      <w:r>
        <w:rPr>
          <w:rFonts w:hint="eastAsia" w:eastAsia="仿宋_GB2312" w:cs="仿宋_GB2312"/>
          <w:color w:val="auto"/>
          <w:sz w:val="32"/>
          <w:szCs w:val="32"/>
        </w:rPr>
        <w:t>⑴将县发改局重大</w:t>
      </w:r>
      <w:r>
        <w:rPr>
          <w:rFonts w:hint="eastAsia" w:eastAsia="仿宋_GB2312" w:cs="仿宋_GB2312"/>
          <w:color w:val="auto"/>
          <w:sz w:val="32"/>
          <w:szCs w:val="32"/>
          <w:lang w:eastAsia="zh-CN"/>
        </w:rPr>
        <w:t>项目稽查</w:t>
      </w:r>
      <w:r>
        <w:rPr>
          <w:rFonts w:hint="eastAsia" w:eastAsia="仿宋_GB2312" w:cs="仿宋_GB2312"/>
          <w:color w:val="auto"/>
          <w:sz w:val="32"/>
          <w:szCs w:val="32"/>
        </w:rPr>
        <w:t>职责划入县审计局。</w:t>
      </w:r>
    </w:p>
    <w:p w14:paraId="39B449A2">
      <w:pPr>
        <w:spacing w:line="552" w:lineRule="exact"/>
        <w:ind w:firstLine="641"/>
        <w:rPr>
          <w:rFonts w:eastAsia="仿宋_GB2312" w:cs="仿宋_GB2312"/>
          <w:color w:val="auto"/>
          <w:sz w:val="32"/>
          <w:szCs w:val="32"/>
        </w:rPr>
      </w:pPr>
      <w:r>
        <w:rPr>
          <w:rFonts w:hint="eastAsia" w:eastAsia="仿宋_GB2312" w:cs="仿宋_GB2312"/>
          <w:color w:val="auto"/>
          <w:sz w:val="32"/>
          <w:szCs w:val="32"/>
        </w:rPr>
        <w:t>⑵将县发改局价格监督检查与反垄断执法职责划入县市场监督管理局。</w:t>
      </w:r>
    </w:p>
    <w:p w14:paraId="4B6BA4EA">
      <w:pPr>
        <w:spacing w:line="552" w:lineRule="exact"/>
        <w:ind w:firstLine="641"/>
        <w:rPr>
          <w:rFonts w:eastAsia="仿宋_GB2312" w:cs="仿宋_GB2312"/>
          <w:color w:val="auto"/>
          <w:sz w:val="32"/>
          <w:szCs w:val="32"/>
        </w:rPr>
      </w:pPr>
      <w:r>
        <w:rPr>
          <w:rFonts w:hint="eastAsia" w:eastAsia="仿宋_GB2312" w:cs="仿宋_GB2312"/>
          <w:color w:val="auto"/>
          <w:sz w:val="32"/>
          <w:szCs w:val="32"/>
        </w:rPr>
        <w:t>⑶将县发改局农业投资项目管理职责划入县农业农村局。</w:t>
      </w:r>
    </w:p>
    <w:p w14:paraId="4333BC48">
      <w:pPr>
        <w:spacing w:line="552" w:lineRule="exact"/>
        <w:ind w:firstLine="641"/>
        <w:rPr>
          <w:rFonts w:eastAsia="仿宋_GB2312" w:cs="仿宋_GB2312"/>
          <w:color w:val="auto"/>
          <w:sz w:val="32"/>
          <w:szCs w:val="32"/>
        </w:rPr>
      </w:pPr>
      <w:r>
        <w:rPr>
          <w:rFonts w:hint="eastAsia" w:eastAsia="仿宋_GB2312" w:cs="仿宋_GB2312"/>
          <w:color w:val="auto"/>
          <w:sz w:val="32"/>
          <w:szCs w:val="32"/>
        </w:rPr>
        <w:t>⑷将县发改局应对气候变化和减排职责划入郴州市生态环境局临武分局。</w:t>
      </w:r>
    </w:p>
    <w:p w14:paraId="72912E4D">
      <w:pPr>
        <w:spacing w:line="552" w:lineRule="exact"/>
        <w:ind w:firstLine="641"/>
        <w:rPr>
          <w:rFonts w:eastAsia="仿宋_GB2312" w:cs="仿宋_GB2312"/>
          <w:color w:val="auto"/>
          <w:sz w:val="32"/>
          <w:szCs w:val="32"/>
        </w:rPr>
      </w:pPr>
      <w:r>
        <w:rPr>
          <w:rFonts w:hint="eastAsia" w:eastAsia="仿宋_GB2312" w:cs="仿宋_GB2312"/>
          <w:color w:val="auto"/>
          <w:sz w:val="32"/>
          <w:szCs w:val="32"/>
        </w:rPr>
        <w:t>⑸将县发改局药品和医疗服务价格管理职责划入县医疗保障局。</w:t>
      </w:r>
    </w:p>
    <w:p w14:paraId="3AD74BB9">
      <w:pPr>
        <w:spacing w:line="552" w:lineRule="exact"/>
        <w:ind w:firstLine="641"/>
        <w:rPr>
          <w:rFonts w:eastAsia="仿宋_GB2312" w:cs="仿宋_GB2312"/>
          <w:color w:val="auto"/>
          <w:sz w:val="32"/>
          <w:szCs w:val="32"/>
        </w:rPr>
      </w:pPr>
      <w:r>
        <w:rPr>
          <w:rFonts w:hint="eastAsia" w:eastAsia="仿宋_GB2312" w:cs="仿宋_GB2312"/>
          <w:color w:val="auto"/>
          <w:sz w:val="32"/>
          <w:szCs w:val="32"/>
        </w:rPr>
        <w:t>⑹将县发改局组织编制并实施主体功能区规划职责划入县自然资源局。</w:t>
      </w:r>
    </w:p>
    <w:p w14:paraId="658469F2">
      <w:pPr>
        <w:spacing w:line="552" w:lineRule="exact"/>
        <w:ind w:firstLine="641"/>
        <w:rPr>
          <w:rFonts w:hint="eastAsia" w:eastAsia="仿宋_GB2312" w:cs="仿宋_GB2312"/>
          <w:color w:val="auto"/>
          <w:sz w:val="32"/>
          <w:szCs w:val="32"/>
        </w:rPr>
      </w:pPr>
      <w:r>
        <w:rPr>
          <w:rFonts w:hint="eastAsia" w:eastAsia="仿宋_GB2312" w:cs="仿宋_GB2312"/>
          <w:color w:val="auto"/>
          <w:sz w:val="32"/>
          <w:szCs w:val="32"/>
        </w:rPr>
        <w:t>2. 划入的职能</w:t>
      </w:r>
    </w:p>
    <w:p w14:paraId="0B2A67EE">
      <w:pPr>
        <w:spacing w:line="552" w:lineRule="exact"/>
        <w:ind w:firstLine="641"/>
        <w:rPr>
          <w:rFonts w:hint="eastAsia" w:eastAsia="仿宋_GB2312"/>
          <w:color w:val="auto"/>
          <w:sz w:val="32"/>
          <w:szCs w:val="32"/>
        </w:rPr>
      </w:pPr>
      <w:r>
        <w:rPr>
          <w:rFonts w:hint="eastAsia" w:hAnsi="宋体" w:cs="宋体"/>
          <w:color w:val="auto"/>
          <w:sz w:val="32"/>
          <w:szCs w:val="32"/>
        </w:rPr>
        <w:t>⑴</w:t>
      </w:r>
      <w:r>
        <w:rPr>
          <w:rFonts w:hint="eastAsia" w:eastAsia="仿宋_GB2312"/>
          <w:color w:val="auto"/>
          <w:sz w:val="32"/>
          <w:szCs w:val="32"/>
        </w:rPr>
        <w:t>将原县农业局（县委农村工作办公室、县粮食局）的粮食管理职责划入县发改局。</w:t>
      </w:r>
    </w:p>
    <w:p w14:paraId="492DF33E">
      <w:pPr>
        <w:spacing w:line="552" w:lineRule="exact"/>
        <w:ind w:firstLine="641"/>
        <w:rPr>
          <w:rFonts w:hint="eastAsia" w:eastAsia="仿宋_GB2312"/>
          <w:color w:val="auto"/>
          <w:spacing w:val="-6"/>
          <w:sz w:val="32"/>
          <w:szCs w:val="32"/>
        </w:rPr>
      </w:pPr>
      <w:r>
        <w:rPr>
          <w:rFonts w:hint="eastAsia" w:hAnsi="宋体" w:cs="宋体"/>
          <w:color w:val="auto"/>
          <w:sz w:val="32"/>
          <w:szCs w:val="32"/>
        </w:rPr>
        <w:t>⑵</w:t>
      </w:r>
      <w:r>
        <w:rPr>
          <w:rFonts w:hint="eastAsia" w:eastAsia="仿宋_GB2312"/>
          <w:color w:val="auto"/>
          <w:sz w:val="32"/>
          <w:szCs w:val="32"/>
        </w:rPr>
        <w:t>将</w:t>
      </w:r>
      <w:r>
        <w:rPr>
          <w:rFonts w:hint="eastAsia" w:eastAsia="仿宋_GB2312"/>
          <w:color w:val="auto"/>
          <w:spacing w:val="-6"/>
          <w:sz w:val="32"/>
          <w:szCs w:val="32"/>
        </w:rPr>
        <w:t>原县经济和科技商务局重要消费品储备、开发区相关管理和电力行政执法工作职责划入县发改局。</w:t>
      </w:r>
    </w:p>
    <w:p w14:paraId="2D99C26D">
      <w:pPr>
        <w:spacing w:line="552" w:lineRule="exact"/>
        <w:ind w:firstLine="641"/>
        <w:rPr>
          <w:rFonts w:hint="eastAsia" w:eastAsia="仿宋_GB2312"/>
          <w:color w:val="auto"/>
          <w:sz w:val="32"/>
          <w:szCs w:val="32"/>
        </w:rPr>
      </w:pPr>
      <w:r>
        <w:rPr>
          <w:rFonts w:hint="eastAsia" w:hAnsi="宋体" w:cs="宋体"/>
          <w:color w:val="auto"/>
          <w:sz w:val="32"/>
          <w:szCs w:val="32"/>
        </w:rPr>
        <w:t>⑶</w:t>
      </w:r>
      <w:r>
        <w:rPr>
          <w:rFonts w:hint="eastAsia" w:eastAsia="仿宋_GB2312"/>
          <w:color w:val="auto"/>
          <w:sz w:val="32"/>
          <w:szCs w:val="32"/>
        </w:rPr>
        <w:t>将县民政局救灾物资储备职责划入县发改局。</w:t>
      </w:r>
    </w:p>
    <w:p w14:paraId="67D3C179">
      <w:pPr>
        <w:spacing w:line="552" w:lineRule="exact"/>
        <w:ind w:firstLine="641"/>
        <w:rPr>
          <w:rFonts w:hint="eastAsia" w:eastAsia="仿宋_GB2312"/>
          <w:color w:val="auto"/>
          <w:sz w:val="32"/>
          <w:szCs w:val="32"/>
        </w:rPr>
      </w:pPr>
      <w:r>
        <w:rPr>
          <w:rFonts w:hint="eastAsia" w:hAnsi="宋体" w:cs="宋体"/>
          <w:color w:val="auto"/>
          <w:sz w:val="32"/>
          <w:szCs w:val="32"/>
        </w:rPr>
        <w:t>⑷</w:t>
      </w:r>
      <w:r>
        <w:rPr>
          <w:rFonts w:hint="eastAsia" w:eastAsia="仿宋_GB2312"/>
          <w:color w:val="auto"/>
          <w:sz w:val="32"/>
          <w:szCs w:val="32"/>
        </w:rPr>
        <w:t>将原县直其他部门负责的物资储备相关管理职责划入县发改局。</w:t>
      </w:r>
    </w:p>
    <w:p w14:paraId="06A4F33D">
      <w:pPr>
        <w:spacing w:line="552" w:lineRule="exact"/>
        <w:ind w:firstLine="641"/>
        <w:rPr>
          <w:rFonts w:eastAsia="仿宋_GB2312" w:cs="仿宋_GB2312"/>
          <w:color w:val="auto"/>
          <w:sz w:val="32"/>
          <w:szCs w:val="32"/>
        </w:rPr>
      </w:pPr>
      <w:r>
        <w:rPr>
          <w:rFonts w:eastAsia="仿宋_GB2312" w:cs="仿宋_GB2312"/>
          <w:color w:val="auto"/>
          <w:sz w:val="32"/>
          <w:szCs w:val="32"/>
        </w:rPr>
        <w:t>（</w:t>
      </w:r>
      <w:r>
        <w:rPr>
          <w:rFonts w:hint="eastAsia" w:eastAsia="仿宋_GB2312" w:cs="仿宋_GB2312"/>
          <w:color w:val="auto"/>
          <w:sz w:val="32"/>
          <w:szCs w:val="32"/>
        </w:rPr>
        <w:t>二十二</w:t>
      </w:r>
      <w:r>
        <w:rPr>
          <w:rFonts w:eastAsia="仿宋_GB2312" w:cs="仿宋_GB2312"/>
          <w:color w:val="auto"/>
          <w:sz w:val="32"/>
          <w:szCs w:val="32"/>
        </w:rPr>
        <w:t>）有关职责分工</w:t>
      </w:r>
    </w:p>
    <w:p w14:paraId="2981CDEB">
      <w:pPr>
        <w:spacing w:line="552" w:lineRule="exact"/>
        <w:ind w:firstLine="641"/>
        <w:rPr>
          <w:rFonts w:hint="eastAsia" w:eastAsia="仿宋_GB2312" w:cs="仿宋_GB2312"/>
          <w:color w:val="auto"/>
          <w:sz w:val="32"/>
          <w:szCs w:val="32"/>
        </w:rPr>
      </w:pPr>
      <w:r>
        <w:rPr>
          <w:rFonts w:eastAsia="仿宋_GB2312" w:cs="仿宋_GB2312"/>
          <w:color w:val="auto"/>
          <w:sz w:val="32"/>
          <w:szCs w:val="32"/>
        </w:rPr>
        <w:t>1</w:t>
      </w:r>
      <w:r>
        <w:rPr>
          <w:rFonts w:hint="eastAsia" w:eastAsia="仿宋_GB2312" w:cs="仿宋_GB2312"/>
          <w:color w:val="auto"/>
          <w:sz w:val="32"/>
          <w:szCs w:val="32"/>
        </w:rPr>
        <w:t xml:space="preserve">. </w:t>
      </w:r>
      <w:r>
        <w:rPr>
          <w:rFonts w:eastAsia="仿宋_GB2312" w:cs="仿宋_GB2312"/>
          <w:color w:val="auto"/>
          <w:sz w:val="32"/>
          <w:szCs w:val="32"/>
        </w:rPr>
        <w:t>与</w:t>
      </w:r>
      <w:r>
        <w:rPr>
          <w:rFonts w:hint="eastAsia" w:eastAsia="仿宋_GB2312" w:cs="仿宋_GB2312"/>
          <w:color w:val="auto"/>
          <w:sz w:val="32"/>
          <w:szCs w:val="32"/>
        </w:rPr>
        <w:t>县科技和工业信息化局（县</w:t>
      </w:r>
      <w:r>
        <w:rPr>
          <w:rFonts w:eastAsia="仿宋_GB2312" w:cs="仿宋_GB2312"/>
          <w:color w:val="auto"/>
          <w:sz w:val="32"/>
          <w:szCs w:val="32"/>
        </w:rPr>
        <w:t>商务局</w:t>
      </w:r>
      <w:r>
        <w:rPr>
          <w:rFonts w:hint="eastAsia" w:eastAsia="仿宋_GB2312" w:cs="仿宋_GB2312"/>
          <w:color w:val="auto"/>
          <w:sz w:val="32"/>
          <w:szCs w:val="32"/>
        </w:rPr>
        <w:t>）</w:t>
      </w:r>
      <w:r>
        <w:rPr>
          <w:rFonts w:eastAsia="仿宋_GB2312" w:cs="仿宋_GB2312"/>
          <w:color w:val="auto"/>
          <w:sz w:val="32"/>
          <w:szCs w:val="32"/>
        </w:rPr>
        <w:t>有关职责分工。</w:t>
      </w:r>
      <w:r>
        <w:rPr>
          <w:rFonts w:hint="eastAsia" w:eastAsia="仿宋_GB2312" w:cs="仿宋_GB2312"/>
          <w:color w:val="auto"/>
          <w:sz w:val="32"/>
          <w:szCs w:val="32"/>
        </w:rPr>
        <w:t>县</w:t>
      </w:r>
      <w:r>
        <w:rPr>
          <w:rFonts w:eastAsia="仿宋_GB2312" w:cs="仿宋_GB2312"/>
          <w:color w:val="auto"/>
          <w:sz w:val="32"/>
          <w:szCs w:val="32"/>
        </w:rPr>
        <w:t>发改</w:t>
      </w:r>
      <w:r>
        <w:rPr>
          <w:rFonts w:hint="eastAsia" w:eastAsia="仿宋_GB2312" w:cs="仿宋_GB2312"/>
          <w:color w:val="auto"/>
          <w:sz w:val="32"/>
          <w:szCs w:val="32"/>
        </w:rPr>
        <w:t>局</w:t>
      </w:r>
      <w:r>
        <w:rPr>
          <w:rFonts w:eastAsia="仿宋_GB2312" w:cs="仿宋_GB2312"/>
          <w:color w:val="auto"/>
          <w:sz w:val="32"/>
          <w:szCs w:val="32"/>
        </w:rPr>
        <w:t>会同</w:t>
      </w:r>
      <w:r>
        <w:rPr>
          <w:rFonts w:hint="eastAsia" w:eastAsia="仿宋_GB2312" w:cs="仿宋_GB2312"/>
          <w:color w:val="auto"/>
          <w:sz w:val="32"/>
          <w:szCs w:val="32"/>
        </w:rPr>
        <w:t>县科技和工业信息化局（县</w:t>
      </w:r>
      <w:r>
        <w:rPr>
          <w:rFonts w:eastAsia="仿宋_GB2312" w:cs="仿宋_GB2312"/>
          <w:color w:val="auto"/>
          <w:sz w:val="32"/>
          <w:szCs w:val="32"/>
        </w:rPr>
        <w:t>商务局</w:t>
      </w:r>
      <w:r>
        <w:rPr>
          <w:rFonts w:hint="eastAsia" w:eastAsia="仿宋_GB2312" w:cs="仿宋_GB2312"/>
          <w:color w:val="auto"/>
          <w:sz w:val="32"/>
          <w:szCs w:val="32"/>
        </w:rPr>
        <w:t>）</w:t>
      </w:r>
      <w:r>
        <w:rPr>
          <w:rFonts w:eastAsia="仿宋_GB2312" w:cs="仿宋_GB2312"/>
          <w:color w:val="auto"/>
          <w:sz w:val="32"/>
          <w:szCs w:val="32"/>
        </w:rPr>
        <w:t>配合省</w:t>
      </w:r>
      <w:r>
        <w:rPr>
          <w:rFonts w:hint="eastAsia" w:eastAsia="仿宋_GB2312" w:cs="仿宋_GB2312"/>
          <w:color w:val="auto"/>
          <w:sz w:val="32"/>
          <w:szCs w:val="32"/>
        </w:rPr>
        <w:t>市</w:t>
      </w:r>
      <w:r>
        <w:rPr>
          <w:rFonts w:eastAsia="仿宋_GB2312" w:cs="仿宋_GB2312"/>
          <w:color w:val="auto"/>
          <w:sz w:val="32"/>
          <w:szCs w:val="32"/>
        </w:rPr>
        <w:t>发改委、省</w:t>
      </w:r>
      <w:r>
        <w:rPr>
          <w:rFonts w:hint="eastAsia" w:eastAsia="仿宋_GB2312" w:cs="仿宋_GB2312"/>
          <w:color w:val="auto"/>
          <w:sz w:val="32"/>
          <w:szCs w:val="32"/>
        </w:rPr>
        <w:t>市</w:t>
      </w:r>
      <w:r>
        <w:rPr>
          <w:rFonts w:eastAsia="仿宋_GB2312" w:cs="仿宋_GB2312"/>
          <w:color w:val="auto"/>
          <w:sz w:val="32"/>
          <w:szCs w:val="32"/>
        </w:rPr>
        <w:t>商务</w:t>
      </w:r>
      <w:r>
        <w:rPr>
          <w:rFonts w:hint="eastAsia" w:eastAsia="仿宋_GB2312" w:cs="仿宋_GB2312"/>
          <w:color w:val="auto"/>
          <w:sz w:val="32"/>
          <w:szCs w:val="32"/>
        </w:rPr>
        <w:t>局</w:t>
      </w:r>
      <w:r>
        <w:rPr>
          <w:rFonts w:eastAsia="仿宋_GB2312" w:cs="仿宋_GB2312"/>
          <w:color w:val="auto"/>
          <w:sz w:val="32"/>
          <w:szCs w:val="32"/>
        </w:rPr>
        <w:t>协助国家有关部委承担外商投资安全审查相关工作。</w:t>
      </w:r>
      <w:r>
        <w:rPr>
          <w:rFonts w:hint="eastAsia" w:eastAsia="仿宋_GB2312" w:cs="仿宋_GB2312"/>
          <w:color w:val="auto"/>
          <w:sz w:val="32"/>
          <w:szCs w:val="32"/>
        </w:rPr>
        <w:t>县</w:t>
      </w:r>
      <w:r>
        <w:rPr>
          <w:rFonts w:eastAsia="仿宋_GB2312" w:cs="仿宋_GB2312"/>
          <w:color w:val="auto"/>
          <w:sz w:val="32"/>
          <w:szCs w:val="32"/>
        </w:rPr>
        <w:t>发改</w:t>
      </w:r>
      <w:r>
        <w:rPr>
          <w:rFonts w:hint="eastAsia" w:eastAsia="仿宋_GB2312" w:cs="仿宋_GB2312"/>
          <w:color w:val="auto"/>
          <w:sz w:val="32"/>
          <w:szCs w:val="32"/>
        </w:rPr>
        <w:t>局</w:t>
      </w:r>
      <w:r>
        <w:rPr>
          <w:rFonts w:eastAsia="仿宋_GB2312" w:cs="仿宋_GB2312"/>
          <w:color w:val="auto"/>
          <w:sz w:val="32"/>
          <w:szCs w:val="32"/>
        </w:rPr>
        <w:t>负责提出外商投资产业指导目录，并与</w:t>
      </w:r>
      <w:r>
        <w:rPr>
          <w:rFonts w:hint="eastAsia" w:eastAsia="仿宋_GB2312" w:cs="仿宋_GB2312"/>
          <w:color w:val="auto"/>
          <w:sz w:val="32"/>
          <w:szCs w:val="32"/>
        </w:rPr>
        <w:t>县科技和工业信息化局（县</w:t>
      </w:r>
      <w:r>
        <w:rPr>
          <w:rFonts w:eastAsia="仿宋_GB2312" w:cs="仿宋_GB2312"/>
          <w:color w:val="auto"/>
          <w:sz w:val="32"/>
          <w:szCs w:val="32"/>
        </w:rPr>
        <w:t>商务局</w:t>
      </w:r>
      <w:r>
        <w:rPr>
          <w:rFonts w:hint="eastAsia" w:eastAsia="仿宋_GB2312" w:cs="仿宋_GB2312"/>
          <w:color w:val="auto"/>
          <w:sz w:val="32"/>
          <w:szCs w:val="32"/>
        </w:rPr>
        <w:t>）</w:t>
      </w:r>
      <w:r>
        <w:rPr>
          <w:rFonts w:eastAsia="仿宋_GB2312" w:cs="仿宋_GB2312"/>
          <w:color w:val="auto"/>
          <w:sz w:val="32"/>
          <w:szCs w:val="32"/>
        </w:rPr>
        <w:t>联合发布。</w:t>
      </w:r>
      <w:r>
        <w:rPr>
          <w:rFonts w:hint="eastAsia" w:eastAsia="仿宋_GB2312" w:cs="仿宋_GB2312"/>
          <w:color w:val="auto"/>
          <w:sz w:val="32"/>
          <w:szCs w:val="32"/>
        </w:rPr>
        <w:t>县发改局负责组织制订并实施开发区发展规划和政策措施；负责开发区设立、调区、扩区审核、申报以及发展情况调度、统计、考核等工作，协调开发区发展有关矛盾和问题。县科技和工业信息化局负责参与制订并实施开发区发展规划和政策措施，指导和推进开发区相关产业合理布局、项目进园和集群发展。</w:t>
      </w:r>
    </w:p>
    <w:p w14:paraId="5712D110">
      <w:pPr>
        <w:spacing w:line="552" w:lineRule="exact"/>
        <w:ind w:firstLine="641"/>
        <w:rPr>
          <w:rFonts w:eastAsia="仿宋_GB2312" w:cs="仿宋_GB2312"/>
          <w:color w:val="auto"/>
          <w:spacing w:val="-4"/>
          <w:sz w:val="32"/>
          <w:szCs w:val="32"/>
        </w:rPr>
      </w:pPr>
      <w:r>
        <w:rPr>
          <w:rFonts w:eastAsia="仿宋_GB2312" w:cs="仿宋_GB2312"/>
          <w:color w:val="auto"/>
          <w:sz w:val="32"/>
          <w:szCs w:val="32"/>
        </w:rPr>
        <w:t>2</w:t>
      </w:r>
      <w:r>
        <w:rPr>
          <w:rFonts w:hint="eastAsia" w:eastAsia="仿宋_GB2312" w:cs="仿宋_GB2312"/>
          <w:color w:val="auto"/>
          <w:sz w:val="32"/>
          <w:szCs w:val="32"/>
        </w:rPr>
        <w:t xml:space="preserve">. </w:t>
      </w:r>
      <w:r>
        <w:rPr>
          <w:rFonts w:eastAsia="仿宋_GB2312" w:cs="仿宋_GB2312"/>
          <w:color w:val="auto"/>
          <w:sz w:val="32"/>
          <w:szCs w:val="32"/>
        </w:rPr>
        <w:t>与</w:t>
      </w:r>
      <w:r>
        <w:rPr>
          <w:rFonts w:hint="eastAsia" w:eastAsia="仿宋_GB2312" w:cs="仿宋_GB2312"/>
          <w:color w:val="auto"/>
          <w:sz w:val="32"/>
          <w:szCs w:val="32"/>
        </w:rPr>
        <w:t>县</w:t>
      </w:r>
      <w:r>
        <w:rPr>
          <w:rFonts w:eastAsia="仿宋_GB2312" w:cs="仿宋_GB2312"/>
          <w:color w:val="auto"/>
          <w:sz w:val="32"/>
          <w:szCs w:val="32"/>
        </w:rPr>
        <w:t>卫生健康</w:t>
      </w:r>
      <w:r>
        <w:rPr>
          <w:rFonts w:hint="eastAsia" w:eastAsia="仿宋_GB2312" w:cs="仿宋_GB2312"/>
          <w:color w:val="auto"/>
          <w:sz w:val="32"/>
          <w:szCs w:val="32"/>
        </w:rPr>
        <w:t>局</w:t>
      </w:r>
      <w:r>
        <w:rPr>
          <w:rFonts w:eastAsia="仿宋_GB2312" w:cs="仿宋_GB2312"/>
          <w:color w:val="auto"/>
          <w:sz w:val="32"/>
          <w:szCs w:val="32"/>
        </w:rPr>
        <w:t>有关职责分工。</w:t>
      </w:r>
      <w:r>
        <w:rPr>
          <w:rFonts w:hint="eastAsia" w:eastAsia="仿宋_GB2312" w:cs="仿宋_GB2312"/>
          <w:color w:val="auto"/>
          <w:sz w:val="32"/>
          <w:szCs w:val="32"/>
        </w:rPr>
        <w:t>县</w:t>
      </w:r>
      <w:r>
        <w:rPr>
          <w:rFonts w:eastAsia="仿宋_GB2312" w:cs="仿宋_GB2312"/>
          <w:color w:val="auto"/>
          <w:sz w:val="32"/>
          <w:szCs w:val="32"/>
        </w:rPr>
        <w:t>发改</w:t>
      </w:r>
      <w:r>
        <w:rPr>
          <w:rFonts w:hint="eastAsia" w:eastAsia="仿宋_GB2312" w:cs="仿宋_GB2312"/>
          <w:color w:val="auto"/>
          <w:sz w:val="32"/>
          <w:szCs w:val="32"/>
        </w:rPr>
        <w:t>局</w:t>
      </w:r>
      <w:r>
        <w:rPr>
          <w:rFonts w:eastAsia="仿宋_GB2312" w:cs="仿宋_GB2312"/>
          <w:color w:val="auto"/>
          <w:sz w:val="32"/>
          <w:szCs w:val="32"/>
        </w:rPr>
        <w:t>负责组织监测和评估人口变动情况及趋势影响，建立人口预测预报制度，开展重</w:t>
      </w:r>
      <w:r>
        <w:rPr>
          <w:rFonts w:eastAsia="仿宋_GB2312" w:cs="仿宋_GB2312"/>
          <w:color w:val="auto"/>
          <w:spacing w:val="-4"/>
          <w:sz w:val="32"/>
          <w:szCs w:val="32"/>
        </w:rPr>
        <w:t>大决策人口影响评估，完善重大人口政策咨询机制，研究提出全</w:t>
      </w:r>
      <w:r>
        <w:rPr>
          <w:rFonts w:hint="eastAsia" w:eastAsia="仿宋_GB2312" w:cs="仿宋_GB2312"/>
          <w:color w:val="auto"/>
          <w:spacing w:val="-4"/>
          <w:sz w:val="32"/>
          <w:szCs w:val="32"/>
        </w:rPr>
        <w:t>县</w:t>
      </w:r>
      <w:r>
        <w:rPr>
          <w:rFonts w:eastAsia="仿宋_GB2312" w:cs="仿宋_GB2312"/>
          <w:color w:val="auto"/>
          <w:spacing w:val="-4"/>
          <w:sz w:val="32"/>
          <w:szCs w:val="32"/>
        </w:rPr>
        <w:t>人口发展战略，拟订人口发展规划和人口政策，研究提出人口与经济、社会、资源、环境协调可持续发展，以及统筹促进人口长期均衡发展的政策建议。</w:t>
      </w:r>
      <w:r>
        <w:rPr>
          <w:rFonts w:hint="eastAsia" w:eastAsia="仿宋_GB2312" w:cs="仿宋_GB2312"/>
          <w:color w:val="auto"/>
          <w:spacing w:val="-4"/>
          <w:sz w:val="32"/>
          <w:szCs w:val="32"/>
        </w:rPr>
        <w:t>县</w:t>
      </w:r>
      <w:r>
        <w:rPr>
          <w:rFonts w:eastAsia="仿宋_GB2312" w:cs="仿宋_GB2312"/>
          <w:color w:val="auto"/>
          <w:spacing w:val="-4"/>
          <w:sz w:val="32"/>
          <w:szCs w:val="32"/>
        </w:rPr>
        <w:t>卫生健康</w:t>
      </w:r>
      <w:r>
        <w:rPr>
          <w:rFonts w:hint="eastAsia" w:eastAsia="仿宋_GB2312" w:cs="仿宋_GB2312"/>
          <w:color w:val="auto"/>
          <w:spacing w:val="-4"/>
          <w:sz w:val="32"/>
          <w:szCs w:val="32"/>
        </w:rPr>
        <w:t>局</w:t>
      </w:r>
      <w:r>
        <w:rPr>
          <w:rFonts w:eastAsia="仿宋_GB2312" w:cs="仿宋_GB2312"/>
          <w:color w:val="auto"/>
          <w:spacing w:val="-4"/>
          <w:sz w:val="32"/>
          <w:szCs w:val="32"/>
        </w:rPr>
        <w:t>负责开展人口监测预警工作，研究提出与生育相关的人口数量、素质、结构、分布方面的政策建议，促进生育政策和相关经济社会政策配套衔接，参与制订人口发展规划和政策，落实</w:t>
      </w:r>
      <w:r>
        <w:rPr>
          <w:rFonts w:hint="eastAsia" w:eastAsia="仿宋_GB2312" w:cs="仿宋_GB2312"/>
          <w:color w:val="auto"/>
          <w:spacing w:val="-4"/>
          <w:sz w:val="32"/>
          <w:szCs w:val="32"/>
        </w:rPr>
        <w:t>县</w:t>
      </w:r>
      <w:r>
        <w:rPr>
          <w:rFonts w:eastAsia="仿宋_GB2312" w:cs="仿宋_GB2312"/>
          <w:color w:val="auto"/>
          <w:spacing w:val="-4"/>
          <w:sz w:val="32"/>
          <w:szCs w:val="32"/>
        </w:rPr>
        <w:t>人口发展规划中的有关任务。</w:t>
      </w:r>
    </w:p>
    <w:p w14:paraId="6595C6B0">
      <w:pPr>
        <w:pStyle w:val="3"/>
        <w:ind w:left="0" w:leftChars="0" w:firstLine="640" w:firstLineChars="200"/>
        <w:rPr>
          <w:color w:val="auto"/>
        </w:rPr>
      </w:pPr>
      <w:r>
        <w:rPr>
          <w:rFonts w:eastAsia="仿宋_GB2312" w:cs="仿宋_GB2312"/>
          <w:color w:val="auto"/>
          <w:sz w:val="32"/>
          <w:szCs w:val="32"/>
        </w:rPr>
        <w:t>3</w:t>
      </w:r>
      <w:r>
        <w:rPr>
          <w:rFonts w:hint="eastAsia" w:eastAsia="仿宋_GB2312" w:cs="仿宋_GB2312"/>
          <w:color w:val="auto"/>
          <w:sz w:val="32"/>
          <w:szCs w:val="32"/>
        </w:rPr>
        <w:t xml:space="preserve">. </w:t>
      </w:r>
      <w:r>
        <w:rPr>
          <w:rFonts w:eastAsia="仿宋_GB2312" w:cs="仿宋_GB2312"/>
          <w:color w:val="auto"/>
          <w:sz w:val="32"/>
          <w:szCs w:val="32"/>
        </w:rPr>
        <w:t>与</w:t>
      </w:r>
      <w:r>
        <w:rPr>
          <w:rFonts w:hint="eastAsia" w:eastAsia="仿宋_GB2312" w:cs="仿宋_GB2312"/>
          <w:color w:val="auto"/>
          <w:sz w:val="32"/>
          <w:szCs w:val="32"/>
        </w:rPr>
        <w:t>县</w:t>
      </w:r>
      <w:r>
        <w:rPr>
          <w:rFonts w:eastAsia="仿宋_GB2312" w:cs="仿宋_GB2312"/>
          <w:color w:val="auto"/>
          <w:sz w:val="32"/>
          <w:szCs w:val="32"/>
        </w:rPr>
        <w:t>应急管理局</w:t>
      </w:r>
      <w:r>
        <w:rPr>
          <w:rFonts w:hint="eastAsia" w:eastAsia="仿宋_GB2312" w:cs="仿宋_GB2312"/>
          <w:color w:val="auto"/>
          <w:sz w:val="32"/>
          <w:szCs w:val="32"/>
        </w:rPr>
        <w:t>有关</w:t>
      </w:r>
      <w:r>
        <w:rPr>
          <w:rFonts w:eastAsia="仿宋_GB2312" w:cs="仿宋_GB2312"/>
          <w:color w:val="auto"/>
          <w:sz w:val="32"/>
          <w:szCs w:val="32"/>
        </w:rPr>
        <w:t>职责分工。</w:t>
      </w:r>
      <w:r>
        <w:rPr>
          <w:rFonts w:hint="eastAsia" w:eastAsia="仿宋_GB2312" w:cs="仿宋_GB2312"/>
          <w:color w:val="auto"/>
          <w:sz w:val="32"/>
          <w:szCs w:val="32"/>
        </w:rPr>
        <w:t>县</w:t>
      </w:r>
      <w:r>
        <w:rPr>
          <w:rFonts w:eastAsia="仿宋_GB2312" w:cs="仿宋_GB2312"/>
          <w:color w:val="auto"/>
          <w:sz w:val="32"/>
          <w:szCs w:val="32"/>
        </w:rPr>
        <w:t>发改</w:t>
      </w:r>
      <w:r>
        <w:rPr>
          <w:rFonts w:hint="eastAsia" w:eastAsia="仿宋_GB2312" w:cs="仿宋_GB2312"/>
          <w:color w:val="auto"/>
          <w:sz w:val="32"/>
          <w:szCs w:val="32"/>
        </w:rPr>
        <w:t>局</w:t>
      </w:r>
      <w:r>
        <w:rPr>
          <w:rFonts w:eastAsia="仿宋_GB2312" w:cs="仿宋_GB2312"/>
          <w:color w:val="auto"/>
          <w:sz w:val="32"/>
          <w:szCs w:val="32"/>
        </w:rPr>
        <w:t>根据</w:t>
      </w:r>
      <w:r>
        <w:rPr>
          <w:rFonts w:hint="eastAsia" w:eastAsia="仿宋_GB2312" w:cs="仿宋_GB2312"/>
          <w:color w:val="auto"/>
          <w:sz w:val="32"/>
          <w:szCs w:val="32"/>
        </w:rPr>
        <w:t>县</w:t>
      </w:r>
      <w:r>
        <w:rPr>
          <w:rFonts w:eastAsia="仿宋_GB2312" w:cs="仿宋_GB2312"/>
          <w:color w:val="auto"/>
          <w:sz w:val="32"/>
          <w:szCs w:val="32"/>
        </w:rPr>
        <w:t>级救灾物资储备规划、品种目录和标准、年度购置计划，负责中央、省市级下达和</w:t>
      </w:r>
      <w:r>
        <w:rPr>
          <w:rFonts w:hint="eastAsia" w:eastAsia="仿宋_GB2312" w:cs="仿宋_GB2312"/>
          <w:color w:val="auto"/>
          <w:sz w:val="32"/>
          <w:szCs w:val="32"/>
        </w:rPr>
        <w:t>县</w:t>
      </w:r>
      <w:r>
        <w:rPr>
          <w:rFonts w:eastAsia="仿宋_GB2312" w:cs="仿宋_GB2312"/>
          <w:color w:val="auto"/>
          <w:sz w:val="32"/>
          <w:szCs w:val="32"/>
        </w:rPr>
        <w:t>级救灾物资的收储、轮换和日常管理，根据</w:t>
      </w:r>
      <w:r>
        <w:rPr>
          <w:rFonts w:hint="eastAsia" w:eastAsia="仿宋_GB2312" w:cs="仿宋_GB2312"/>
          <w:color w:val="auto"/>
          <w:sz w:val="32"/>
          <w:szCs w:val="32"/>
        </w:rPr>
        <w:t>县</w:t>
      </w:r>
      <w:r>
        <w:rPr>
          <w:rFonts w:eastAsia="仿宋_GB2312" w:cs="仿宋_GB2312"/>
          <w:color w:val="auto"/>
          <w:sz w:val="32"/>
          <w:szCs w:val="32"/>
        </w:rPr>
        <w:t>应急管理局的动用指令按程序组织调出。</w:t>
      </w:r>
      <w:r>
        <w:rPr>
          <w:rFonts w:hint="eastAsia" w:eastAsia="仿宋_GB2312" w:cs="仿宋_GB2312"/>
          <w:color w:val="auto"/>
          <w:sz w:val="32"/>
          <w:szCs w:val="32"/>
        </w:rPr>
        <w:t>县</w:t>
      </w:r>
      <w:r>
        <w:rPr>
          <w:rFonts w:eastAsia="仿宋_GB2312" w:cs="仿宋_GB2312"/>
          <w:color w:val="auto"/>
          <w:sz w:val="32"/>
          <w:szCs w:val="32"/>
        </w:rPr>
        <w:t>应急管理局负责提出</w:t>
      </w:r>
      <w:r>
        <w:rPr>
          <w:rFonts w:hint="eastAsia" w:eastAsia="仿宋_GB2312" w:cs="仿宋_GB2312"/>
          <w:color w:val="auto"/>
          <w:sz w:val="32"/>
          <w:szCs w:val="32"/>
        </w:rPr>
        <w:t>县</w:t>
      </w:r>
      <w:r>
        <w:rPr>
          <w:rFonts w:eastAsia="仿宋_GB2312" w:cs="仿宋_GB2312"/>
          <w:color w:val="auto"/>
          <w:sz w:val="32"/>
          <w:szCs w:val="32"/>
        </w:rPr>
        <w:t>级救灾物资的储备需求，负责按权限提出中央、省</w:t>
      </w:r>
      <w:r>
        <w:rPr>
          <w:rFonts w:hint="eastAsia" w:eastAsia="仿宋_GB2312" w:cs="仿宋_GB2312"/>
          <w:color w:val="auto"/>
          <w:sz w:val="32"/>
          <w:szCs w:val="32"/>
        </w:rPr>
        <w:t>市</w:t>
      </w:r>
      <w:r>
        <w:rPr>
          <w:rFonts w:eastAsia="仿宋_GB2312" w:cs="仿宋_GB2312"/>
          <w:color w:val="auto"/>
          <w:sz w:val="32"/>
          <w:szCs w:val="32"/>
        </w:rPr>
        <w:t>级下达和</w:t>
      </w:r>
      <w:r>
        <w:rPr>
          <w:rFonts w:hint="eastAsia" w:eastAsia="仿宋_GB2312" w:cs="仿宋_GB2312"/>
          <w:color w:val="auto"/>
          <w:sz w:val="32"/>
          <w:szCs w:val="32"/>
        </w:rPr>
        <w:t>县</w:t>
      </w:r>
      <w:r>
        <w:rPr>
          <w:rFonts w:eastAsia="仿宋_GB2312" w:cs="仿宋_GB2312"/>
          <w:color w:val="auto"/>
          <w:sz w:val="32"/>
          <w:szCs w:val="32"/>
        </w:rPr>
        <w:t>级救灾物资的动用决策，组织编制</w:t>
      </w:r>
      <w:r>
        <w:rPr>
          <w:rFonts w:hint="eastAsia" w:eastAsia="仿宋_GB2312" w:cs="仿宋_GB2312"/>
          <w:color w:val="auto"/>
          <w:sz w:val="32"/>
          <w:szCs w:val="32"/>
        </w:rPr>
        <w:t>县</w:t>
      </w:r>
      <w:r>
        <w:rPr>
          <w:rFonts w:eastAsia="仿宋_GB2312" w:cs="仿宋_GB2312"/>
          <w:color w:val="auto"/>
          <w:sz w:val="32"/>
          <w:szCs w:val="32"/>
        </w:rPr>
        <w:t>级救灾物资储备规划、品种目录和标准，确定年度购置计划，根据需要下达动用指令。</w:t>
      </w:r>
    </w:p>
    <w:p w14:paraId="55E8EFD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3" w:firstLineChars="200"/>
        <w:jc w:val="both"/>
        <w:textAlignment w:val="auto"/>
        <w:rPr>
          <w:rFonts w:hint="eastAsia" w:ascii="仿宋" w:hAnsi="仿宋" w:eastAsia="仿宋" w:cs="仿宋"/>
          <w:b/>
          <w:bCs/>
          <w:color w:val="auto"/>
          <w:sz w:val="32"/>
          <w:szCs w:val="32"/>
          <w:lang w:val="en-US" w:eastAsia="zh-CN"/>
        </w:rPr>
      </w:pPr>
      <w:r>
        <w:rPr>
          <w:rFonts w:hint="eastAsia" w:cs="仿宋"/>
          <w:b/>
          <w:bCs/>
          <w:color w:val="auto"/>
          <w:sz w:val="32"/>
          <w:szCs w:val="32"/>
          <w:lang w:val="en-US" w:eastAsia="zh-CN"/>
        </w:rPr>
        <w:t>（</w:t>
      </w:r>
      <w:r>
        <w:rPr>
          <w:rFonts w:hint="eastAsia" w:ascii="仿宋" w:hAnsi="仿宋" w:eastAsia="仿宋" w:cs="仿宋"/>
          <w:b/>
          <w:bCs/>
          <w:color w:val="auto"/>
          <w:sz w:val="32"/>
          <w:szCs w:val="32"/>
          <w:lang w:val="en-US" w:eastAsia="zh-CN"/>
        </w:rPr>
        <w:t>二</w:t>
      </w:r>
      <w:r>
        <w:rPr>
          <w:rFonts w:hint="eastAsia" w:cs="仿宋"/>
          <w:b/>
          <w:bCs/>
          <w:color w:val="auto"/>
          <w:sz w:val="32"/>
          <w:szCs w:val="32"/>
          <w:lang w:val="en-US" w:eastAsia="zh-CN"/>
        </w:rPr>
        <w:t>）</w:t>
      </w:r>
      <w:r>
        <w:rPr>
          <w:rFonts w:hint="eastAsia" w:ascii="仿宋" w:hAnsi="仿宋" w:eastAsia="仿宋" w:cs="仿宋"/>
          <w:b/>
          <w:bCs/>
          <w:color w:val="auto"/>
          <w:sz w:val="32"/>
          <w:szCs w:val="32"/>
          <w:lang w:val="en-US" w:eastAsia="zh-CN"/>
        </w:rPr>
        <w:t>机构设置</w:t>
      </w:r>
    </w:p>
    <w:p w14:paraId="409FFB3F">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临武县发展和改革局下设11个内设机构：办公室、综合股（县国民经济动员办公室）、优化经济发展环境股（法规股、招投标办）、投资管理和评估督导股、行政审批股（互联网+监督）、农村经济股（易地搬迁、以工代赈办、指导粮食行业发展股）、服务业和基础产业股（工业和高技术产业股）、社会发展和地区经济股、资源环境股（能源股）、物价和行政事业收入管理股、粮食和物资储备管理股。</w:t>
      </w:r>
    </w:p>
    <w:p w14:paraId="5612A7E6">
      <w:pPr>
        <w:pStyle w:val="3"/>
        <w:ind w:left="0" w:leftChars="0"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除发改局本级，下属机构共五个，各机构编制及实有人数情况见下表。机关本级含有机关退休人员60人，原粮食系统企业改制退休人员254人。机关临聘人员5人。</w:t>
      </w:r>
    </w:p>
    <w:p w14:paraId="666C7C3A">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rPr>
          <w:rFonts w:hint="eastAsia" w:ascii="仿宋" w:hAnsi="仿宋" w:eastAsia="仿宋" w:cs="仿宋"/>
          <w:color w:val="auto"/>
          <w:sz w:val="32"/>
          <w:szCs w:val="32"/>
          <w:lang w:val="en-US" w:eastAsia="zh-CN"/>
        </w:rPr>
      </w:pPr>
    </w:p>
    <w:tbl>
      <w:tblPr>
        <w:tblStyle w:val="6"/>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2556"/>
        <w:gridCol w:w="693"/>
        <w:gridCol w:w="1557"/>
        <w:gridCol w:w="1336"/>
        <w:gridCol w:w="1322"/>
        <w:gridCol w:w="1145"/>
      </w:tblGrid>
      <w:tr w14:paraId="3B5F9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928" w:type="dxa"/>
          </w:tcPr>
          <w:p w14:paraId="1378455F">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eastAsiaTheme="minorEastAsia"/>
                <w:color w:val="auto"/>
                <w:vertAlign w:val="baseline"/>
                <w:lang w:val="en-US" w:eastAsia="zh-CN"/>
              </w:rPr>
            </w:pPr>
            <w:r>
              <w:rPr>
                <w:rFonts w:hint="eastAsia"/>
                <w:color w:val="auto"/>
                <w:vertAlign w:val="baseline"/>
                <w:lang w:val="en-US" w:eastAsia="zh-CN"/>
              </w:rPr>
              <w:t>序号</w:t>
            </w:r>
          </w:p>
        </w:tc>
        <w:tc>
          <w:tcPr>
            <w:tcW w:w="2556" w:type="dxa"/>
          </w:tcPr>
          <w:p w14:paraId="1AE8F6A3">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color w:val="auto"/>
                <w:vertAlign w:val="baseline"/>
                <w:lang w:val="en-US" w:eastAsia="zh-CN"/>
              </w:rPr>
            </w:pPr>
            <w:r>
              <w:rPr>
                <w:rFonts w:hint="eastAsia"/>
                <w:color w:val="auto"/>
                <w:vertAlign w:val="baseline"/>
                <w:lang w:val="en-US" w:eastAsia="zh-CN"/>
              </w:rPr>
              <w:t>机构名称</w:t>
            </w:r>
          </w:p>
        </w:tc>
        <w:tc>
          <w:tcPr>
            <w:tcW w:w="693" w:type="dxa"/>
          </w:tcPr>
          <w:p w14:paraId="1F6D7BD1">
            <w:pPr>
              <w:pStyle w:val="3"/>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default"/>
                <w:color w:val="auto"/>
                <w:vertAlign w:val="baseline"/>
                <w:lang w:val="en-US" w:eastAsia="zh-CN"/>
              </w:rPr>
            </w:pPr>
            <w:r>
              <w:rPr>
                <w:rFonts w:hint="eastAsia"/>
                <w:color w:val="auto"/>
                <w:vertAlign w:val="baseline"/>
                <w:lang w:val="en-US" w:eastAsia="zh-CN"/>
              </w:rPr>
              <w:t>级别</w:t>
            </w:r>
          </w:p>
        </w:tc>
        <w:tc>
          <w:tcPr>
            <w:tcW w:w="1557" w:type="dxa"/>
          </w:tcPr>
          <w:p w14:paraId="3B197012">
            <w:pPr>
              <w:pStyle w:val="3"/>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default"/>
                <w:color w:val="auto"/>
                <w:vertAlign w:val="baseline"/>
                <w:lang w:val="en-US" w:eastAsia="zh-CN"/>
              </w:rPr>
            </w:pPr>
            <w:r>
              <w:rPr>
                <w:rFonts w:hint="eastAsia"/>
                <w:color w:val="auto"/>
                <w:vertAlign w:val="baseline"/>
                <w:lang w:val="en-US" w:eastAsia="zh-CN"/>
              </w:rPr>
              <w:t>分类</w:t>
            </w:r>
          </w:p>
        </w:tc>
        <w:tc>
          <w:tcPr>
            <w:tcW w:w="1336" w:type="dxa"/>
          </w:tcPr>
          <w:p w14:paraId="27D18F53">
            <w:pPr>
              <w:pStyle w:val="3"/>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eastAsia"/>
                <w:color w:val="auto"/>
                <w:vertAlign w:val="baseline"/>
                <w:lang w:val="en-US" w:eastAsia="zh-CN"/>
              </w:rPr>
            </w:pPr>
            <w:r>
              <w:rPr>
                <w:rFonts w:hint="eastAsia"/>
                <w:color w:val="auto"/>
                <w:vertAlign w:val="baseline"/>
                <w:lang w:val="en-US" w:eastAsia="zh-CN"/>
              </w:rPr>
              <w:t>编制数</w:t>
            </w:r>
          </w:p>
          <w:p w14:paraId="44D0171C">
            <w:pPr>
              <w:pStyle w:val="3"/>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default"/>
                <w:color w:val="auto"/>
                <w:vertAlign w:val="baseline"/>
                <w:lang w:val="en-US" w:eastAsia="zh-CN"/>
              </w:rPr>
            </w:pPr>
            <w:r>
              <w:rPr>
                <w:rFonts w:hint="eastAsia"/>
                <w:color w:val="auto"/>
                <w:vertAlign w:val="baseline"/>
                <w:lang w:val="en-US" w:eastAsia="zh-CN"/>
              </w:rPr>
              <w:t>（全额拨款）</w:t>
            </w:r>
          </w:p>
        </w:tc>
        <w:tc>
          <w:tcPr>
            <w:tcW w:w="1322" w:type="dxa"/>
          </w:tcPr>
          <w:p w14:paraId="32C96CB2">
            <w:pPr>
              <w:pStyle w:val="3"/>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eastAsia"/>
                <w:color w:val="auto"/>
                <w:vertAlign w:val="baseline"/>
                <w:lang w:val="en-US" w:eastAsia="zh-CN"/>
              </w:rPr>
            </w:pPr>
            <w:r>
              <w:rPr>
                <w:rFonts w:hint="eastAsia"/>
                <w:color w:val="auto"/>
                <w:vertAlign w:val="baseline"/>
                <w:lang w:val="en-US" w:eastAsia="zh-CN"/>
              </w:rPr>
              <w:t>编制数</w:t>
            </w:r>
          </w:p>
          <w:p w14:paraId="119023AD">
            <w:pPr>
              <w:pStyle w:val="3"/>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default"/>
                <w:color w:val="auto"/>
                <w:vertAlign w:val="baseline"/>
                <w:lang w:val="en-US" w:eastAsia="zh-CN"/>
              </w:rPr>
            </w:pPr>
            <w:r>
              <w:rPr>
                <w:rFonts w:hint="eastAsia"/>
                <w:color w:val="auto"/>
                <w:vertAlign w:val="baseline"/>
                <w:lang w:val="en-US" w:eastAsia="zh-CN"/>
              </w:rPr>
              <w:t>（自收自支）</w:t>
            </w:r>
          </w:p>
        </w:tc>
        <w:tc>
          <w:tcPr>
            <w:tcW w:w="1145" w:type="dxa"/>
          </w:tcPr>
          <w:p w14:paraId="59A26BA8">
            <w:pPr>
              <w:pStyle w:val="3"/>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default"/>
                <w:color w:val="auto"/>
                <w:vertAlign w:val="baseline"/>
                <w:lang w:val="en-US" w:eastAsia="zh-CN"/>
              </w:rPr>
            </w:pPr>
            <w:r>
              <w:rPr>
                <w:rFonts w:hint="eastAsia"/>
                <w:color w:val="auto"/>
                <w:vertAlign w:val="baseline"/>
                <w:lang w:val="en-US" w:eastAsia="zh-CN"/>
              </w:rPr>
              <w:t>实有人数</w:t>
            </w:r>
          </w:p>
        </w:tc>
      </w:tr>
      <w:tr w14:paraId="4BBAD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28" w:type="dxa"/>
          </w:tcPr>
          <w:p w14:paraId="494CA507">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color w:val="auto"/>
                <w:vertAlign w:val="baseline"/>
                <w:lang w:val="en-US" w:eastAsia="zh-CN"/>
              </w:rPr>
            </w:pPr>
            <w:r>
              <w:rPr>
                <w:rFonts w:hint="eastAsia"/>
                <w:color w:val="auto"/>
                <w:vertAlign w:val="baseline"/>
                <w:lang w:val="en-US" w:eastAsia="zh-CN"/>
              </w:rPr>
              <w:t>1</w:t>
            </w:r>
          </w:p>
        </w:tc>
        <w:tc>
          <w:tcPr>
            <w:tcW w:w="2556" w:type="dxa"/>
          </w:tcPr>
          <w:p w14:paraId="3171CE70">
            <w:pPr>
              <w:pStyle w:val="3"/>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default"/>
                <w:color w:val="auto"/>
                <w:vertAlign w:val="baseline"/>
                <w:lang w:val="en-US" w:eastAsia="zh-CN"/>
              </w:rPr>
            </w:pPr>
            <w:r>
              <w:rPr>
                <w:rFonts w:hint="eastAsia"/>
                <w:color w:val="auto"/>
                <w:vertAlign w:val="baseline"/>
                <w:lang w:val="en-US" w:eastAsia="zh-CN"/>
              </w:rPr>
              <w:t>临武县发展和改革局本级</w:t>
            </w:r>
          </w:p>
        </w:tc>
        <w:tc>
          <w:tcPr>
            <w:tcW w:w="693" w:type="dxa"/>
          </w:tcPr>
          <w:p w14:paraId="2D37AEB3">
            <w:pPr>
              <w:pStyle w:val="3"/>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default"/>
                <w:color w:val="auto"/>
                <w:vertAlign w:val="baseline"/>
                <w:lang w:val="en-US" w:eastAsia="zh-CN"/>
              </w:rPr>
            </w:pPr>
            <w:r>
              <w:rPr>
                <w:rFonts w:hint="eastAsia"/>
                <w:color w:val="auto"/>
                <w:vertAlign w:val="baseline"/>
                <w:lang w:val="en-US" w:eastAsia="zh-CN"/>
              </w:rPr>
              <w:t>正科</w:t>
            </w:r>
          </w:p>
        </w:tc>
        <w:tc>
          <w:tcPr>
            <w:tcW w:w="1557" w:type="dxa"/>
          </w:tcPr>
          <w:p w14:paraId="37B3D3DE">
            <w:pPr>
              <w:pStyle w:val="3"/>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default"/>
                <w:color w:val="auto"/>
                <w:vertAlign w:val="baseline"/>
                <w:lang w:val="en-US" w:eastAsia="zh-CN"/>
              </w:rPr>
            </w:pPr>
            <w:r>
              <w:rPr>
                <w:rFonts w:hint="eastAsia"/>
                <w:color w:val="auto"/>
                <w:vertAlign w:val="baseline"/>
                <w:lang w:val="en-US" w:eastAsia="zh-CN"/>
              </w:rPr>
              <w:t>科级</w:t>
            </w:r>
          </w:p>
        </w:tc>
        <w:tc>
          <w:tcPr>
            <w:tcW w:w="1336" w:type="dxa"/>
          </w:tcPr>
          <w:p w14:paraId="6241EA83">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color w:val="auto"/>
                <w:vertAlign w:val="baseline"/>
                <w:lang w:val="en-US" w:eastAsia="zh-CN"/>
              </w:rPr>
            </w:pPr>
            <w:r>
              <w:rPr>
                <w:rFonts w:hint="eastAsia"/>
                <w:color w:val="auto"/>
                <w:vertAlign w:val="baseline"/>
                <w:lang w:val="en-US" w:eastAsia="zh-CN"/>
              </w:rPr>
              <w:t>16</w:t>
            </w:r>
          </w:p>
        </w:tc>
        <w:tc>
          <w:tcPr>
            <w:tcW w:w="1322" w:type="dxa"/>
          </w:tcPr>
          <w:p w14:paraId="3EFFCA79">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color w:val="auto"/>
                <w:vertAlign w:val="baseline"/>
                <w:lang w:val="en-US" w:eastAsia="zh-CN"/>
              </w:rPr>
            </w:pPr>
          </w:p>
        </w:tc>
        <w:tc>
          <w:tcPr>
            <w:tcW w:w="1145" w:type="dxa"/>
          </w:tcPr>
          <w:p w14:paraId="5B41DE77">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color w:val="auto"/>
                <w:vertAlign w:val="baseline"/>
                <w:lang w:val="en-US" w:eastAsia="zh-CN"/>
              </w:rPr>
            </w:pPr>
            <w:r>
              <w:rPr>
                <w:rFonts w:hint="eastAsia"/>
                <w:color w:val="auto"/>
                <w:vertAlign w:val="baseline"/>
                <w:lang w:val="en-US" w:eastAsia="zh-CN"/>
              </w:rPr>
              <w:t>32</w:t>
            </w:r>
          </w:p>
        </w:tc>
      </w:tr>
      <w:tr w14:paraId="16E5A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28" w:type="dxa"/>
          </w:tcPr>
          <w:p w14:paraId="0C63D275">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color w:val="auto"/>
                <w:vertAlign w:val="baseline"/>
                <w:lang w:val="en-US" w:eastAsia="zh-CN"/>
              </w:rPr>
            </w:pPr>
            <w:r>
              <w:rPr>
                <w:rFonts w:hint="eastAsia"/>
                <w:color w:val="auto"/>
                <w:vertAlign w:val="baseline"/>
                <w:lang w:val="en-US" w:eastAsia="zh-CN"/>
              </w:rPr>
              <w:t>2</w:t>
            </w:r>
          </w:p>
        </w:tc>
        <w:tc>
          <w:tcPr>
            <w:tcW w:w="2556" w:type="dxa"/>
          </w:tcPr>
          <w:p w14:paraId="0CD2026A">
            <w:pPr>
              <w:pStyle w:val="3"/>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default"/>
                <w:color w:val="auto"/>
                <w:vertAlign w:val="baseline"/>
                <w:lang w:val="en-US" w:eastAsia="zh-CN"/>
              </w:rPr>
            </w:pPr>
            <w:r>
              <w:rPr>
                <w:rFonts w:hint="eastAsia"/>
                <w:color w:val="auto"/>
                <w:vertAlign w:val="baseline"/>
                <w:lang w:val="en-US" w:eastAsia="zh-CN"/>
              </w:rPr>
              <w:t>县重点建设项目事务中心</w:t>
            </w:r>
          </w:p>
        </w:tc>
        <w:tc>
          <w:tcPr>
            <w:tcW w:w="693" w:type="dxa"/>
          </w:tcPr>
          <w:p w14:paraId="57721C08">
            <w:pPr>
              <w:pStyle w:val="3"/>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default"/>
                <w:color w:val="auto"/>
                <w:vertAlign w:val="baseline"/>
                <w:lang w:val="en-US" w:eastAsia="zh-CN"/>
              </w:rPr>
            </w:pPr>
            <w:r>
              <w:rPr>
                <w:rFonts w:hint="eastAsia"/>
                <w:color w:val="auto"/>
                <w:vertAlign w:val="baseline"/>
                <w:lang w:val="en-US" w:eastAsia="zh-CN"/>
              </w:rPr>
              <w:t>副科</w:t>
            </w:r>
          </w:p>
        </w:tc>
        <w:tc>
          <w:tcPr>
            <w:tcW w:w="1557" w:type="dxa"/>
          </w:tcPr>
          <w:p w14:paraId="2E1EA5E2">
            <w:pPr>
              <w:pStyle w:val="3"/>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default"/>
                <w:color w:val="auto"/>
                <w:vertAlign w:val="baseline"/>
                <w:lang w:val="en-US" w:eastAsia="zh-CN"/>
              </w:rPr>
            </w:pPr>
            <w:r>
              <w:rPr>
                <w:rFonts w:hint="eastAsia"/>
                <w:color w:val="auto"/>
                <w:vertAlign w:val="baseline"/>
                <w:lang w:val="en-US" w:eastAsia="zh-CN"/>
              </w:rPr>
              <w:t>公益一类</w:t>
            </w:r>
          </w:p>
        </w:tc>
        <w:tc>
          <w:tcPr>
            <w:tcW w:w="1336" w:type="dxa"/>
          </w:tcPr>
          <w:p w14:paraId="3662EA34">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color w:val="auto"/>
                <w:vertAlign w:val="baseline"/>
                <w:lang w:val="en-US" w:eastAsia="zh-CN"/>
              </w:rPr>
            </w:pPr>
            <w:r>
              <w:rPr>
                <w:rFonts w:hint="eastAsia"/>
                <w:color w:val="auto"/>
                <w:vertAlign w:val="baseline"/>
                <w:lang w:val="en-US" w:eastAsia="zh-CN"/>
              </w:rPr>
              <w:t>10</w:t>
            </w:r>
          </w:p>
        </w:tc>
        <w:tc>
          <w:tcPr>
            <w:tcW w:w="1322" w:type="dxa"/>
          </w:tcPr>
          <w:p w14:paraId="35151F0F">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color w:val="auto"/>
                <w:vertAlign w:val="baseline"/>
                <w:lang w:val="en-US" w:eastAsia="zh-CN"/>
              </w:rPr>
            </w:pPr>
          </w:p>
        </w:tc>
        <w:tc>
          <w:tcPr>
            <w:tcW w:w="1145" w:type="dxa"/>
          </w:tcPr>
          <w:p w14:paraId="7D8845AF">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color w:val="auto"/>
                <w:vertAlign w:val="baseline"/>
                <w:lang w:val="en-US" w:eastAsia="zh-CN"/>
              </w:rPr>
            </w:pPr>
            <w:r>
              <w:rPr>
                <w:rFonts w:hint="eastAsia"/>
                <w:color w:val="auto"/>
                <w:vertAlign w:val="baseline"/>
                <w:lang w:val="en-US" w:eastAsia="zh-CN"/>
              </w:rPr>
              <w:t>9</w:t>
            </w:r>
          </w:p>
        </w:tc>
      </w:tr>
      <w:tr w14:paraId="5A36F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928" w:type="dxa"/>
          </w:tcPr>
          <w:p w14:paraId="0FC3BEA0">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color w:val="auto"/>
                <w:vertAlign w:val="baseline"/>
                <w:lang w:val="en-US" w:eastAsia="zh-CN"/>
              </w:rPr>
            </w:pPr>
            <w:r>
              <w:rPr>
                <w:rFonts w:hint="eastAsia"/>
                <w:color w:val="auto"/>
                <w:vertAlign w:val="baseline"/>
                <w:lang w:val="en-US" w:eastAsia="zh-CN"/>
              </w:rPr>
              <w:t>3</w:t>
            </w:r>
          </w:p>
        </w:tc>
        <w:tc>
          <w:tcPr>
            <w:tcW w:w="2556" w:type="dxa"/>
          </w:tcPr>
          <w:p w14:paraId="45B797E5">
            <w:pPr>
              <w:pStyle w:val="3"/>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default"/>
                <w:color w:val="auto"/>
                <w:vertAlign w:val="baseline"/>
                <w:lang w:val="en-US" w:eastAsia="zh-CN"/>
              </w:rPr>
            </w:pPr>
            <w:r>
              <w:rPr>
                <w:rFonts w:hint="eastAsia"/>
                <w:color w:val="auto"/>
                <w:vertAlign w:val="baseline"/>
                <w:lang w:val="en-US" w:eastAsia="zh-CN"/>
              </w:rPr>
              <w:t>县节能监察中心（县两型工作办公室）</w:t>
            </w:r>
          </w:p>
        </w:tc>
        <w:tc>
          <w:tcPr>
            <w:tcW w:w="693" w:type="dxa"/>
          </w:tcPr>
          <w:p w14:paraId="32EE491D">
            <w:pPr>
              <w:pStyle w:val="3"/>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default"/>
                <w:color w:val="auto"/>
                <w:vertAlign w:val="baseline"/>
                <w:lang w:val="en-US" w:eastAsia="zh-CN"/>
              </w:rPr>
            </w:pPr>
            <w:r>
              <w:rPr>
                <w:rFonts w:hint="eastAsia"/>
                <w:color w:val="auto"/>
                <w:vertAlign w:val="baseline"/>
                <w:lang w:val="en-US" w:eastAsia="zh-CN"/>
              </w:rPr>
              <w:t>股级</w:t>
            </w:r>
          </w:p>
        </w:tc>
        <w:tc>
          <w:tcPr>
            <w:tcW w:w="1557" w:type="dxa"/>
          </w:tcPr>
          <w:p w14:paraId="4A409B0E">
            <w:pPr>
              <w:pStyle w:val="3"/>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default"/>
                <w:color w:val="auto"/>
                <w:vertAlign w:val="baseline"/>
                <w:lang w:val="en-US" w:eastAsia="zh-CN"/>
              </w:rPr>
            </w:pPr>
            <w:r>
              <w:rPr>
                <w:rFonts w:hint="eastAsia"/>
                <w:color w:val="auto"/>
                <w:vertAlign w:val="baseline"/>
                <w:lang w:val="en-US" w:eastAsia="zh-CN"/>
              </w:rPr>
              <w:t>公益一类</w:t>
            </w:r>
          </w:p>
        </w:tc>
        <w:tc>
          <w:tcPr>
            <w:tcW w:w="1336" w:type="dxa"/>
          </w:tcPr>
          <w:p w14:paraId="747A08B4">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color w:val="auto"/>
                <w:vertAlign w:val="baseline"/>
                <w:lang w:val="en-US" w:eastAsia="zh-CN"/>
              </w:rPr>
            </w:pPr>
            <w:r>
              <w:rPr>
                <w:rFonts w:hint="eastAsia"/>
                <w:color w:val="auto"/>
                <w:vertAlign w:val="baseline"/>
                <w:lang w:val="en-US" w:eastAsia="zh-CN"/>
              </w:rPr>
              <w:t>6</w:t>
            </w:r>
          </w:p>
        </w:tc>
        <w:tc>
          <w:tcPr>
            <w:tcW w:w="1322" w:type="dxa"/>
          </w:tcPr>
          <w:p w14:paraId="59820458">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color w:val="auto"/>
                <w:vertAlign w:val="baseline"/>
                <w:lang w:val="en-US" w:eastAsia="zh-CN"/>
              </w:rPr>
            </w:pPr>
          </w:p>
        </w:tc>
        <w:tc>
          <w:tcPr>
            <w:tcW w:w="1145" w:type="dxa"/>
          </w:tcPr>
          <w:p w14:paraId="534502FD">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color w:val="auto"/>
                <w:vertAlign w:val="baseline"/>
                <w:lang w:val="en-US" w:eastAsia="zh-CN"/>
              </w:rPr>
            </w:pPr>
            <w:r>
              <w:rPr>
                <w:rFonts w:hint="eastAsia"/>
                <w:color w:val="auto"/>
                <w:vertAlign w:val="baseline"/>
                <w:lang w:val="en-US" w:eastAsia="zh-CN"/>
              </w:rPr>
              <w:t>5</w:t>
            </w:r>
          </w:p>
        </w:tc>
      </w:tr>
      <w:tr w14:paraId="1FB7A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928" w:type="dxa"/>
          </w:tcPr>
          <w:p w14:paraId="403C0FF9">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color w:val="auto"/>
                <w:vertAlign w:val="baseline"/>
                <w:lang w:val="en-US" w:eastAsia="zh-CN"/>
              </w:rPr>
            </w:pPr>
            <w:r>
              <w:rPr>
                <w:rFonts w:hint="eastAsia"/>
                <w:color w:val="auto"/>
                <w:vertAlign w:val="baseline"/>
                <w:lang w:val="en-US" w:eastAsia="zh-CN"/>
              </w:rPr>
              <w:t>4</w:t>
            </w:r>
          </w:p>
        </w:tc>
        <w:tc>
          <w:tcPr>
            <w:tcW w:w="2556" w:type="dxa"/>
          </w:tcPr>
          <w:p w14:paraId="1D5927CA">
            <w:pPr>
              <w:pStyle w:val="3"/>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default"/>
                <w:color w:val="auto"/>
                <w:vertAlign w:val="baseline"/>
                <w:lang w:val="en-US" w:eastAsia="zh-CN"/>
              </w:rPr>
            </w:pPr>
            <w:r>
              <w:rPr>
                <w:rFonts w:hint="eastAsia"/>
                <w:color w:val="auto"/>
                <w:vertAlign w:val="baseline"/>
                <w:lang w:val="en-US" w:eastAsia="zh-CN"/>
              </w:rPr>
              <w:t>县价格成本调查队（县价格监测中心）</w:t>
            </w:r>
          </w:p>
        </w:tc>
        <w:tc>
          <w:tcPr>
            <w:tcW w:w="693" w:type="dxa"/>
            <w:vAlign w:val="top"/>
          </w:tcPr>
          <w:p w14:paraId="38C6E5D1">
            <w:pPr>
              <w:pStyle w:val="3"/>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default" w:asciiTheme="minorHAnsi" w:hAnsiTheme="minorHAnsi" w:eastAsiaTheme="minorEastAsia" w:cstheme="minorBidi"/>
                <w:color w:val="auto"/>
                <w:kern w:val="2"/>
                <w:sz w:val="21"/>
                <w:szCs w:val="24"/>
                <w:vertAlign w:val="baseline"/>
                <w:lang w:val="en-US" w:eastAsia="zh-CN" w:bidi="ar-SA"/>
              </w:rPr>
            </w:pPr>
            <w:r>
              <w:rPr>
                <w:rFonts w:hint="eastAsia"/>
                <w:color w:val="auto"/>
                <w:vertAlign w:val="baseline"/>
                <w:lang w:val="en-US" w:eastAsia="zh-CN"/>
              </w:rPr>
              <w:t>股级</w:t>
            </w:r>
          </w:p>
        </w:tc>
        <w:tc>
          <w:tcPr>
            <w:tcW w:w="1557" w:type="dxa"/>
            <w:vAlign w:val="top"/>
          </w:tcPr>
          <w:p w14:paraId="4DC7CB06">
            <w:pPr>
              <w:pStyle w:val="3"/>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default" w:asciiTheme="minorHAnsi" w:hAnsiTheme="minorHAnsi" w:eastAsiaTheme="minorEastAsia" w:cstheme="minorBidi"/>
                <w:color w:val="auto"/>
                <w:kern w:val="2"/>
                <w:sz w:val="21"/>
                <w:szCs w:val="24"/>
                <w:vertAlign w:val="baseline"/>
                <w:lang w:val="en-US" w:eastAsia="zh-CN" w:bidi="ar-SA"/>
              </w:rPr>
            </w:pPr>
            <w:r>
              <w:rPr>
                <w:rFonts w:hint="eastAsia"/>
                <w:color w:val="auto"/>
                <w:vertAlign w:val="baseline"/>
                <w:lang w:val="en-US" w:eastAsia="zh-CN"/>
              </w:rPr>
              <w:t>公益一类</w:t>
            </w:r>
          </w:p>
        </w:tc>
        <w:tc>
          <w:tcPr>
            <w:tcW w:w="1336" w:type="dxa"/>
          </w:tcPr>
          <w:p w14:paraId="0F43BEBF">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color w:val="auto"/>
                <w:vertAlign w:val="baseline"/>
                <w:lang w:val="en-US" w:eastAsia="zh-CN"/>
              </w:rPr>
            </w:pPr>
            <w:r>
              <w:rPr>
                <w:rFonts w:hint="eastAsia"/>
                <w:color w:val="auto"/>
                <w:vertAlign w:val="baseline"/>
                <w:lang w:val="en-US" w:eastAsia="zh-CN"/>
              </w:rPr>
              <w:t>4</w:t>
            </w:r>
          </w:p>
        </w:tc>
        <w:tc>
          <w:tcPr>
            <w:tcW w:w="1322" w:type="dxa"/>
          </w:tcPr>
          <w:p w14:paraId="76D9C149">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color w:val="auto"/>
                <w:vertAlign w:val="baseline"/>
                <w:lang w:val="en-US" w:eastAsia="zh-CN"/>
              </w:rPr>
            </w:pPr>
          </w:p>
        </w:tc>
        <w:tc>
          <w:tcPr>
            <w:tcW w:w="1145" w:type="dxa"/>
          </w:tcPr>
          <w:p w14:paraId="6163A1DB">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color w:val="auto"/>
                <w:vertAlign w:val="baseline"/>
                <w:lang w:val="en-US" w:eastAsia="zh-CN"/>
              </w:rPr>
            </w:pPr>
            <w:r>
              <w:rPr>
                <w:rFonts w:hint="eastAsia"/>
                <w:color w:val="auto"/>
                <w:vertAlign w:val="baseline"/>
                <w:lang w:val="en-US" w:eastAsia="zh-CN"/>
              </w:rPr>
              <w:t>2</w:t>
            </w:r>
          </w:p>
        </w:tc>
      </w:tr>
      <w:tr w14:paraId="12458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928" w:type="dxa"/>
          </w:tcPr>
          <w:p w14:paraId="5E7D88C1">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color w:val="auto"/>
                <w:vertAlign w:val="baseline"/>
                <w:lang w:val="en-US" w:eastAsia="zh-CN"/>
              </w:rPr>
            </w:pPr>
            <w:r>
              <w:rPr>
                <w:rFonts w:hint="eastAsia"/>
                <w:color w:val="auto"/>
                <w:vertAlign w:val="baseline"/>
                <w:lang w:val="en-US" w:eastAsia="zh-CN"/>
              </w:rPr>
              <w:t>5</w:t>
            </w:r>
          </w:p>
        </w:tc>
        <w:tc>
          <w:tcPr>
            <w:tcW w:w="2556" w:type="dxa"/>
          </w:tcPr>
          <w:p w14:paraId="5301760C">
            <w:pPr>
              <w:pStyle w:val="3"/>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default"/>
                <w:color w:val="auto"/>
                <w:vertAlign w:val="baseline"/>
                <w:lang w:val="en-US" w:eastAsia="zh-CN"/>
              </w:rPr>
            </w:pPr>
            <w:r>
              <w:rPr>
                <w:rFonts w:hint="eastAsia"/>
                <w:color w:val="auto"/>
                <w:vertAlign w:val="baseline"/>
                <w:lang w:val="en-US" w:eastAsia="zh-CN"/>
              </w:rPr>
              <w:t>县价格认证中心（县价格信息中心）</w:t>
            </w:r>
          </w:p>
        </w:tc>
        <w:tc>
          <w:tcPr>
            <w:tcW w:w="693" w:type="dxa"/>
            <w:vAlign w:val="top"/>
          </w:tcPr>
          <w:p w14:paraId="0FFCAA15">
            <w:pPr>
              <w:pStyle w:val="3"/>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default" w:asciiTheme="minorHAnsi" w:hAnsiTheme="minorHAnsi" w:eastAsiaTheme="minorEastAsia" w:cstheme="minorBidi"/>
                <w:color w:val="auto"/>
                <w:kern w:val="2"/>
                <w:sz w:val="21"/>
                <w:szCs w:val="24"/>
                <w:vertAlign w:val="baseline"/>
                <w:lang w:val="en-US" w:eastAsia="zh-CN" w:bidi="ar-SA"/>
              </w:rPr>
            </w:pPr>
            <w:r>
              <w:rPr>
                <w:rFonts w:hint="eastAsia"/>
                <w:color w:val="auto"/>
                <w:vertAlign w:val="baseline"/>
                <w:lang w:val="en-US" w:eastAsia="zh-CN"/>
              </w:rPr>
              <w:t>股级</w:t>
            </w:r>
          </w:p>
        </w:tc>
        <w:tc>
          <w:tcPr>
            <w:tcW w:w="1557" w:type="dxa"/>
            <w:vAlign w:val="top"/>
          </w:tcPr>
          <w:p w14:paraId="48C3A9D4">
            <w:pPr>
              <w:pStyle w:val="3"/>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default" w:asciiTheme="minorHAnsi" w:hAnsiTheme="minorHAnsi" w:eastAsiaTheme="minorEastAsia" w:cstheme="minorBidi"/>
                <w:color w:val="auto"/>
                <w:kern w:val="2"/>
                <w:sz w:val="21"/>
                <w:szCs w:val="24"/>
                <w:vertAlign w:val="baseline"/>
                <w:lang w:val="en-US" w:eastAsia="zh-CN" w:bidi="ar-SA"/>
              </w:rPr>
            </w:pPr>
            <w:r>
              <w:rPr>
                <w:rFonts w:hint="eastAsia"/>
                <w:color w:val="auto"/>
                <w:vertAlign w:val="baseline"/>
                <w:lang w:val="en-US" w:eastAsia="zh-CN"/>
              </w:rPr>
              <w:t>公益一类</w:t>
            </w:r>
          </w:p>
        </w:tc>
        <w:tc>
          <w:tcPr>
            <w:tcW w:w="1336" w:type="dxa"/>
            <w:vAlign w:val="top"/>
          </w:tcPr>
          <w:p w14:paraId="313EA596">
            <w:pPr>
              <w:pStyle w:val="3"/>
              <w:keepNext w:val="0"/>
              <w:keepLines w:val="0"/>
              <w:pageBreakBefore w:val="0"/>
              <w:widowControl w:val="0"/>
              <w:kinsoku/>
              <w:wordWrap/>
              <w:overflowPunct/>
              <w:topLinePunct w:val="0"/>
              <w:autoSpaceDE/>
              <w:autoSpaceDN/>
              <w:bidi w:val="0"/>
              <w:adjustRightInd/>
              <w:snapToGrid/>
              <w:spacing w:line="300" w:lineRule="exact"/>
              <w:ind w:left="420" w:leftChars="200"/>
              <w:textAlignment w:val="auto"/>
              <w:rPr>
                <w:rFonts w:hint="default" w:asciiTheme="minorHAnsi" w:hAnsiTheme="minorHAnsi" w:eastAsiaTheme="minorEastAsia" w:cstheme="minorBidi"/>
                <w:color w:val="auto"/>
                <w:kern w:val="2"/>
                <w:sz w:val="21"/>
                <w:szCs w:val="24"/>
                <w:vertAlign w:val="baseline"/>
                <w:lang w:val="en-US" w:eastAsia="zh-CN" w:bidi="ar-SA"/>
              </w:rPr>
            </w:pPr>
            <w:r>
              <w:rPr>
                <w:rFonts w:hint="eastAsia"/>
                <w:color w:val="auto"/>
                <w:vertAlign w:val="baseline"/>
                <w:lang w:val="en-US" w:eastAsia="zh-CN"/>
              </w:rPr>
              <w:t>4</w:t>
            </w:r>
          </w:p>
        </w:tc>
        <w:tc>
          <w:tcPr>
            <w:tcW w:w="1322" w:type="dxa"/>
          </w:tcPr>
          <w:p w14:paraId="6EAAE5E9">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color w:val="auto"/>
                <w:vertAlign w:val="baseline"/>
                <w:lang w:val="en-US" w:eastAsia="zh-CN"/>
              </w:rPr>
            </w:pPr>
          </w:p>
        </w:tc>
        <w:tc>
          <w:tcPr>
            <w:tcW w:w="1145" w:type="dxa"/>
          </w:tcPr>
          <w:p w14:paraId="5535AB82">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color w:val="auto"/>
                <w:vertAlign w:val="baseline"/>
                <w:lang w:val="en-US" w:eastAsia="zh-CN"/>
              </w:rPr>
            </w:pPr>
            <w:r>
              <w:rPr>
                <w:rFonts w:hint="eastAsia"/>
                <w:color w:val="auto"/>
                <w:vertAlign w:val="baseline"/>
                <w:lang w:val="en-US" w:eastAsia="zh-CN"/>
              </w:rPr>
              <w:t>4</w:t>
            </w:r>
          </w:p>
        </w:tc>
      </w:tr>
      <w:tr w14:paraId="4EF9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928" w:type="dxa"/>
          </w:tcPr>
          <w:p w14:paraId="56C55672">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color w:val="auto"/>
                <w:vertAlign w:val="baseline"/>
                <w:lang w:val="en-US" w:eastAsia="zh-CN"/>
              </w:rPr>
            </w:pPr>
            <w:r>
              <w:rPr>
                <w:rFonts w:hint="eastAsia"/>
                <w:color w:val="auto"/>
                <w:vertAlign w:val="baseline"/>
                <w:lang w:val="en-US" w:eastAsia="zh-CN"/>
              </w:rPr>
              <w:t>6</w:t>
            </w:r>
          </w:p>
        </w:tc>
        <w:tc>
          <w:tcPr>
            <w:tcW w:w="2556" w:type="dxa"/>
          </w:tcPr>
          <w:p w14:paraId="03F28DC2">
            <w:pPr>
              <w:pStyle w:val="3"/>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default"/>
                <w:color w:val="auto"/>
                <w:vertAlign w:val="baseline"/>
                <w:lang w:val="en-US" w:eastAsia="zh-CN"/>
              </w:rPr>
            </w:pPr>
            <w:r>
              <w:rPr>
                <w:rFonts w:hint="eastAsia"/>
                <w:color w:val="auto"/>
                <w:vertAlign w:val="baseline"/>
                <w:lang w:val="en-US" w:eastAsia="zh-CN"/>
              </w:rPr>
              <w:t>县粮食和物资储备技术服务中心</w:t>
            </w:r>
          </w:p>
        </w:tc>
        <w:tc>
          <w:tcPr>
            <w:tcW w:w="693" w:type="dxa"/>
          </w:tcPr>
          <w:p w14:paraId="748C0338">
            <w:pPr>
              <w:pStyle w:val="3"/>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default"/>
                <w:color w:val="auto"/>
                <w:vertAlign w:val="baseline"/>
                <w:lang w:val="en-US" w:eastAsia="zh-CN"/>
              </w:rPr>
            </w:pPr>
            <w:r>
              <w:rPr>
                <w:rFonts w:hint="eastAsia"/>
                <w:color w:val="auto"/>
                <w:vertAlign w:val="baseline"/>
                <w:lang w:val="en-US" w:eastAsia="zh-CN"/>
              </w:rPr>
              <w:t>股级</w:t>
            </w:r>
          </w:p>
        </w:tc>
        <w:tc>
          <w:tcPr>
            <w:tcW w:w="1557" w:type="dxa"/>
          </w:tcPr>
          <w:p w14:paraId="56E23B80">
            <w:pPr>
              <w:pStyle w:val="3"/>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default"/>
                <w:color w:val="auto"/>
                <w:vertAlign w:val="baseline"/>
                <w:lang w:val="en-US" w:eastAsia="zh-CN"/>
              </w:rPr>
            </w:pPr>
            <w:r>
              <w:rPr>
                <w:rFonts w:hint="eastAsia"/>
                <w:color w:val="auto"/>
                <w:vertAlign w:val="baseline"/>
                <w:lang w:val="en-US" w:eastAsia="zh-CN"/>
              </w:rPr>
              <w:t>公益二类</w:t>
            </w:r>
          </w:p>
        </w:tc>
        <w:tc>
          <w:tcPr>
            <w:tcW w:w="1336" w:type="dxa"/>
          </w:tcPr>
          <w:p w14:paraId="34A0E1AC">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color w:val="auto"/>
                <w:vertAlign w:val="baseline"/>
                <w:lang w:val="en-US" w:eastAsia="zh-CN"/>
              </w:rPr>
            </w:pPr>
            <w:r>
              <w:rPr>
                <w:rFonts w:hint="eastAsia"/>
                <w:color w:val="auto"/>
                <w:vertAlign w:val="baseline"/>
                <w:lang w:val="en-US" w:eastAsia="zh-CN"/>
              </w:rPr>
              <w:t>3</w:t>
            </w:r>
          </w:p>
        </w:tc>
        <w:tc>
          <w:tcPr>
            <w:tcW w:w="1322" w:type="dxa"/>
          </w:tcPr>
          <w:p w14:paraId="16622FB3">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color w:val="auto"/>
                <w:vertAlign w:val="baseline"/>
                <w:lang w:val="en-US" w:eastAsia="zh-CN"/>
              </w:rPr>
            </w:pPr>
            <w:r>
              <w:rPr>
                <w:rFonts w:hint="eastAsia"/>
                <w:color w:val="auto"/>
                <w:vertAlign w:val="baseline"/>
                <w:lang w:val="en-US" w:eastAsia="zh-CN"/>
              </w:rPr>
              <w:t>3</w:t>
            </w:r>
          </w:p>
        </w:tc>
        <w:tc>
          <w:tcPr>
            <w:tcW w:w="1145" w:type="dxa"/>
          </w:tcPr>
          <w:p w14:paraId="3F5E06AE">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color w:val="auto"/>
                <w:vertAlign w:val="baseline"/>
                <w:lang w:val="en-US" w:eastAsia="zh-CN"/>
              </w:rPr>
            </w:pPr>
            <w:r>
              <w:rPr>
                <w:rFonts w:hint="eastAsia"/>
                <w:color w:val="auto"/>
                <w:vertAlign w:val="baseline"/>
                <w:lang w:val="en-US" w:eastAsia="zh-CN"/>
              </w:rPr>
              <w:t>3</w:t>
            </w:r>
          </w:p>
        </w:tc>
      </w:tr>
      <w:tr w14:paraId="2415D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928" w:type="dxa"/>
          </w:tcPr>
          <w:p w14:paraId="296A686B">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olor w:val="auto"/>
                <w:vertAlign w:val="baseline"/>
                <w:lang w:val="en-US" w:eastAsia="zh-CN"/>
              </w:rPr>
            </w:pPr>
          </w:p>
        </w:tc>
        <w:tc>
          <w:tcPr>
            <w:tcW w:w="2556" w:type="dxa"/>
          </w:tcPr>
          <w:p w14:paraId="599EB64A">
            <w:pPr>
              <w:pStyle w:val="3"/>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default"/>
                <w:color w:val="auto"/>
                <w:vertAlign w:val="baseline"/>
                <w:lang w:val="en-US" w:eastAsia="zh-CN"/>
              </w:rPr>
            </w:pPr>
            <w:r>
              <w:rPr>
                <w:rFonts w:hint="eastAsia"/>
                <w:color w:val="auto"/>
                <w:vertAlign w:val="baseline"/>
                <w:lang w:val="en-US" w:eastAsia="zh-CN"/>
              </w:rPr>
              <w:t>合计</w:t>
            </w:r>
          </w:p>
        </w:tc>
        <w:tc>
          <w:tcPr>
            <w:tcW w:w="693" w:type="dxa"/>
          </w:tcPr>
          <w:p w14:paraId="60944B1A">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color w:val="auto"/>
                <w:vertAlign w:val="baseline"/>
                <w:lang w:val="en-US" w:eastAsia="zh-CN"/>
              </w:rPr>
            </w:pPr>
          </w:p>
        </w:tc>
        <w:tc>
          <w:tcPr>
            <w:tcW w:w="1557" w:type="dxa"/>
          </w:tcPr>
          <w:p w14:paraId="4B48F00E">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color w:val="auto"/>
                <w:vertAlign w:val="baseline"/>
                <w:lang w:val="en-US" w:eastAsia="zh-CN"/>
              </w:rPr>
            </w:pPr>
          </w:p>
        </w:tc>
        <w:tc>
          <w:tcPr>
            <w:tcW w:w="1336" w:type="dxa"/>
          </w:tcPr>
          <w:p w14:paraId="40E862CE">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color w:val="auto"/>
                <w:vertAlign w:val="baseline"/>
                <w:lang w:val="en-US" w:eastAsia="zh-CN"/>
              </w:rPr>
            </w:pPr>
          </w:p>
        </w:tc>
        <w:tc>
          <w:tcPr>
            <w:tcW w:w="1322" w:type="dxa"/>
          </w:tcPr>
          <w:p w14:paraId="0F4A9F43">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color w:val="auto"/>
                <w:vertAlign w:val="baseline"/>
                <w:lang w:val="en-US" w:eastAsia="zh-CN"/>
              </w:rPr>
            </w:pPr>
            <w:r>
              <w:rPr>
                <w:rFonts w:hint="eastAsia"/>
                <w:color w:val="auto"/>
                <w:vertAlign w:val="baseline"/>
                <w:lang w:val="en-US" w:eastAsia="zh-CN"/>
              </w:rPr>
              <w:t>3</w:t>
            </w:r>
          </w:p>
        </w:tc>
        <w:tc>
          <w:tcPr>
            <w:tcW w:w="1145" w:type="dxa"/>
          </w:tcPr>
          <w:p w14:paraId="50FC4CEA">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color w:val="auto"/>
                <w:vertAlign w:val="baseline"/>
                <w:lang w:val="en-US" w:eastAsia="zh-CN"/>
              </w:rPr>
            </w:pPr>
            <w:r>
              <w:rPr>
                <w:rFonts w:hint="eastAsia"/>
                <w:color w:val="auto"/>
                <w:vertAlign w:val="baseline"/>
                <w:lang w:val="en-US" w:eastAsia="zh-CN"/>
              </w:rPr>
              <w:t>55</w:t>
            </w:r>
          </w:p>
        </w:tc>
      </w:tr>
    </w:tbl>
    <w:p w14:paraId="792AC9B3">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rPr>
          <w:rFonts w:hint="eastAsia" w:ascii="仿宋" w:hAnsi="仿宋" w:eastAsia="仿宋" w:cs="仿宋"/>
          <w:color w:val="auto"/>
          <w:sz w:val="32"/>
          <w:szCs w:val="32"/>
          <w:lang w:val="en-US" w:eastAsia="zh-CN"/>
        </w:rPr>
      </w:pPr>
    </w:p>
    <w:p w14:paraId="3E7B6ECC">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leftChars="0" w:right="0" w:rightChars="0" w:firstLine="570"/>
        <w:jc w:val="left"/>
        <w:textAlignment w:val="auto"/>
        <w:rPr>
          <w:rFonts w:hint="eastAsia" w:ascii="黑体" w:hAnsi="黑体" w:eastAsia="黑体" w:cs="黑体"/>
          <w:b/>
          <w:bCs/>
          <w:color w:val="auto"/>
          <w:kern w:val="0"/>
          <w:sz w:val="32"/>
          <w:szCs w:val="32"/>
          <w:lang w:val="en-US" w:eastAsia="zh-CN" w:bidi="ar"/>
        </w:rPr>
      </w:pPr>
      <w:r>
        <w:rPr>
          <w:rFonts w:hint="eastAsia" w:ascii="黑体" w:hAnsi="黑体" w:eastAsia="黑体" w:cs="黑体"/>
          <w:b/>
          <w:bCs/>
          <w:color w:val="auto"/>
          <w:kern w:val="0"/>
          <w:sz w:val="32"/>
          <w:szCs w:val="32"/>
          <w:lang w:val="en-US" w:eastAsia="zh-CN" w:bidi="ar"/>
        </w:rPr>
        <w:t>二、部门整体支出管理及使用情况</w:t>
      </w:r>
    </w:p>
    <w:p w14:paraId="077CA8E5">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leftChars="0" w:right="0" w:rightChars="0" w:firstLine="562" w:firstLineChars="200"/>
        <w:jc w:val="left"/>
        <w:textAlignment w:val="auto"/>
        <w:rPr>
          <w:rFonts w:hint="eastAsia" w:asciiTheme="majorEastAsia" w:hAnsiTheme="majorEastAsia" w:eastAsiaTheme="majorEastAsia" w:cstheme="majorEastAsia"/>
          <w:b/>
          <w:bCs/>
          <w:color w:val="auto"/>
          <w:kern w:val="0"/>
          <w:sz w:val="28"/>
          <w:szCs w:val="28"/>
          <w:lang w:val="en-US" w:eastAsia="zh-CN" w:bidi="ar"/>
        </w:rPr>
      </w:pPr>
      <w:r>
        <w:rPr>
          <w:rFonts w:hint="eastAsia" w:asciiTheme="majorEastAsia" w:hAnsiTheme="majorEastAsia" w:eastAsiaTheme="majorEastAsia" w:cstheme="majorEastAsia"/>
          <w:b/>
          <w:bCs/>
          <w:color w:val="auto"/>
          <w:kern w:val="0"/>
          <w:sz w:val="28"/>
          <w:szCs w:val="28"/>
          <w:lang w:val="en-US" w:eastAsia="zh-CN" w:bidi="ar"/>
        </w:rPr>
        <w:t>（一）资金收入情况</w:t>
      </w:r>
    </w:p>
    <w:p w14:paraId="796A20B3">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color w:val="auto"/>
          <w:lang w:val="en-US" w:eastAsia="zh-CN"/>
        </w:rPr>
      </w:pPr>
      <w:r>
        <w:rPr>
          <w:rFonts w:hint="eastAsia" w:ascii="仿宋" w:hAnsi="仿宋" w:eastAsia="仿宋" w:cs="仿宋"/>
          <w:color w:val="auto"/>
          <w:kern w:val="2"/>
          <w:sz w:val="32"/>
          <w:szCs w:val="32"/>
          <w:lang w:val="en-US" w:eastAsia="zh-CN" w:bidi="ar-SA"/>
        </w:rPr>
        <w:t>2019年度财政拨款总支出合计925.48万元，</w:t>
      </w:r>
      <w:r>
        <w:rPr>
          <w:rFonts w:hint="eastAsia" w:ascii="仿宋" w:hAnsi="仿宋" w:eastAsia="仿宋"/>
          <w:color w:val="auto"/>
          <w:sz w:val="32"/>
          <w:lang w:val="en-US"/>
        </w:rPr>
        <w:t>比上年增</w:t>
      </w:r>
      <w:r>
        <w:rPr>
          <w:rFonts w:hint="eastAsia" w:ascii="仿宋" w:hAnsi="仿宋" w:eastAsia="仿宋"/>
          <w:color w:val="auto"/>
          <w:sz w:val="32"/>
          <w:lang w:val="en-US" w:eastAsia="zh-CN"/>
        </w:rPr>
        <w:t>加</w:t>
      </w:r>
      <w:r>
        <w:rPr>
          <w:rFonts w:hint="eastAsia" w:ascii="仿宋" w:hAnsi="仿宋" w:eastAsia="仿宋"/>
          <w:color w:val="auto"/>
          <w:sz w:val="28"/>
          <w:lang w:val="en-US" w:eastAsia="zh-CN"/>
        </w:rPr>
        <w:t>230.73</w:t>
      </w:r>
      <w:r>
        <w:rPr>
          <w:rFonts w:hint="eastAsia" w:ascii="仿宋" w:hAnsi="仿宋" w:eastAsia="仿宋"/>
          <w:color w:val="auto"/>
          <w:sz w:val="32"/>
          <w:lang w:val="en-US"/>
        </w:rPr>
        <w:t>万元，增长</w:t>
      </w:r>
      <w:r>
        <w:rPr>
          <w:rFonts w:hint="eastAsia" w:ascii="仿宋" w:hAnsi="仿宋" w:eastAsia="仿宋"/>
          <w:color w:val="auto"/>
          <w:sz w:val="28"/>
          <w:lang w:val="en-US" w:eastAsia="zh-CN"/>
        </w:rPr>
        <w:t>32.21</w:t>
      </w:r>
      <w:r>
        <w:rPr>
          <w:rFonts w:hint="eastAsia" w:ascii="仿宋" w:hAnsi="仿宋" w:eastAsia="仿宋"/>
          <w:color w:val="auto"/>
          <w:sz w:val="32"/>
          <w:lang w:val="en-US"/>
        </w:rPr>
        <w:t>%</w:t>
      </w:r>
      <w:r>
        <w:rPr>
          <w:rFonts w:hint="eastAsia" w:ascii="仿宋" w:hAnsi="仿宋" w:eastAsia="仿宋"/>
          <w:color w:val="auto"/>
          <w:sz w:val="32"/>
          <w:lang w:val="en-US" w:eastAsia="zh-CN"/>
        </w:rPr>
        <w:t>，</w:t>
      </w:r>
      <w:r>
        <w:rPr>
          <w:rFonts w:hint="eastAsia" w:ascii="仿宋" w:hAnsi="仿宋" w:eastAsia="仿宋"/>
          <w:color w:val="auto"/>
          <w:sz w:val="32"/>
          <w:lang w:val="en-US"/>
        </w:rPr>
        <w:t>主要原因是</w:t>
      </w:r>
      <w:r>
        <w:rPr>
          <w:rFonts w:hint="eastAsia" w:ascii="仿宋" w:hAnsi="仿宋" w:eastAsia="仿宋"/>
          <w:color w:val="auto"/>
          <w:sz w:val="32"/>
          <w:lang w:val="en-US" w:eastAsia="zh-CN"/>
        </w:rPr>
        <w:t>原粮食局转隶到县发改局，原重点办账务并到发改局</w:t>
      </w:r>
      <w:r>
        <w:rPr>
          <w:rFonts w:hint="eastAsia" w:ascii="仿宋" w:hAnsi="仿宋" w:eastAsia="仿宋"/>
          <w:color w:val="auto"/>
          <w:sz w:val="32"/>
          <w:lang w:val="en-US"/>
        </w:rPr>
        <w:t>。</w:t>
      </w:r>
    </w:p>
    <w:p w14:paraId="686ABFF7">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leftChars="0" w:right="0" w:rightChars="0" w:firstLine="562" w:firstLineChars="200"/>
        <w:jc w:val="left"/>
        <w:textAlignment w:val="auto"/>
        <w:rPr>
          <w:rFonts w:hint="eastAsia" w:asciiTheme="majorEastAsia" w:hAnsiTheme="majorEastAsia" w:eastAsiaTheme="majorEastAsia" w:cstheme="majorEastAsia"/>
          <w:b/>
          <w:bCs/>
          <w:color w:val="auto"/>
          <w:kern w:val="0"/>
          <w:sz w:val="28"/>
          <w:szCs w:val="28"/>
          <w:lang w:val="en-US" w:eastAsia="zh-CN" w:bidi="ar"/>
        </w:rPr>
      </w:pPr>
      <w:r>
        <w:rPr>
          <w:rFonts w:hint="eastAsia" w:asciiTheme="majorEastAsia" w:hAnsiTheme="majorEastAsia" w:eastAsiaTheme="majorEastAsia" w:cstheme="majorEastAsia"/>
          <w:b/>
          <w:bCs/>
          <w:color w:val="auto"/>
          <w:kern w:val="0"/>
          <w:sz w:val="28"/>
          <w:szCs w:val="28"/>
          <w:lang w:val="en-US" w:eastAsia="zh-CN" w:bidi="ar"/>
        </w:rPr>
        <w:t>（二）支出使用情况</w:t>
      </w:r>
    </w:p>
    <w:p w14:paraId="4288319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2019年度支出合计925.48万元，</w:t>
      </w:r>
      <w:r>
        <w:rPr>
          <w:rFonts w:hint="eastAsia" w:ascii="仿宋" w:hAnsi="仿宋" w:eastAsia="仿宋"/>
          <w:color w:val="auto"/>
          <w:sz w:val="32"/>
          <w:lang w:val="en-US"/>
        </w:rPr>
        <w:t>比上年增</w:t>
      </w:r>
      <w:r>
        <w:rPr>
          <w:rFonts w:hint="eastAsia" w:ascii="仿宋" w:hAnsi="仿宋" w:eastAsia="仿宋"/>
          <w:color w:val="auto"/>
          <w:sz w:val="32"/>
          <w:lang w:val="en-US" w:eastAsia="zh-CN"/>
        </w:rPr>
        <w:t>加</w:t>
      </w:r>
      <w:r>
        <w:rPr>
          <w:rFonts w:hint="eastAsia" w:ascii="仿宋" w:hAnsi="仿宋" w:eastAsia="仿宋"/>
          <w:color w:val="auto"/>
          <w:sz w:val="28"/>
          <w:lang w:val="en-US" w:eastAsia="zh-CN"/>
        </w:rPr>
        <w:t>230.73</w:t>
      </w:r>
      <w:r>
        <w:rPr>
          <w:rFonts w:hint="eastAsia" w:ascii="仿宋" w:hAnsi="仿宋" w:eastAsia="仿宋"/>
          <w:color w:val="auto"/>
          <w:sz w:val="32"/>
          <w:lang w:val="en-US"/>
        </w:rPr>
        <w:t>万元，增长</w:t>
      </w:r>
      <w:r>
        <w:rPr>
          <w:rFonts w:hint="eastAsia" w:ascii="仿宋" w:hAnsi="仿宋" w:eastAsia="仿宋"/>
          <w:color w:val="auto"/>
          <w:sz w:val="28"/>
          <w:lang w:val="en-US" w:eastAsia="zh-CN"/>
        </w:rPr>
        <w:t>33.2</w:t>
      </w:r>
      <w:r>
        <w:rPr>
          <w:rFonts w:hint="eastAsia" w:ascii="仿宋" w:hAnsi="仿宋" w:eastAsia="仿宋"/>
          <w:color w:val="auto"/>
          <w:sz w:val="32"/>
          <w:lang w:val="en-US"/>
        </w:rPr>
        <w:t>%</w:t>
      </w:r>
      <w:r>
        <w:rPr>
          <w:rFonts w:hint="eastAsia" w:ascii="仿宋" w:hAnsi="仿宋" w:eastAsia="仿宋"/>
          <w:color w:val="auto"/>
          <w:sz w:val="32"/>
          <w:lang w:val="en-US" w:eastAsia="zh-CN"/>
        </w:rPr>
        <w:t>，</w:t>
      </w:r>
      <w:r>
        <w:rPr>
          <w:rFonts w:hint="eastAsia" w:ascii="仿宋" w:hAnsi="仿宋" w:eastAsia="仿宋"/>
          <w:color w:val="auto"/>
          <w:sz w:val="32"/>
          <w:lang w:val="zh-CN"/>
        </w:rPr>
        <w:t>变化的主要原因：</w:t>
      </w:r>
      <w:r>
        <w:rPr>
          <w:rFonts w:hint="eastAsia" w:ascii="仿宋" w:hAnsi="仿宋" w:eastAsia="仿宋"/>
          <w:color w:val="auto"/>
          <w:sz w:val="32"/>
          <w:lang w:val="en-US" w:eastAsia="zh-CN"/>
        </w:rPr>
        <w:t>原粮食局和重点办合并到发改局</w:t>
      </w:r>
      <w:r>
        <w:rPr>
          <w:rFonts w:hint="eastAsia" w:ascii="仿宋" w:hAnsi="仿宋" w:eastAsia="仿宋"/>
          <w:color w:val="auto"/>
          <w:sz w:val="32"/>
          <w:lang w:val="en-US"/>
        </w:rPr>
        <w:t>。</w:t>
      </w:r>
    </w:p>
    <w:p w14:paraId="76F53683">
      <w:pPr>
        <w:keepNext w:val="0"/>
        <w:keepLines w:val="0"/>
        <w:pageBreakBefore w:val="0"/>
        <w:numPr>
          <w:ilvl w:val="0"/>
          <w:numId w:val="0"/>
        </w:numPr>
        <w:kinsoku/>
        <w:wordWrap/>
        <w:overflowPunct/>
        <w:topLinePunct w:val="0"/>
        <w:autoSpaceDE/>
        <w:autoSpaceDN/>
        <w:bidi w:val="0"/>
        <w:adjustRightInd/>
        <w:snapToGrid/>
        <w:spacing w:line="500" w:lineRule="exact"/>
        <w:ind w:left="0" w:leftChars="0" w:right="0" w:rightChars="0" w:firstLine="640" w:firstLineChars="200"/>
        <w:textAlignment w:val="auto"/>
        <w:rPr>
          <w:rFonts w:hint="eastAsia" w:ascii="仿宋" w:hAnsi="仿宋" w:eastAsia="仿宋"/>
          <w:color w:val="auto"/>
          <w:sz w:val="32"/>
          <w:lang w:val="en-US" w:eastAsia="zh-CN"/>
        </w:rPr>
      </w:pPr>
      <w:r>
        <w:rPr>
          <w:rFonts w:hint="eastAsia" w:ascii="仿宋" w:hAnsi="仿宋" w:eastAsia="仿宋" w:cs="仿宋"/>
          <w:color w:val="auto"/>
          <w:kern w:val="2"/>
          <w:sz w:val="32"/>
          <w:szCs w:val="32"/>
          <w:lang w:val="en-US" w:eastAsia="zh-CN" w:bidi="ar-SA"/>
        </w:rPr>
        <w:t>（1）基本支出668.84万元，</w:t>
      </w:r>
      <w:r>
        <w:rPr>
          <w:rFonts w:hint="eastAsia" w:ascii="仿宋" w:hAnsi="仿宋" w:eastAsia="仿宋"/>
          <w:color w:val="auto"/>
          <w:sz w:val="32"/>
          <w:lang w:val="en-US" w:eastAsia="zh-CN"/>
        </w:rPr>
        <w:t>占72.27%</w:t>
      </w:r>
      <w:r>
        <w:rPr>
          <w:rFonts w:hint="eastAsia" w:ascii="仿宋" w:hAnsi="仿宋" w:eastAsia="仿宋" w:cs="仿宋"/>
          <w:color w:val="auto"/>
          <w:kern w:val="2"/>
          <w:sz w:val="32"/>
          <w:szCs w:val="32"/>
          <w:lang w:val="en-US" w:eastAsia="zh-CN" w:bidi="ar-SA"/>
        </w:rPr>
        <w:t>；项目支出256.64万元，</w:t>
      </w:r>
      <w:r>
        <w:rPr>
          <w:rFonts w:hint="eastAsia" w:ascii="仿宋" w:hAnsi="仿宋" w:eastAsia="仿宋"/>
          <w:color w:val="auto"/>
          <w:sz w:val="32"/>
          <w:lang w:val="en-US" w:eastAsia="zh-CN"/>
        </w:rPr>
        <w:t>占27.73%；</w:t>
      </w:r>
    </w:p>
    <w:p w14:paraId="3EED3707">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kern w:val="2"/>
          <w:sz w:val="32"/>
          <w:szCs w:val="32"/>
          <w:lang w:val="en-US" w:eastAsia="zh-CN" w:bidi="ar-SA"/>
        </w:rPr>
      </w:pPr>
      <w:r>
        <w:rPr>
          <w:rFonts w:hint="eastAsia" w:ascii="仿宋" w:hAnsi="仿宋" w:eastAsia="仿宋"/>
          <w:color w:val="auto"/>
          <w:sz w:val="32"/>
          <w:lang w:val="en-US" w:eastAsia="zh-CN"/>
        </w:rPr>
        <w:t>（2）</w:t>
      </w:r>
      <w:r>
        <w:rPr>
          <w:rFonts w:hint="eastAsia" w:ascii="仿宋" w:hAnsi="仿宋" w:eastAsia="仿宋"/>
          <w:b/>
          <w:color w:val="auto"/>
          <w:sz w:val="32"/>
          <w:lang w:val="en-US"/>
        </w:rPr>
        <w:t>“</w:t>
      </w:r>
      <w:r>
        <w:rPr>
          <w:rFonts w:hint="eastAsia" w:ascii="仿宋" w:hAnsi="仿宋" w:eastAsia="仿宋"/>
          <w:color w:val="auto"/>
          <w:sz w:val="32"/>
          <w:lang w:val="en-US"/>
        </w:rPr>
        <w:t>三公</w:t>
      </w:r>
      <w:r>
        <w:rPr>
          <w:rFonts w:hint="eastAsia" w:ascii="仿宋" w:hAnsi="仿宋" w:eastAsia="仿宋"/>
          <w:b/>
          <w:color w:val="auto"/>
          <w:sz w:val="32"/>
          <w:lang w:val="en-US"/>
        </w:rPr>
        <w:t>”</w:t>
      </w:r>
      <w:r>
        <w:rPr>
          <w:rFonts w:hint="eastAsia" w:ascii="仿宋" w:hAnsi="仿宋" w:eastAsia="仿宋"/>
          <w:color w:val="auto"/>
          <w:sz w:val="32"/>
          <w:lang w:val="en-US"/>
        </w:rPr>
        <w:t>经费支出情况：</w:t>
      </w:r>
      <w:r>
        <w:rPr>
          <w:rFonts w:hint="eastAsia" w:ascii="仿宋" w:hAnsi="仿宋" w:eastAsia="仿宋" w:cs="仿宋"/>
          <w:color w:val="auto"/>
          <w:kern w:val="2"/>
          <w:sz w:val="32"/>
          <w:szCs w:val="32"/>
          <w:lang w:val="en-US" w:eastAsia="zh-CN" w:bidi="ar-SA"/>
        </w:rPr>
        <w:t>2019年度“三公”经费财政拨款支出预算为17万，支出决算为5.21万，完成预算的30.65%，比上年减少7.15万元，主要原因是因机构人员转隶到发改局还有一部分资金未到位，导致单位资金运转困难，一部分三公经费未结账。无因公出国（境）人次。</w:t>
      </w:r>
    </w:p>
    <w:p w14:paraId="5861DF28">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leftChars="0" w:right="0" w:rightChars="0" w:firstLine="570"/>
        <w:jc w:val="left"/>
        <w:textAlignment w:val="auto"/>
        <w:rPr>
          <w:rFonts w:hint="eastAsia" w:ascii="黑体" w:hAnsi="黑体" w:eastAsia="黑体" w:cs="黑体"/>
          <w:b/>
          <w:bCs/>
          <w:color w:val="auto"/>
          <w:kern w:val="0"/>
          <w:sz w:val="28"/>
          <w:szCs w:val="28"/>
          <w:lang w:val="en-US" w:eastAsia="zh-CN" w:bidi="ar"/>
        </w:rPr>
      </w:pPr>
      <w:r>
        <w:rPr>
          <w:rFonts w:hint="eastAsia" w:ascii="黑体" w:hAnsi="黑体" w:eastAsia="黑体" w:cs="黑体"/>
          <w:b/>
          <w:bCs/>
          <w:color w:val="auto"/>
          <w:kern w:val="0"/>
          <w:sz w:val="28"/>
          <w:szCs w:val="28"/>
          <w:lang w:val="en-US" w:eastAsia="zh-CN" w:bidi="ar"/>
        </w:rPr>
        <w:t>三、资产管理</w:t>
      </w:r>
    </w:p>
    <w:p w14:paraId="2F0EEE41">
      <w:pPr>
        <w:keepNext w:val="0"/>
        <w:keepLines w:val="0"/>
        <w:pageBreakBefore w:val="0"/>
        <w:kinsoku/>
        <w:wordWrap/>
        <w:overflowPunct/>
        <w:topLinePunct w:val="0"/>
        <w:autoSpaceDE/>
        <w:autoSpaceDN/>
        <w:bidi w:val="0"/>
        <w:adjustRightInd/>
        <w:snapToGrid/>
        <w:spacing w:line="500" w:lineRule="exact"/>
        <w:ind w:left="0" w:leftChars="0" w:right="0" w:rightChars="0" w:firstLine="640"/>
        <w:textAlignment w:val="auto"/>
        <w:rPr>
          <w:rFonts w:hint="eastAsia" w:ascii="仿宋" w:hAnsi="仿宋" w:eastAsia="仿宋"/>
          <w:color w:val="auto"/>
          <w:sz w:val="32"/>
          <w:lang w:val="zh-CN"/>
        </w:rPr>
      </w:pPr>
      <w:r>
        <w:rPr>
          <w:rFonts w:hint="eastAsia" w:ascii="仿宋" w:hAnsi="仿宋" w:eastAsia="仿宋"/>
          <w:color w:val="auto"/>
          <w:sz w:val="32"/>
          <w:lang w:val="en-US" w:eastAsia="zh-CN"/>
        </w:rPr>
        <w:t>为了更好地加强单位财务管理，依据《中华人民共和国会计法》、《行政事业单位会计制度准则》有关规定，结合我办实际制定了财务管理制度。我局现有固定资产</w:t>
      </w:r>
      <w:r>
        <w:rPr>
          <w:rFonts w:hint="eastAsia" w:ascii="宋体" w:eastAsia="宋体" w:hAnsiTheme="minorEastAsia"/>
          <w:color w:val="auto"/>
          <w:sz w:val="27"/>
        </w:rPr>
        <w:t>230.09</w:t>
      </w:r>
      <w:r>
        <w:rPr>
          <w:rFonts w:hint="eastAsia" w:ascii="仿宋" w:hAnsi="仿宋" w:eastAsia="仿宋"/>
          <w:color w:val="auto"/>
          <w:sz w:val="32"/>
          <w:lang w:val="en-US" w:eastAsia="zh-CN"/>
        </w:rPr>
        <w:t>万元，已全部纳入资产专人管理，设置固定资产卡片，资产管理工作进一步规范。</w:t>
      </w:r>
    </w:p>
    <w:p w14:paraId="6A28B11C">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leftChars="0" w:right="0" w:rightChars="0" w:firstLine="570"/>
        <w:jc w:val="left"/>
        <w:textAlignment w:val="auto"/>
        <w:rPr>
          <w:rFonts w:hint="eastAsia" w:ascii="仿宋" w:hAnsi="仿宋" w:eastAsia="仿宋" w:cs="仿宋"/>
          <w:b/>
          <w:bCs/>
          <w:color w:val="auto"/>
          <w:kern w:val="0"/>
          <w:sz w:val="32"/>
          <w:szCs w:val="32"/>
          <w:lang w:val="en-US" w:eastAsia="zh-CN" w:bidi="ar"/>
        </w:rPr>
      </w:pPr>
      <w:r>
        <w:rPr>
          <w:rFonts w:hint="eastAsia" w:ascii="黑体" w:hAnsi="黑体" w:eastAsia="黑体" w:cs="黑体"/>
          <w:b/>
          <w:bCs/>
          <w:color w:val="auto"/>
          <w:kern w:val="0"/>
          <w:sz w:val="32"/>
          <w:szCs w:val="32"/>
          <w:lang w:val="en-US" w:eastAsia="zh-CN" w:bidi="ar"/>
        </w:rPr>
        <w:t>四、部门整体预算绩效情况</w:t>
      </w:r>
    </w:p>
    <w:p w14:paraId="66BCB45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3" w:firstLineChars="200"/>
        <w:jc w:val="both"/>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（一）绩效评价工作情况</w:t>
      </w:r>
    </w:p>
    <w:p w14:paraId="611FDCC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1、绩效评价目的。一是通过部门项目支出绩效评价，确认部门资金使用制度的制定及执行状况，进一步规范财政资金的管理；二是通过项目支出绩效评价，强化财政支出绩效理念，提升部门责任意识，杜绝资产流失；三是通过部门项目支出绩效评价，督促部门提高专项资金使用效益。</w:t>
      </w:r>
    </w:p>
    <w:p w14:paraId="4B78405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2、绩效评价工作过程。依据财政部《财政支出绩效评价管理暂行办法》我</w:t>
      </w:r>
      <w:r>
        <w:rPr>
          <w:rFonts w:hint="eastAsia" w:ascii="仿宋" w:hAnsi="仿宋" w:eastAsia="仿宋" w:cs="仿宋"/>
          <w:color w:val="auto"/>
          <w:sz w:val="32"/>
          <w:szCs w:val="32"/>
          <w:lang w:eastAsia="zh-CN"/>
        </w:rPr>
        <w:t>办</w:t>
      </w:r>
      <w:r>
        <w:rPr>
          <w:rFonts w:hint="eastAsia" w:ascii="仿宋" w:hAnsi="仿宋" w:eastAsia="仿宋" w:cs="仿宋"/>
          <w:color w:val="auto"/>
          <w:sz w:val="32"/>
          <w:szCs w:val="32"/>
        </w:rPr>
        <w:t>对项目支出进行了绩效评价。</w:t>
      </w:r>
    </w:p>
    <w:p w14:paraId="1ECE928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3" w:firstLineChars="200"/>
        <w:jc w:val="both"/>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（二）项目支出使用管理情况</w:t>
      </w:r>
    </w:p>
    <w:p w14:paraId="3337053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eastAsia="zh-CN"/>
        </w:rPr>
        <w:t>截至</w:t>
      </w:r>
      <w:r>
        <w:rPr>
          <w:rFonts w:hint="eastAsia" w:ascii="仿宋" w:hAnsi="仿宋" w:eastAsia="仿宋" w:cs="仿宋"/>
          <w:color w:val="auto"/>
          <w:sz w:val="32"/>
          <w:szCs w:val="32"/>
        </w:rPr>
        <w:t>201</w:t>
      </w:r>
      <w:r>
        <w:rPr>
          <w:rFonts w:hint="eastAsia" w:cs="仿宋"/>
          <w:color w:val="auto"/>
          <w:sz w:val="32"/>
          <w:szCs w:val="32"/>
          <w:lang w:val="en-US" w:eastAsia="zh-CN"/>
        </w:rPr>
        <w:t>9</w:t>
      </w:r>
      <w:r>
        <w:rPr>
          <w:rFonts w:hint="eastAsia" w:ascii="仿宋" w:hAnsi="仿宋" w:eastAsia="仿宋" w:cs="仿宋"/>
          <w:color w:val="auto"/>
          <w:sz w:val="32"/>
          <w:szCs w:val="32"/>
        </w:rPr>
        <w:t>年12月，我</w:t>
      </w:r>
      <w:r>
        <w:rPr>
          <w:rFonts w:hint="eastAsia" w:ascii="仿宋" w:hAnsi="仿宋" w:eastAsia="仿宋" w:cs="仿宋"/>
          <w:color w:val="auto"/>
          <w:sz w:val="32"/>
          <w:szCs w:val="32"/>
          <w:lang w:val="en-US" w:eastAsia="zh-CN"/>
        </w:rPr>
        <w:t>局</w:t>
      </w:r>
      <w:r>
        <w:rPr>
          <w:rFonts w:hint="eastAsia" w:ascii="仿宋" w:hAnsi="仿宋" w:eastAsia="仿宋" w:cs="仿宋"/>
          <w:color w:val="auto"/>
          <w:sz w:val="32"/>
          <w:szCs w:val="32"/>
        </w:rPr>
        <w:t>项目支出合计</w:t>
      </w:r>
      <w:r>
        <w:rPr>
          <w:rFonts w:hint="eastAsia" w:ascii="仿宋" w:hAnsi="仿宋" w:eastAsia="仿宋" w:cs="仿宋"/>
          <w:color w:val="auto"/>
          <w:sz w:val="32"/>
          <w:szCs w:val="32"/>
          <w:lang w:val="en-US" w:eastAsia="zh-CN"/>
        </w:rPr>
        <w:t>256.64</w:t>
      </w:r>
      <w:r>
        <w:rPr>
          <w:rFonts w:hint="eastAsia" w:ascii="仿宋" w:hAnsi="仿宋" w:eastAsia="仿宋" w:cs="仿宋"/>
          <w:color w:val="auto"/>
          <w:sz w:val="32"/>
          <w:szCs w:val="32"/>
        </w:rPr>
        <w:t>万元。</w:t>
      </w:r>
    </w:p>
    <w:p w14:paraId="366D5FF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3" w:firstLineChars="200"/>
        <w:jc w:val="both"/>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（三）我县</w:t>
      </w:r>
      <w:r>
        <w:rPr>
          <w:rFonts w:hint="eastAsia" w:ascii="楷体" w:hAnsi="楷体" w:eastAsia="楷体" w:cs="楷体"/>
          <w:b/>
          <w:bCs/>
          <w:color w:val="auto"/>
          <w:sz w:val="32"/>
          <w:szCs w:val="32"/>
          <w:lang w:val="en-US" w:eastAsia="zh-CN"/>
        </w:rPr>
        <w:t>发改</w:t>
      </w:r>
      <w:r>
        <w:rPr>
          <w:rFonts w:hint="eastAsia" w:ascii="楷体" w:hAnsi="楷体" w:eastAsia="楷体" w:cs="楷体"/>
          <w:b/>
          <w:bCs/>
          <w:color w:val="auto"/>
          <w:sz w:val="32"/>
          <w:szCs w:val="32"/>
        </w:rPr>
        <w:t>工作的总体评价</w:t>
      </w:r>
    </w:p>
    <w:p w14:paraId="4858B572">
      <w:pPr>
        <w:spacing w:line="600" w:lineRule="exact"/>
        <w:ind w:firstLine="640" w:firstLineChars="200"/>
        <w:rPr>
          <w:rFonts w:hint="eastAsia" w:eastAsia="黑体"/>
          <w:color w:val="auto"/>
          <w:sz w:val="32"/>
          <w:szCs w:val="32"/>
        </w:rPr>
      </w:pPr>
      <w:r>
        <w:rPr>
          <w:rFonts w:hint="eastAsia" w:eastAsia="黑体"/>
          <w:color w:val="auto"/>
          <w:sz w:val="32"/>
          <w:szCs w:val="32"/>
        </w:rPr>
        <w:t>一、“十三五”时期工作情况</w:t>
      </w:r>
    </w:p>
    <w:p w14:paraId="267BDD37">
      <w:pPr>
        <w:spacing w:line="600" w:lineRule="exact"/>
        <w:ind w:firstLine="643" w:firstLineChars="200"/>
        <w:outlineLvl w:val="2"/>
        <w:rPr>
          <w:rFonts w:ascii="楷体_GB2312" w:hAnsi="仿宋" w:eastAsia="楷体_GB2312" w:cs="仿宋"/>
          <w:b/>
          <w:bCs/>
          <w:color w:val="auto"/>
          <w:sz w:val="32"/>
          <w:szCs w:val="32"/>
          <w:shd w:val="clear" w:color="auto" w:fill="FFFFFF"/>
        </w:rPr>
      </w:pPr>
      <w:bookmarkStart w:id="0" w:name="_Toc46377724"/>
      <w:r>
        <w:rPr>
          <w:rFonts w:hint="eastAsia" w:ascii="楷体_GB2312" w:hAnsi="仿宋" w:eastAsia="楷体_GB2312" w:cs="仿宋"/>
          <w:b/>
          <w:bCs/>
          <w:color w:val="auto"/>
          <w:sz w:val="32"/>
          <w:szCs w:val="32"/>
          <w:shd w:val="clear" w:color="auto" w:fill="FFFFFF"/>
        </w:rPr>
        <w:t>（一）经济发展稳中有进</w:t>
      </w:r>
      <w:bookmarkEnd w:id="0"/>
      <w:r>
        <w:rPr>
          <w:rFonts w:hint="eastAsia" w:ascii="楷体_GB2312" w:hAnsi="仿宋" w:eastAsia="楷体_GB2312" w:cs="仿宋"/>
          <w:b/>
          <w:bCs/>
          <w:color w:val="auto"/>
          <w:sz w:val="32"/>
          <w:szCs w:val="32"/>
          <w:shd w:val="clear" w:color="auto" w:fill="FFFFFF"/>
        </w:rPr>
        <w:t>。</w:t>
      </w:r>
      <w:r>
        <w:rPr>
          <w:rFonts w:hint="eastAsia" w:ascii="仿宋_GB2312" w:hAnsi="宋体" w:eastAsia="仿宋_GB2312" w:cs="宋体"/>
          <w:color w:val="auto"/>
          <w:sz w:val="32"/>
          <w:szCs w:val="32"/>
        </w:rPr>
        <w:t>2019年全县地区生产总值142.2亿元，相比2015年增长了52%，“十三五”时期年均增长11.0%，常住人口地区生产总值40953元，“十三五”时期年均增长15.0%，增长速度高于“十三五”规划12%的年均增长率。2019年，全县实现社会消费品零售总额45.0亿元，“十三五”时期年均增长10.5%。2019年，全县一般公共预算收入完成11.8亿元。“十三五”时期，全县预计共完成固定资产投资800亿元；纯发改口预计共争取中省项目资金10亿元。</w:t>
      </w:r>
    </w:p>
    <w:p w14:paraId="41F48DC9">
      <w:pPr>
        <w:spacing w:line="600" w:lineRule="exact"/>
        <w:ind w:firstLine="643" w:firstLineChars="200"/>
        <w:outlineLvl w:val="2"/>
        <w:rPr>
          <w:rFonts w:ascii="仿宋_GB2312" w:hAnsi="宋体" w:eastAsia="仿宋_GB2312" w:cs="宋体"/>
          <w:color w:val="auto"/>
          <w:sz w:val="32"/>
          <w:szCs w:val="32"/>
        </w:rPr>
      </w:pPr>
      <w:bookmarkStart w:id="1" w:name="_Toc46377725"/>
      <w:r>
        <w:rPr>
          <w:rFonts w:hint="eastAsia" w:ascii="楷体_GB2312" w:hAnsi="仿宋" w:eastAsia="楷体_GB2312" w:cs="仿宋"/>
          <w:b/>
          <w:bCs/>
          <w:color w:val="auto"/>
          <w:sz w:val="32"/>
          <w:szCs w:val="32"/>
          <w:shd w:val="clear" w:color="auto" w:fill="FFFFFF"/>
        </w:rPr>
        <w:t>（二）产业实力不断提升</w:t>
      </w:r>
      <w:bookmarkEnd w:id="1"/>
      <w:r>
        <w:rPr>
          <w:rFonts w:hint="eastAsia" w:ascii="楷体_GB2312" w:hAnsi="仿宋" w:eastAsia="楷体_GB2312" w:cs="仿宋"/>
          <w:b/>
          <w:bCs/>
          <w:color w:val="auto"/>
          <w:sz w:val="32"/>
          <w:szCs w:val="32"/>
          <w:shd w:val="clear" w:color="auto" w:fill="FFFFFF"/>
        </w:rPr>
        <w:t>。</w:t>
      </w:r>
      <w:r>
        <w:rPr>
          <w:rFonts w:hint="eastAsia" w:ascii="仿宋_GB2312" w:hAnsi="宋体" w:eastAsia="仿宋_GB2312" w:cs="宋体"/>
          <w:color w:val="auto"/>
          <w:sz w:val="32"/>
          <w:szCs w:val="32"/>
        </w:rPr>
        <w:t>三次产业结构由2</w:t>
      </w:r>
      <w:r>
        <w:rPr>
          <w:rFonts w:ascii="仿宋_GB2312" w:hAnsi="宋体" w:eastAsia="仿宋_GB2312" w:cs="宋体"/>
          <w:color w:val="auto"/>
          <w:sz w:val="32"/>
          <w:szCs w:val="32"/>
        </w:rPr>
        <w:t>015</w:t>
      </w:r>
      <w:r>
        <w:rPr>
          <w:rFonts w:hint="eastAsia" w:ascii="仿宋_GB2312" w:hAnsi="宋体" w:eastAsia="仿宋_GB2312" w:cs="宋体"/>
          <w:color w:val="auto"/>
          <w:sz w:val="32"/>
          <w:szCs w:val="32"/>
        </w:rPr>
        <w:t>年的</w:t>
      </w:r>
      <w:r>
        <w:rPr>
          <w:rFonts w:ascii="仿宋_GB2312" w:hAnsi="宋体" w:eastAsia="仿宋_GB2312" w:cs="宋体"/>
          <w:color w:val="auto"/>
          <w:sz w:val="32"/>
          <w:szCs w:val="32"/>
        </w:rPr>
        <w:t>11.9:46.5:41.6</w:t>
      </w:r>
      <w:r>
        <w:rPr>
          <w:rFonts w:hint="eastAsia" w:ascii="仿宋_GB2312" w:hAnsi="宋体" w:eastAsia="仿宋_GB2312" w:cs="宋体"/>
          <w:color w:val="auto"/>
          <w:sz w:val="32"/>
          <w:szCs w:val="32"/>
        </w:rPr>
        <w:t>调整为2</w:t>
      </w:r>
      <w:r>
        <w:rPr>
          <w:rFonts w:ascii="仿宋_GB2312" w:hAnsi="宋体" w:eastAsia="仿宋_GB2312" w:cs="宋体"/>
          <w:color w:val="auto"/>
          <w:sz w:val="32"/>
          <w:szCs w:val="32"/>
        </w:rPr>
        <w:t>019</w:t>
      </w:r>
      <w:r>
        <w:rPr>
          <w:rFonts w:hint="eastAsia" w:ascii="仿宋_GB2312" w:hAnsi="宋体" w:eastAsia="仿宋_GB2312" w:cs="宋体"/>
          <w:color w:val="auto"/>
          <w:sz w:val="32"/>
          <w:szCs w:val="32"/>
        </w:rPr>
        <w:t>年的1</w:t>
      </w:r>
      <w:r>
        <w:rPr>
          <w:rFonts w:ascii="仿宋_GB2312" w:hAnsi="宋体" w:eastAsia="仿宋_GB2312" w:cs="宋体"/>
          <w:color w:val="auto"/>
          <w:sz w:val="32"/>
          <w:szCs w:val="32"/>
        </w:rPr>
        <w:t>0.2</w:t>
      </w:r>
      <w:r>
        <w:rPr>
          <w:rFonts w:hint="eastAsia" w:ascii="仿宋_GB2312" w:hAnsi="宋体" w:eastAsia="仿宋_GB2312" w:cs="宋体"/>
          <w:color w:val="auto"/>
          <w:sz w:val="32"/>
          <w:szCs w:val="32"/>
        </w:rPr>
        <w:t>:</w:t>
      </w:r>
      <w:r>
        <w:rPr>
          <w:rFonts w:ascii="仿宋_GB2312" w:hAnsi="宋体" w:eastAsia="仿宋_GB2312" w:cs="宋体"/>
          <w:color w:val="auto"/>
          <w:sz w:val="32"/>
          <w:szCs w:val="32"/>
        </w:rPr>
        <w:t>42.5</w:t>
      </w:r>
      <w:r>
        <w:rPr>
          <w:rFonts w:hint="eastAsia" w:ascii="仿宋_GB2312" w:hAnsi="宋体" w:eastAsia="仿宋_GB2312" w:cs="宋体"/>
          <w:color w:val="auto"/>
          <w:sz w:val="32"/>
          <w:szCs w:val="32"/>
        </w:rPr>
        <w:t>:</w:t>
      </w:r>
      <w:r>
        <w:rPr>
          <w:rFonts w:ascii="仿宋_GB2312" w:hAnsi="宋体" w:eastAsia="仿宋_GB2312" w:cs="宋体"/>
          <w:color w:val="auto"/>
          <w:sz w:val="32"/>
          <w:szCs w:val="32"/>
        </w:rPr>
        <w:t>47.3</w:t>
      </w:r>
      <w:r>
        <w:rPr>
          <w:rFonts w:hint="eastAsia" w:ascii="仿宋_GB2312" w:hAnsi="宋体" w:eastAsia="仿宋_GB2312" w:cs="宋体"/>
          <w:color w:val="auto"/>
          <w:sz w:val="32"/>
          <w:szCs w:val="32"/>
        </w:rPr>
        <w:t>。农业产业优势突出。临武鸭、临武肉牛、临武柚、临武香芋、临武大冲辣椒等品牌实力不断增强。工业发展势头强劲。2</w:t>
      </w:r>
      <w:r>
        <w:rPr>
          <w:rFonts w:ascii="仿宋_GB2312" w:hAnsi="宋体" w:eastAsia="仿宋_GB2312" w:cs="宋体"/>
          <w:color w:val="auto"/>
          <w:sz w:val="32"/>
          <w:szCs w:val="32"/>
        </w:rPr>
        <w:t>019</w:t>
      </w:r>
      <w:r>
        <w:rPr>
          <w:rFonts w:hint="eastAsia" w:ascii="仿宋_GB2312" w:hAnsi="宋体" w:eastAsia="仿宋_GB2312" w:cs="宋体"/>
          <w:color w:val="auto"/>
          <w:sz w:val="32"/>
          <w:szCs w:val="32"/>
        </w:rPr>
        <w:t>年全县</w:t>
      </w:r>
      <w:r>
        <w:rPr>
          <w:rFonts w:ascii="仿宋_GB2312" w:hAnsi="宋体" w:eastAsia="仿宋_GB2312" w:cs="宋体"/>
          <w:color w:val="auto"/>
          <w:sz w:val="32"/>
          <w:szCs w:val="32"/>
        </w:rPr>
        <w:t>规模工业增加值35亿元，</w:t>
      </w:r>
      <w:r>
        <w:rPr>
          <w:rFonts w:hint="eastAsia" w:ascii="仿宋_GB2312" w:hAnsi="宋体" w:eastAsia="仿宋_GB2312" w:cs="宋体"/>
          <w:color w:val="auto"/>
          <w:sz w:val="32"/>
          <w:szCs w:val="32"/>
        </w:rPr>
        <w:t>形成了特色农副产品加工、</w:t>
      </w:r>
      <w:r>
        <w:rPr>
          <w:rFonts w:ascii="仿宋_GB2312" w:hAnsi="宋体" w:eastAsia="仿宋_GB2312" w:cs="宋体"/>
          <w:color w:val="auto"/>
          <w:sz w:val="32"/>
          <w:szCs w:val="32"/>
        </w:rPr>
        <w:t>新能源装备制造</w:t>
      </w:r>
      <w:r>
        <w:rPr>
          <w:rFonts w:hint="eastAsia" w:ascii="仿宋_GB2312" w:hAnsi="宋体" w:eastAsia="仿宋_GB2312" w:cs="宋体"/>
          <w:color w:val="auto"/>
          <w:sz w:val="32"/>
          <w:szCs w:val="32"/>
        </w:rPr>
        <w:t>、</w:t>
      </w:r>
      <w:r>
        <w:rPr>
          <w:rFonts w:ascii="仿宋_GB2312" w:hAnsi="宋体" w:eastAsia="仿宋_GB2312" w:cs="宋体"/>
          <w:color w:val="auto"/>
          <w:sz w:val="32"/>
          <w:szCs w:val="32"/>
        </w:rPr>
        <w:t>电子信息</w:t>
      </w:r>
      <w:r>
        <w:rPr>
          <w:rFonts w:hint="eastAsia" w:ascii="仿宋_GB2312" w:hAnsi="宋体" w:eastAsia="仿宋_GB2312" w:cs="宋体"/>
          <w:color w:val="auto"/>
          <w:sz w:val="32"/>
          <w:szCs w:val="32"/>
        </w:rPr>
        <w:t>、</w:t>
      </w:r>
      <w:r>
        <w:rPr>
          <w:rFonts w:ascii="仿宋_GB2312" w:hAnsi="宋体" w:eastAsia="仿宋_GB2312" w:cs="宋体"/>
          <w:color w:val="auto"/>
          <w:sz w:val="32"/>
          <w:szCs w:val="32"/>
        </w:rPr>
        <w:t>有色金属精深加工</w:t>
      </w:r>
      <w:r>
        <w:rPr>
          <w:rFonts w:hint="eastAsia" w:ascii="仿宋_GB2312" w:hAnsi="宋体" w:eastAsia="仿宋_GB2312" w:cs="宋体"/>
          <w:color w:val="auto"/>
          <w:sz w:val="32"/>
          <w:szCs w:val="32"/>
        </w:rPr>
        <w:t>、</w:t>
      </w:r>
      <w:r>
        <w:rPr>
          <w:rFonts w:ascii="仿宋_GB2312" w:hAnsi="宋体" w:eastAsia="仿宋_GB2312" w:cs="宋体"/>
          <w:color w:val="auto"/>
          <w:sz w:val="32"/>
          <w:szCs w:val="32"/>
        </w:rPr>
        <w:t>宝玉石等主导产业</w:t>
      </w:r>
      <w:r>
        <w:rPr>
          <w:rFonts w:hint="eastAsia" w:ascii="仿宋_GB2312" w:hAnsi="宋体" w:eastAsia="仿宋_GB2312" w:cs="宋体"/>
          <w:color w:val="auto"/>
          <w:sz w:val="32"/>
          <w:szCs w:val="32"/>
        </w:rPr>
        <w:t>，碳酸钙产业园、宝玉石文化产业园等产业集群加速形成。服务业水平不断增强。2</w:t>
      </w:r>
      <w:r>
        <w:rPr>
          <w:rFonts w:ascii="仿宋_GB2312" w:hAnsi="宋体" w:eastAsia="仿宋_GB2312" w:cs="宋体"/>
          <w:color w:val="auto"/>
          <w:sz w:val="32"/>
          <w:szCs w:val="32"/>
        </w:rPr>
        <w:t>019</w:t>
      </w:r>
      <w:r>
        <w:rPr>
          <w:rFonts w:hint="eastAsia" w:ascii="仿宋_GB2312" w:hAnsi="宋体" w:eastAsia="仿宋_GB2312" w:cs="宋体"/>
          <w:color w:val="auto"/>
          <w:sz w:val="32"/>
          <w:szCs w:val="32"/>
        </w:rPr>
        <w:t>年全县</w:t>
      </w:r>
      <w:r>
        <w:rPr>
          <w:rFonts w:ascii="仿宋_GB2312" w:hAnsi="宋体" w:eastAsia="仿宋_GB2312" w:cs="宋体"/>
          <w:color w:val="auto"/>
          <w:sz w:val="32"/>
          <w:szCs w:val="32"/>
        </w:rPr>
        <w:t>服务业增加值67.3亿元</w:t>
      </w:r>
      <w:r>
        <w:rPr>
          <w:rFonts w:hint="eastAsia" w:ascii="仿宋_GB2312" w:hAnsi="宋体" w:eastAsia="仿宋_GB2312" w:cs="宋体"/>
          <w:color w:val="auto"/>
          <w:sz w:val="32"/>
          <w:szCs w:val="32"/>
        </w:rPr>
        <w:t>，文旅产业快速崛起，西瑶绿谷、通天山等旅游景区知名度不断提升，休闲旅游、碳酸钙、宝石文化产业集聚性不断体现。</w:t>
      </w:r>
    </w:p>
    <w:p w14:paraId="362A1D87">
      <w:pPr>
        <w:spacing w:line="600" w:lineRule="exact"/>
        <w:ind w:firstLine="643" w:firstLineChars="200"/>
        <w:outlineLvl w:val="2"/>
        <w:rPr>
          <w:rFonts w:ascii="仿宋_GB2312" w:hAnsi="宋体" w:eastAsia="仿宋_GB2312" w:cs="宋体"/>
          <w:color w:val="auto"/>
          <w:sz w:val="32"/>
          <w:szCs w:val="32"/>
        </w:rPr>
      </w:pPr>
      <w:bookmarkStart w:id="2" w:name="_Toc46377726"/>
      <w:r>
        <w:rPr>
          <w:rFonts w:hint="eastAsia" w:ascii="楷体_GB2312" w:hAnsi="宋体" w:eastAsia="楷体_GB2312" w:cs="宋体"/>
          <w:b/>
          <w:color w:val="auto"/>
          <w:sz w:val="32"/>
          <w:szCs w:val="32"/>
        </w:rPr>
        <w:t>（三）城乡面貌焕然一新</w:t>
      </w:r>
      <w:bookmarkEnd w:id="2"/>
      <w:r>
        <w:rPr>
          <w:rFonts w:hint="eastAsia" w:ascii="楷体_GB2312" w:hAnsi="宋体" w:eastAsia="楷体_GB2312" w:cs="宋体"/>
          <w:b/>
          <w:color w:val="auto"/>
          <w:sz w:val="32"/>
          <w:szCs w:val="32"/>
        </w:rPr>
        <w:t>。</w:t>
      </w:r>
      <w:r>
        <w:rPr>
          <w:rFonts w:hint="eastAsia" w:ascii="仿宋_GB2312" w:hAnsi="宋体" w:eastAsia="仿宋_GB2312" w:cs="宋体"/>
          <w:color w:val="auto"/>
          <w:sz w:val="32"/>
          <w:szCs w:val="32"/>
        </w:rPr>
        <w:t>城市品位持续提升。积极推进城市提质、美丽乡村、交通提质“五年行动计划”，全面实施临武大道、晴岚路、环城北路等县城主次干道及背街小巷的提质改造工程，完成</w:t>
      </w:r>
      <w:r>
        <w:rPr>
          <w:rFonts w:hint="eastAsia" w:ascii="宋体" w:hAnsi="宋体" w:cs="宋体"/>
          <w:color w:val="auto"/>
          <w:sz w:val="32"/>
          <w:szCs w:val="32"/>
        </w:rPr>
        <w:t>廻</w:t>
      </w:r>
      <w:r>
        <w:rPr>
          <w:rFonts w:hint="eastAsia" w:ascii="仿宋_GB2312" w:hAnsi="仿宋_GB2312" w:eastAsia="仿宋_GB2312" w:cs="仿宋_GB2312"/>
          <w:color w:val="auto"/>
          <w:sz w:val="32"/>
          <w:szCs w:val="32"/>
        </w:rPr>
        <w:t>峰公园</w:t>
      </w:r>
      <w:r>
        <w:rPr>
          <w:rFonts w:hint="eastAsia" w:ascii="仿宋_GB2312" w:hAnsi="宋体" w:eastAsia="仿宋_GB2312" w:cs="宋体"/>
          <w:color w:val="auto"/>
          <w:sz w:val="32"/>
          <w:szCs w:val="32"/>
        </w:rPr>
        <w:t>城区公园改造、黄龙山植物园景观工程，给排水、污水处理的基础设施不断完善，市容市貌及交通秩序明显改善。乡村面貌大为改观。深入开展农村人居环境整治，推动厕所革命，拆除旱厕</w:t>
      </w:r>
      <w:r>
        <w:rPr>
          <w:rFonts w:ascii="仿宋_GB2312" w:hAnsi="宋体" w:eastAsia="仿宋_GB2312" w:cs="宋体"/>
          <w:color w:val="auto"/>
          <w:sz w:val="32"/>
          <w:szCs w:val="32"/>
        </w:rPr>
        <w:t>6900间、改（新）建卫生户厕4513间，新建公厕70间</w:t>
      </w:r>
      <w:r>
        <w:rPr>
          <w:rFonts w:hint="eastAsia" w:ascii="仿宋_GB2312" w:hAnsi="宋体" w:eastAsia="仿宋_GB2312" w:cs="宋体"/>
          <w:color w:val="auto"/>
          <w:sz w:val="32"/>
          <w:szCs w:val="32"/>
        </w:rPr>
        <w:t>，配备农村保洁员</w:t>
      </w:r>
      <w:r>
        <w:rPr>
          <w:rFonts w:ascii="仿宋_GB2312" w:hAnsi="宋体" w:eastAsia="仿宋_GB2312" w:cs="宋体"/>
          <w:color w:val="auto"/>
          <w:sz w:val="32"/>
          <w:szCs w:val="32"/>
        </w:rPr>
        <w:t>850名</w:t>
      </w:r>
      <w:r>
        <w:rPr>
          <w:rFonts w:hint="eastAsia" w:ascii="仿宋_GB2312" w:hAnsi="宋体" w:eastAsia="仿宋_GB2312" w:cs="宋体"/>
          <w:color w:val="auto"/>
          <w:sz w:val="32"/>
          <w:szCs w:val="32"/>
        </w:rPr>
        <w:t>，实施农村生活污水治理、生活垃圾治理、拆违拆旧、规范建房等“十大工程”</w:t>
      </w:r>
      <w:r>
        <w:rPr>
          <w:rFonts w:ascii="仿宋_GB2312" w:hAnsi="宋体" w:eastAsia="仿宋_GB2312" w:cs="宋体"/>
          <w:color w:val="auto"/>
          <w:sz w:val="32"/>
          <w:szCs w:val="32"/>
        </w:rPr>
        <w:t>，城乡垃圾收运覆盖率达80%。</w:t>
      </w:r>
      <w:r>
        <w:rPr>
          <w:rFonts w:hint="eastAsia" w:ascii="仿宋_GB2312" w:hAnsi="宋体" w:eastAsia="仿宋_GB2312" w:cs="宋体"/>
          <w:color w:val="auto"/>
          <w:sz w:val="32"/>
          <w:szCs w:val="32"/>
        </w:rPr>
        <w:t>城乡融合加快推进。临叉公路、楚梓公路等城乡公路建设快速推进，</w:t>
      </w:r>
      <w:r>
        <w:rPr>
          <w:rFonts w:ascii="仿宋_GB2312" w:hAnsi="宋体" w:eastAsia="仿宋_GB2312" w:cs="宋体"/>
          <w:color w:val="auto"/>
          <w:sz w:val="32"/>
          <w:szCs w:val="32"/>
        </w:rPr>
        <w:t>大力实施“四好农村路”、安全饮水、农网改造、光纤入户等“四大工程”，</w:t>
      </w:r>
      <w:r>
        <w:rPr>
          <w:rFonts w:hint="eastAsia" w:ascii="仿宋_GB2312" w:hAnsi="宋体" w:eastAsia="仿宋_GB2312" w:cs="宋体"/>
          <w:color w:val="auto"/>
          <w:sz w:val="32"/>
          <w:szCs w:val="32"/>
        </w:rPr>
        <w:t>县道、乡道硬化率均达</w:t>
      </w:r>
      <w:r>
        <w:rPr>
          <w:rFonts w:ascii="仿宋_GB2312" w:hAnsi="宋体" w:eastAsia="仿宋_GB2312" w:cs="宋体"/>
          <w:color w:val="auto"/>
          <w:sz w:val="32"/>
          <w:szCs w:val="32"/>
        </w:rPr>
        <w:t>100%，通村（组）道路硬化率达96%</w:t>
      </w:r>
      <w:r>
        <w:rPr>
          <w:rFonts w:hint="eastAsia" w:ascii="仿宋_GB2312" w:hAnsi="宋体" w:eastAsia="仿宋_GB2312" w:cs="宋体"/>
          <w:color w:val="auto"/>
          <w:sz w:val="32"/>
          <w:szCs w:val="32"/>
        </w:rPr>
        <w:t>，</w:t>
      </w:r>
      <w:r>
        <w:rPr>
          <w:rFonts w:ascii="仿宋_GB2312" w:hAnsi="宋体" w:eastAsia="仿宋_GB2312" w:cs="宋体"/>
          <w:color w:val="auto"/>
          <w:sz w:val="32"/>
          <w:szCs w:val="32"/>
        </w:rPr>
        <w:t>行政村4G网络信号覆盖率达100%。</w:t>
      </w:r>
      <w:r>
        <w:rPr>
          <w:rFonts w:hint="eastAsia" w:ascii="仿宋_GB2312" w:hAnsi="宋体" w:eastAsia="仿宋_GB2312" w:cs="宋体"/>
          <w:color w:val="auto"/>
          <w:sz w:val="32"/>
          <w:szCs w:val="32"/>
        </w:rPr>
        <w:t>全力推进城乡客运一体化，新建招呼站</w:t>
      </w:r>
      <w:r>
        <w:rPr>
          <w:rFonts w:ascii="仿宋_GB2312" w:hAnsi="宋体" w:eastAsia="仿宋_GB2312" w:cs="宋体"/>
          <w:color w:val="auto"/>
          <w:sz w:val="32"/>
          <w:szCs w:val="32"/>
        </w:rPr>
        <w:t>17个，开通城乡公交线路里程600余公里，全县城乡道路客运网络公交化比率达95.6%</w:t>
      </w:r>
      <w:r>
        <w:rPr>
          <w:rFonts w:hint="eastAsia" w:ascii="仿宋_GB2312" w:hAnsi="宋体" w:eastAsia="仿宋_GB2312" w:cs="宋体"/>
          <w:color w:val="auto"/>
          <w:sz w:val="32"/>
          <w:szCs w:val="32"/>
        </w:rPr>
        <w:t>。</w:t>
      </w:r>
    </w:p>
    <w:p w14:paraId="0FF8A879">
      <w:pPr>
        <w:spacing w:line="600" w:lineRule="exact"/>
        <w:ind w:firstLine="643" w:firstLineChars="200"/>
        <w:outlineLvl w:val="2"/>
        <w:rPr>
          <w:rFonts w:ascii="仿宋_GB2312" w:hAnsi="宋体" w:eastAsia="仿宋_GB2312" w:cs="宋体"/>
          <w:color w:val="auto"/>
          <w:sz w:val="32"/>
          <w:szCs w:val="32"/>
        </w:rPr>
      </w:pPr>
      <w:bookmarkStart w:id="3" w:name="_Toc46377727"/>
      <w:r>
        <w:rPr>
          <w:rFonts w:hint="eastAsia" w:ascii="楷体_GB2312" w:hAnsi="仿宋" w:eastAsia="楷体_GB2312" w:cs="仿宋"/>
          <w:b/>
          <w:bCs/>
          <w:color w:val="auto"/>
          <w:sz w:val="32"/>
          <w:szCs w:val="32"/>
          <w:shd w:val="clear" w:color="auto" w:fill="FFFFFF"/>
        </w:rPr>
        <w:t>（四）民生福祉日益增进</w:t>
      </w:r>
      <w:bookmarkEnd w:id="3"/>
      <w:r>
        <w:rPr>
          <w:rFonts w:hint="eastAsia" w:ascii="楷体_GB2312" w:hAnsi="仿宋" w:eastAsia="楷体_GB2312" w:cs="仿宋"/>
          <w:b/>
          <w:bCs/>
          <w:color w:val="auto"/>
          <w:sz w:val="32"/>
          <w:szCs w:val="32"/>
          <w:shd w:val="clear" w:color="auto" w:fill="FFFFFF"/>
        </w:rPr>
        <w:t>。</w:t>
      </w:r>
      <w:r>
        <w:rPr>
          <w:rFonts w:hint="eastAsia" w:ascii="仿宋_GB2312" w:hAnsi="宋体" w:eastAsia="仿宋_GB2312" w:cs="宋体"/>
          <w:color w:val="auto"/>
          <w:sz w:val="32"/>
          <w:szCs w:val="32"/>
        </w:rPr>
        <w:t>脱贫攻坚稳步推进。围绕精准脱贫，聚焦“六个清零”，高质量完成脱贫攻坚任务，“十三五”以来，累计投入各类脱贫资金6亿元，实现近2万贫困人口稳定脱贫，</w:t>
      </w:r>
      <w:r>
        <w:rPr>
          <w:rFonts w:ascii="仿宋_GB2312" w:hAnsi="宋体" w:eastAsia="仿宋_GB2312" w:cs="宋体"/>
          <w:color w:val="auto"/>
          <w:sz w:val="32"/>
          <w:szCs w:val="32"/>
        </w:rPr>
        <w:t>贫困发生率降至0.33%</w:t>
      </w:r>
      <w:r>
        <w:rPr>
          <w:rFonts w:hint="eastAsia" w:ascii="仿宋_GB2312" w:hAnsi="宋体" w:eastAsia="仿宋_GB2312" w:cs="宋体"/>
          <w:color w:val="auto"/>
          <w:sz w:val="32"/>
          <w:szCs w:val="32"/>
        </w:rPr>
        <w:t>。2</w:t>
      </w:r>
      <w:r>
        <w:rPr>
          <w:rFonts w:ascii="仿宋_GB2312" w:hAnsi="宋体" w:eastAsia="仿宋_GB2312" w:cs="宋体"/>
          <w:color w:val="auto"/>
          <w:sz w:val="32"/>
          <w:szCs w:val="32"/>
        </w:rPr>
        <w:t>019</w:t>
      </w:r>
      <w:r>
        <w:rPr>
          <w:rFonts w:hint="eastAsia" w:ascii="仿宋_GB2312" w:hAnsi="宋体" w:eastAsia="仿宋_GB2312" w:cs="宋体"/>
          <w:color w:val="auto"/>
          <w:sz w:val="32"/>
          <w:szCs w:val="32"/>
        </w:rPr>
        <w:t>年全县城镇居民人均可支配收入</w:t>
      </w:r>
      <w:r>
        <w:rPr>
          <w:rFonts w:ascii="仿宋_GB2312" w:hAnsi="宋体" w:eastAsia="仿宋_GB2312" w:cs="宋体"/>
          <w:color w:val="auto"/>
          <w:sz w:val="32"/>
          <w:szCs w:val="32"/>
        </w:rPr>
        <w:t>30058元，农村居民人均可支配收入14239元</w:t>
      </w:r>
      <w:r>
        <w:rPr>
          <w:rFonts w:hint="eastAsia" w:ascii="仿宋_GB2312" w:hAnsi="宋体" w:eastAsia="仿宋_GB2312" w:cs="宋体"/>
          <w:color w:val="auto"/>
          <w:sz w:val="32"/>
          <w:szCs w:val="32"/>
        </w:rPr>
        <w:t>。教育不断提高。“十三五”以来，全县教育累计投资1</w:t>
      </w:r>
      <w:r>
        <w:rPr>
          <w:rFonts w:ascii="仿宋_GB2312" w:hAnsi="宋体" w:eastAsia="仿宋_GB2312" w:cs="宋体"/>
          <w:color w:val="auto"/>
          <w:sz w:val="32"/>
          <w:szCs w:val="32"/>
        </w:rPr>
        <w:t>6</w:t>
      </w:r>
      <w:r>
        <w:rPr>
          <w:rFonts w:hint="eastAsia" w:ascii="仿宋_GB2312" w:hAnsi="宋体" w:eastAsia="仿宋_GB2312" w:cs="宋体"/>
          <w:color w:val="auto"/>
          <w:sz w:val="32"/>
          <w:szCs w:val="32"/>
        </w:rPr>
        <w:t>亿元新建临武一中和6所小学，改扩建1</w:t>
      </w:r>
      <w:r>
        <w:rPr>
          <w:rFonts w:ascii="仿宋_GB2312" w:hAnsi="宋体" w:eastAsia="仿宋_GB2312" w:cs="宋体"/>
          <w:color w:val="auto"/>
          <w:sz w:val="32"/>
          <w:szCs w:val="32"/>
        </w:rPr>
        <w:t>2</w:t>
      </w:r>
      <w:r>
        <w:rPr>
          <w:rFonts w:hint="eastAsia" w:ascii="仿宋_GB2312" w:hAnsi="宋体" w:eastAsia="仿宋_GB2312" w:cs="宋体"/>
          <w:color w:val="auto"/>
          <w:sz w:val="32"/>
          <w:szCs w:val="32"/>
        </w:rPr>
        <w:t>所小学，有效化解了义务教育大班额问题。</w:t>
      </w:r>
      <w:r>
        <w:rPr>
          <w:rFonts w:ascii="仿宋_GB2312" w:hAnsi="宋体" w:eastAsia="仿宋_GB2312" w:cs="宋体"/>
          <w:color w:val="auto"/>
          <w:sz w:val="32"/>
          <w:szCs w:val="32"/>
        </w:rPr>
        <w:t>顺利通过“国家义务教育发展基本均衡县”复查</w:t>
      </w:r>
      <w:r>
        <w:rPr>
          <w:rFonts w:hint="eastAsia" w:ascii="仿宋_GB2312" w:hAnsi="宋体" w:eastAsia="仿宋_GB2312" w:cs="宋体"/>
          <w:color w:val="auto"/>
          <w:sz w:val="32"/>
          <w:szCs w:val="32"/>
        </w:rPr>
        <w:t>。</w:t>
      </w:r>
      <w:r>
        <w:rPr>
          <w:rFonts w:ascii="仿宋_GB2312" w:hAnsi="宋体" w:eastAsia="仿宋_GB2312" w:cs="宋体"/>
          <w:color w:val="auto"/>
          <w:sz w:val="32"/>
          <w:szCs w:val="32"/>
        </w:rPr>
        <w:t>小学适龄儿童入学率100%</w:t>
      </w:r>
      <w:r>
        <w:rPr>
          <w:rFonts w:hint="eastAsia" w:ascii="仿宋_GB2312" w:hAnsi="宋体" w:eastAsia="仿宋_GB2312" w:cs="宋体"/>
          <w:color w:val="auto"/>
          <w:sz w:val="32"/>
          <w:szCs w:val="32"/>
        </w:rPr>
        <w:t>，学前三年毛入园率、义务教育巩固率、高中阶段毛入学率均达到9</w:t>
      </w:r>
      <w:r>
        <w:rPr>
          <w:rFonts w:ascii="仿宋_GB2312" w:hAnsi="宋体" w:eastAsia="仿宋_GB2312" w:cs="宋体"/>
          <w:color w:val="auto"/>
          <w:sz w:val="32"/>
          <w:szCs w:val="32"/>
        </w:rPr>
        <w:t>5</w:t>
      </w:r>
      <w:r>
        <w:rPr>
          <w:rFonts w:hint="eastAsia" w:ascii="仿宋_GB2312" w:hAnsi="宋体" w:eastAsia="仿宋_GB2312" w:cs="宋体"/>
          <w:color w:val="auto"/>
          <w:sz w:val="32"/>
          <w:szCs w:val="32"/>
        </w:rPr>
        <w:t>%。</w:t>
      </w:r>
      <w:r>
        <w:rPr>
          <w:rFonts w:ascii="仿宋_GB2312" w:hAnsi="宋体" w:eastAsia="仿宋_GB2312" w:cs="宋体"/>
          <w:color w:val="auto"/>
          <w:sz w:val="32"/>
          <w:szCs w:val="32"/>
        </w:rPr>
        <w:t>文化事业亮点纷呈，县融媒体中心正式挂牌成立，梧桐书院全面完工并对外开放。社会保障体系不断完善。</w:t>
      </w:r>
      <w:r>
        <w:rPr>
          <w:rFonts w:hint="eastAsia" w:ascii="仿宋_GB2312" w:hAnsi="宋体" w:eastAsia="仿宋_GB2312" w:cs="宋体"/>
          <w:color w:val="auto"/>
          <w:sz w:val="32"/>
          <w:szCs w:val="32"/>
        </w:rPr>
        <w:t>“十三五”以来新增就业近2万人，</w:t>
      </w:r>
      <w:r>
        <w:rPr>
          <w:rFonts w:ascii="仿宋_GB2312" w:hAnsi="宋体" w:eastAsia="仿宋_GB2312" w:cs="宋体"/>
          <w:color w:val="auto"/>
          <w:sz w:val="32"/>
          <w:szCs w:val="32"/>
        </w:rPr>
        <w:t>村劳动力转移就业1</w:t>
      </w:r>
      <w:r>
        <w:rPr>
          <w:rFonts w:hint="eastAsia" w:ascii="仿宋_GB2312" w:hAnsi="宋体" w:eastAsia="仿宋_GB2312" w:cs="宋体"/>
          <w:color w:val="auto"/>
          <w:sz w:val="32"/>
          <w:szCs w:val="32"/>
        </w:rPr>
        <w:t>万余人，2</w:t>
      </w:r>
      <w:r>
        <w:rPr>
          <w:rFonts w:ascii="仿宋_GB2312" w:hAnsi="宋体" w:eastAsia="仿宋_GB2312" w:cs="宋体"/>
          <w:color w:val="auto"/>
          <w:sz w:val="32"/>
          <w:szCs w:val="32"/>
        </w:rPr>
        <w:t>019</w:t>
      </w:r>
      <w:r>
        <w:rPr>
          <w:rFonts w:hint="eastAsia" w:ascii="仿宋_GB2312" w:hAnsi="宋体" w:eastAsia="仿宋_GB2312" w:cs="宋体"/>
          <w:color w:val="auto"/>
          <w:sz w:val="32"/>
          <w:szCs w:val="32"/>
        </w:rPr>
        <w:t>年末城镇登记失业率</w:t>
      </w:r>
      <w:r>
        <w:rPr>
          <w:rFonts w:ascii="仿宋_GB2312" w:hAnsi="宋体" w:eastAsia="仿宋_GB2312" w:cs="宋体"/>
          <w:color w:val="auto"/>
          <w:sz w:val="32"/>
          <w:szCs w:val="32"/>
        </w:rPr>
        <w:t>2.46%，城镇零就业家庭动态就业援助率100%</w:t>
      </w:r>
      <w:r>
        <w:rPr>
          <w:rFonts w:hint="eastAsia" w:ascii="仿宋_GB2312" w:hAnsi="宋体" w:eastAsia="仿宋_GB2312" w:cs="宋体"/>
          <w:color w:val="auto"/>
          <w:sz w:val="32"/>
          <w:szCs w:val="32"/>
        </w:rPr>
        <w:t>。大力推动</w:t>
      </w:r>
      <w:r>
        <w:rPr>
          <w:rFonts w:ascii="仿宋_GB2312" w:hAnsi="宋体" w:eastAsia="仿宋_GB2312" w:cs="宋体"/>
          <w:color w:val="auto"/>
          <w:sz w:val="32"/>
          <w:szCs w:val="32"/>
        </w:rPr>
        <w:t>福溪路保障性安居工程</w:t>
      </w:r>
      <w:r>
        <w:rPr>
          <w:rFonts w:hint="eastAsia" w:ascii="仿宋_GB2312" w:hAnsi="宋体" w:eastAsia="仿宋_GB2312" w:cs="宋体"/>
          <w:color w:val="auto"/>
          <w:sz w:val="32"/>
          <w:szCs w:val="32"/>
        </w:rPr>
        <w:t>，完成</w:t>
      </w:r>
      <w:r>
        <w:rPr>
          <w:rFonts w:ascii="仿宋_GB2312" w:hAnsi="宋体" w:eastAsia="仿宋_GB2312" w:cs="宋体"/>
          <w:color w:val="auto"/>
          <w:sz w:val="32"/>
          <w:szCs w:val="32"/>
        </w:rPr>
        <w:t>312套公租房分配</w:t>
      </w:r>
      <w:r>
        <w:rPr>
          <w:rFonts w:hint="eastAsia" w:ascii="仿宋_GB2312" w:hAnsi="宋体" w:eastAsia="仿宋_GB2312" w:cs="宋体"/>
          <w:color w:val="auto"/>
          <w:sz w:val="32"/>
          <w:szCs w:val="32"/>
        </w:rPr>
        <w:t>。</w:t>
      </w:r>
      <w:r>
        <w:rPr>
          <w:rFonts w:ascii="仿宋_GB2312" w:hAnsi="宋体" w:eastAsia="仿宋_GB2312" w:cs="宋体"/>
          <w:color w:val="auto"/>
          <w:sz w:val="32"/>
          <w:szCs w:val="32"/>
        </w:rPr>
        <w:t>社会救助体系进一步完善，村级“儿童之家”建设覆盖率达80%。残疾人“两项补贴”、城乡低保标准全面提标，城乡居民养老保险参保率达100%。</w:t>
      </w:r>
      <w:r>
        <w:rPr>
          <w:rFonts w:hint="eastAsia" w:ascii="仿宋_GB2312" w:hAnsi="宋体" w:eastAsia="仿宋_GB2312" w:cs="宋体"/>
          <w:color w:val="auto"/>
          <w:sz w:val="32"/>
          <w:szCs w:val="32"/>
        </w:rPr>
        <w:t>医疗卫生服务体系不断完善。全县共有医疗卫生机构</w:t>
      </w:r>
      <w:r>
        <w:rPr>
          <w:rFonts w:ascii="仿宋_GB2312" w:hAnsi="宋体" w:eastAsia="仿宋_GB2312" w:cs="宋体"/>
          <w:color w:val="auto"/>
          <w:sz w:val="32"/>
          <w:szCs w:val="32"/>
        </w:rPr>
        <w:t>363家，</w:t>
      </w:r>
      <w:r>
        <w:rPr>
          <w:rFonts w:hint="eastAsia" w:ascii="仿宋_GB2312" w:hAnsi="宋体" w:eastAsia="仿宋_GB2312" w:cs="宋体"/>
          <w:color w:val="auto"/>
          <w:sz w:val="32"/>
          <w:szCs w:val="32"/>
        </w:rPr>
        <w:t>卫生技术人员1336人，就医环境不断改善，启动县人民医院、县中医院整体搬迁，紧密型医联体、分级诊疗建设有序推进，全面消除卫生室“空白村”。</w:t>
      </w:r>
      <w:r>
        <w:rPr>
          <w:rFonts w:ascii="仿宋_GB2312" w:hAnsi="宋体" w:eastAsia="仿宋_GB2312" w:cs="宋体"/>
          <w:color w:val="auto"/>
          <w:sz w:val="32"/>
          <w:szCs w:val="32"/>
        </w:rPr>
        <w:t>病媒</w:t>
      </w:r>
      <w:r>
        <w:rPr>
          <w:rFonts w:hint="eastAsia" w:ascii="仿宋_GB2312" w:hAnsi="宋体" w:eastAsia="仿宋_GB2312" w:cs="宋体"/>
          <w:color w:val="auto"/>
          <w:sz w:val="32"/>
          <w:szCs w:val="32"/>
          <w:lang w:eastAsia="zh-CN"/>
        </w:rPr>
        <w:t>生物防治</w:t>
      </w:r>
      <w:r>
        <w:rPr>
          <w:rFonts w:ascii="仿宋_GB2312" w:hAnsi="宋体" w:eastAsia="仿宋_GB2312" w:cs="宋体"/>
          <w:color w:val="auto"/>
          <w:sz w:val="32"/>
          <w:szCs w:val="32"/>
        </w:rPr>
        <w:t>和传染病防治工作成效显著，灭蟑工作顺利通过C级标准复查验收。2019年成功创建国家卫生县城，全县卫生厕所普及率达到85%。</w:t>
      </w:r>
    </w:p>
    <w:p w14:paraId="46F5B8F8">
      <w:pPr>
        <w:spacing w:line="600" w:lineRule="exact"/>
        <w:ind w:firstLine="643" w:firstLineChars="200"/>
        <w:outlineLvl w:val="2"/>
        <w:rPr>
          <w:rFonts w:ascii="仿宋_GB2312" w:hAnsi="宋体" w:eastAsia="仿宋_GB2312" w:cs="宋体"/>
          <w:color w:val="auto"/>
          <w:sz w:val="32"/>
          <w:szCs w:val="32"/>
        </w:rPr>
      </w:pPr>
      <w:bookmarkStart w:id="4" w:name="_Toc46377728"/>
      <w:r>
        <w:rPr>
          <w:rFonts w:hint="eastAsia" w:ascii="楷体_GB2312" w:hAnsi="仿宋" w:eastAsia="楷体_GB2312" w:cs="仿宋"/>
          <w:b/>
          <w:bCs/>
          <w:color w:val="auto"/>
          <w:sz w:val="32"/>
          <w:szCs w:val="32"/>
          <w:shd w:val="clear" w:color="auto" w:fill="FFFFFF"/>
        </w:rPr>
        <w:t>（五）</w:t>
      </w:r>
      <w:r>
        <w:rPr>
          <w:rFonts w:hint="eastAsia" w:ascii="楷体_GB2312" w:hAnsi="仿宋" w:eastAsia="楷体_GB2312" w:cs="仿宋"/>
          <w:b/>
          <w:bCs/>
          <w:color w:val="auto"/>
          <w:sz w:val="32"/>
          <w:szCs w:val="32"/>
          <w:shd w:val="clear" w:color="auto" w:fill="FFFFFF"/>
          <w:lang w:eastAsia="zh-CN"/>
        </w:rPr>
        <w:t>改革开放</w:t>
      </w:r>
      <w:r>
        <w:rPr>
          <w:rFonts w:hint="eastAsia" w:ascii="楷体_GB2312" w:hAnsi="仿宋" w:eastAsia="楷体_GB2312" w:cs="仿宋"/>
          <w:b/>
          <w:bCs/>
          <w:color w:val="auto"/>
          <w:sz w:val="32"/>
          <w:szCs w:val="32"/>
          <w:shd w:val="clear" w:color="auto" w:fill="FFFFFF"/>
        </w:rPr>
        <w:t>稳步推进</w:t>
      </w:r>
      <w:bookmarkEnd w:id="4"/>
      <w:r>
        <w:rPr>
          <w:rFonts w:hint="eastAsia" w:ascii="楷体_GB2312" w:hAnsi="仿宋" w:eastAsia="楷体_GB2312" w:cs="仿宋"/>
          <w:b/>
          <w:bCs/>
          <w:color w:val="auto"/>
          <w:sz w:val="32"/>
          <w:szCs w:val="32"/>
          <w:shd w:val="clear" w:color="auto" w:fill="FFFFFF"/>
        </w:rPr>
        <w:t>。</w:t>
      </w:r>
      <w:r>
        <w:rPr>
          <w:rFonts w:hint="eastAsia" w:ascii="仿宋_GB2312" w:hAnsi="宋体" w:eastAsia="仿宋_GB2312" w:cs="宋体"/>
          <w:color w:val="auto"/>
          <w:sz w:val="32"/>
          <w:szCs w:val="32"/>
        </w:rPr>
        <w:t>持续推动重点领域改革。以供给侧结构性改革</w:t>
      </w:r>
      <w:r>
        <w:rPr>
          <w:rFonts w:ascii="仿宋_GB2312" w:hAnsi="宋体" w:eastAsia="仿宋_GB2312" w:cs="宋体"/>
          <w:color w:val="auto"/>
          <w:sz w:val="32"/>
          <w:szCs w:val="32"/>
        </w:rPr>
        <w:t>为主线，全面落实“三去一降一补”任务，</w:t>
      </w:r>
      <w:r>
        <w:rPr>
          <w:rFonts w:hint="eastAsia" w:ascii="仿宋_GB2312" w:hAnsi="宋体" w:eastAsia="仿宋_GB2312" w:cs="宋体"/>
          <w:color w:val="auto"/>
          <w:sz w:val="32"/>
          <w:szCs w:val="32"/>
        </w:rPr>
        <w:t>“十三五”以来</w:t>
      </w:r>
      <w:r>
        <w:rPr>
          <w:rFonts w:ascii="仿宋_GB2312" w:hAnsi="宋体" w:eastAsia="仿宋_GB2312" w:cs="宋体"/>
          <w:color w:val="auto"/>
          <w:sz w:val="32"/>
          <w:szCs w:val="32"/>
        </w:rPr>
        <w:t>万元GDP能耗</w:t>
      </w:r>
      <w:r>
        <w:rPr>
          <w:rFonts w:hint="eastAsia" w:ascii="仿宋_GB2312" w:hAnsi="宋体" w:eastAsia="仿宋_GB2312" w:cs="宋体"/>
          <w:color w:val="auto"/>
          <w:sz w:val="32"/>
          <w:szCs w:val="32"/>
        </w:rPr>
        <w:t>下降超过1</w:t>
      </w:r>
      <w:r>
        <w:rPr>
          <w:rFonts w:ascii="仿宋_GB2312" w:hAnsi="宋体" w:eastAsia="仿宋_GB2312" w:cs="宋体"/>
          <w:color w:val="auto"/>
          <w:sz w:val="32"/>
          <w:szCs w:val="32"/>
        </w:rPr>
        <w:t>5</w:t>
      </w:r>
      <w:r>
        <w:rPr>
          <w:rFonts w:hint="eastAsia" w:ascii="仿宋_GB2312" w:hAnsi="宋体" w:eastAsia="仿宋_GB2312" w:cs="宋体"/>
          <w:color w:val="auto"/>
          <w:sz w:val="32"/>
          <w:szCs w:val="32"/>
        </w:rPr>
        <w:t>%；坚决淘汰落后产能，水东、振兴、长坪岭等一批煤矿关闭、改制，完成造纸落后设备的淘汰整改，对工业企业燃煤锅炉全面改造升级；全面落实减税降费政策，全县民营企业综合税费降低</w:t>
      </w:r>
      <w:r>
        <w:rPr>
          <w:rFonts w:ascii="仿宋_GB2312" w:hAnsi="宋体" w:eastAsia="仿宋_GB2312" w:cs="宋体"/>
          <w:color w:val="auto"/>
          <w:sz w:val="32"/>
          <w:szCs w:val="32"/>
        </w:rPr>
        <w:t>3%，行政事业性收费减少60%</w:t>
      </w:r>
      <w:r>
        <w:rPr>
          <w:rFonts w:hint="eastAsia" w:ascii="仿宋_GB2312" w:hAnsi="宋体" w:eastAsia="仿宋_GB2312" w:cs="宋体"/>
          <w:color w:val="auto"/>
          <w:sz w:val="32"/>
          <w:szCs w:val="32"/>
        </w:rPr>
        <w:t>；实行商品房预售资金监管制度，有效遏制房地产市场乱象，推进房地产历史遗留问题专项整治。深化商事登记制度和一照一码、多证合一改革；推动香花岭“三供一业”改革。创新投融资体制改革，与中国工商银行总行签订投资集成服务协议，成立规模</w:t>
      </w:r>
      <w:r>
        <w:rPr>
          <w:rFonts w:ascii="仿宋_GB2312" w:hAnsi="宋体" w:eastAsia="仿宋_GB2312" w:cs="宋体"/>
          <w:color w:val="auto"/>
          <w:sz w:val="32"/>
          <w:szCs w:val="32"/>
        </w:rPr>
        <w:t>30亿元的“恒源绿色产业投资基金”</w:t>
      </w:r>
      <w:r>
        <w:rPr>
          <w:rFonts w:hint="eastAsia" w:ascii="仿宋_GB2312" w:hAnsi="宋体" w:eastAsia="仿宋_GB2312" w:cs="宋体"/>
          <w:color w:val="auto"/>
          <w:sz w:val="32"/>
          <w:szCs w:val="32"/>
        </w:rPr>
        <w:t>。城乡居民医保改革全面完成，县级公立医院综合改革纵深推进，药品价格平均降幅达到</w:t>
      </w:r>
      <w:r>
        <w:rPr>
          <w:rFonts w:ascii="仿宋_GB2312" w:hAnsi="宋体" w:eastAsia="仿宋_GB2312" w:cs="宋体"/>
          <w:color w:val="auto"/>
          <w:sz w:val="32"/>
          <w:szCs w:val="32"/>
        </w:rPr>
        <w:t>20%以上。</w:t>
      </w:r>
      <w:r>
        <w:rPr>
          <w:rFonts w:hint="eastAsia" w:ascii="仿宋_GB2312" w:hAnsi="宋体" w:eastAsia="仿宋_GB2312" w:cs="宋体"/>
          <w:color w:val="auto"/>
          <w:sz w:val="32"/>
          <w:szCs w:val="32"/>
        </w:rPr>
        <w:t>农村土地确权颁证、农村集体产权制度改革、农村土地“三权分置”</w:t>
      </w:r>
      <w:r>
        <w:rPr>
          <w:rFonts w:ascii="仿宋_GB2312" w:hAnsi="宋体" w:eastAsia="仿宋_GB2312" w:cs="宋体"/>
          <w:color w:val="auto"/>
          <w:sz w:val="32"/>
          <w:szCs w:val="32"/>
        </w:rPr>
        <w:t>工作稳步推进</w:t>
      </w:r>
      <w:r>
        <w:rPr>
          <w:rFonts w:hint="eastAsia" w:ascii="仿宋_GB2312" w:hAnsi="宋体" w:eastAsia="仿宋_GB2312" w:cs="宋体"/>
          <w:color w:val="auto"/>
          <w:sz w:val="32"/>
          <w:szCs w:val="32"/>
        </w:rPr>
        <w:t>。国有林场改革进一步深化。“临武供销改革模式”获全省推介，被评选为全市十大优秀改革案例，县供销合作社被评为全国供销合作社综合改革试点工作先进单位。</w:t>
      </w:r>
    </w:p>
    <w:p w14:paraId="3D18025C">
      <w:pPr>
        <w:spacing w:line="600" w:lineRule="exact"/>
        <w:ind w:firstLine="643" w:firstLineChars="200"/>
        <w:outlineLvl w:val="2"/>
        <w:rPr>
          <w:rFonts w:ascii="仿宋_GB2312" w:hAnsi="宋体" w:eastAsia="仿宋_GB2312" w:cs="宋体"/>
          <w:color w:val="auto"/>
          <w:sz w:val="32"/>
          <w:szCs w:val="32"/>
        </w:rPr>
      </w:pPr>
      <w:bookmarkStart w:id="5" w:name="_Toc46377729"/>
      <w:r>
        <w:rPr>
          <w:rFonts w:hint="eastAsia" w:ascii="楷体_GB2312" w:hAnsi="仿宋" w:eastAsia="楷体_GB2312" w:cs="仿宋"/>
          <w:b/>
          <w:bCs/>
          <w:color w:val="auto"/>
          <w:sz w:val="32"/>
          <w:szCs w:val="32"/>
          <w:shd w:val="clear" w:color="auto" w:fill="FFFFFF"/>
        </w:rPr>
        <w:t>（六）生态环境持续改善</w:t>
      </w:r>
      <w:bookmarkEnd w:id="5"/>
      <w:r>
        <w:rPr>
          <w:rFonts w:hint="eastAsia" w:ascii="楷体_GB2312" w:hAnsi="仿宋" w:eastAsia="楷体_GB2312" w:cs="仿宋"/>
          <w:b/>
          <w:bCs/>
          <w:color w:val="auto"/>
          <w:sz w:val="32"/>
          <w:szCs w:val="32"/>
          <w:shd w:val="clear" w:color="auto" w:fill="FFFFFF"/>
        </w:rPr>
        <w:t>。</w:t>
      </w:r>
      <w:r>
        <w:rPr>
          <w:rFonts w:hint="eastAsia" w:ascii="仿宋_GB2312" w:hAnsi="宋体" w:eastAsia="仿宋_GB2312" w:cs="宋体"/>
          <w:color w:val="auto"/>
          <w:sz w:val="32"/>
          <w:szCs w:val="32"/>
        </w:rPr>
        <w:t>坚定“绿水青山就是金山银山”的发展理念，大力实施“生态临武建设四年行动计划”，全面推进</w:t>
      </w:r>
      <w:r>
        <w:rPr>
          <w:rFonts w:ascii="仿宋_GB2312" w:hAnsi="宋体" w:eastAsia="仿宋_GB2312" w:cs="宋体"/>
          <w:color w:val="auto"/>
          <w:sz w:val="32"/>
          <w:szCs w:val="32"/>
        </w:rPr>
        <w:t>生态文明建设及“五边绿化”</w:t>
      </w:r>
      <w:r>
        <w:rPr>
          <w:rFonts w:hint="eastAsia" w:ascii="仿宋_GB2312" w:hAnsi="宋体" w:eastAsia="仿宋_GB2312" w:cs="宋体"/>
          <w:color w:val="auto"/>
          <w:sz w:val="32"/>
          <w:szCs w:val="32"/>
        </w:rPr>
        <w:t>等，积极推动封山育林、禁伐、退耕还林还湿，“十三五”以来累计实现封山育林</w:t>
      </w:r>
      <w:r>
        <w:rPr>
          <w:rFonts w:ascii="仿宋_GB2312" w:hAnsi="宋体" w:eastAsia="仿宋_GB2312" w:cs="宋体"/>
          <w:color w:val="auto"/>
          <w:sz w:val="32"/>
          <w:szCs w:val="32"/>
        </w:rPr>
        <w:t>8.5万亩，人工造林2.72万亩，森林覆盖率达60.13%。</w:t>
      </w:r>
      <w:r>
        <w:rPr>
          <w:rFonts w:hint="eastAsia" w:ascii="仿宋_GB2312" w:hAnsi="宋体" w:eastAsia="仿宋_GB2312" w:cs="宋体"/>
          <w:color w:val="auto"/>
          <w:sz w:val="32"/>
          <w:szCs w:val="32"/>
        </w:rPr>
        <w:t>坚决打赢污染防治攻坚战，完成2</w:t>
      </w:r>
      <w:r>
        <w:rPr>
          <w:rFonts w:ascii="仿宋_GB2312" w:hAnsi="宋体" w:eastAsia="仿宋_GB2312" w:cs="宋体"/>
          <w:color w:val="auto"/>
          <w:sz w:val="32"/>
          <w:szCs w:val="32"/>
        </w:rPr>
        <w:t>4</w:t>
      </w:r>
      <w:r>
        <w:rPr>
          <w:rFonts w:hint="eastAsia" w:ascii="仿宋_GB2312" w:hAnsi="宋体" w:eastAsia="仿宋_GB2312" w:cs="宋体"/>
          <w:color w:val="auto"/>
          <w:sz w:val="32"/>
          <w:szCs w:val="32"/>
        </w:rPr>
        <w:t>个重金属污染治理项目，加快推动</w:t>
      </w:r>
      <w:r>
        <w:rPr>
          <w:rFonts w:ascii="仿宋_GB2312" w:hAnsi="宋体" w:eastAsia="仿宋_GB2312" w:cs="宋体"/>
          <w:color w:val="auto"/>
          <w:sz w:val="32"/>
          <w:szCs w:val="32"/>
        </w:rPr>
        <w:t>三十六湾、香花岭矿区重金属污染治理项目，两江口至浸漕河段重金属污染治理项目基本完成复绿工程，陶家河治理项目（临武段）二、三、四标段工程已全面完工，一标段已完成50%以上。三十六湾矿区山水林田湖草生态环境修复工程试点项目开工实施。全年环境空气质量优良率96.4%，全市排名第三，位居全省前列。</w:t>
      </w:r>
      <w:r>
        <w:rPr>
          <w:rFonts w:hint="eastAsia" w:ascii="仿宋_GB2312" w:hAnsi="宋体" w:eastAsia="仿宋_GB2312" w:cs="宋体"/>
          <w:color w:val="auto"/>
          <w:sz w:val="32"/>
          <w:szCs w:val="32"/>
        </w:rPr>
        <w:t>扎实开展“生态功能县”建设，生态红线划定、第二次全国污染源普查工作顺利完成。</w:t>
      </w:r>
    </w:p>
    <w:p w14:paraId="26E532EF">
      <w:pPr>
        <w:spacing w:line="600" w:lineRule="exact"/>
        <w:ind w:firstLine="643" w:firstLineChars="200"/>
        <w:outlineLvl w:val="2"/>
        <w:rPr>
          <w:rFonts w:hint="eastAsia" w:ascii="仿宋_GB2312" w:hAnsi="宋体" w:eastAsia="仿宋_GB2312" w:cs="宋体"/>
          <w:color w:val="auto"/>
          <w:sz w:val="32"/>
          <w:szCs w:val="32"/>
        </w:rPr>
      </w:pPr>
      <w:bookmarkStart w:id="6" w:name="_Toc46377730"/>
      <w:r>
        <w:rPr>
          <w:rFonts w:hint="eastAsia" w:ascii="楷体_GB2312" w:hAnsi="仿宋" w:eastAsia="楷体_GB2312" w:cs="仿宋"/>
          <w:b/>
          <w:bCs/>
          <w:color w:val="auto"/>
          <w:sz w:val="32"/>
          <w:szCs w:val="32"/>
          <w:shd w:val="clear" w:color="auto" w:fill="FFFFFF"/>
        </w:rPr>
        <w:t>（七）法治建设稳步推进</w:t>
      </w:r>
      <w:bookmarkEnd w:id="6"/>
      <w:r>
        <w:rPr>
          <w:rFonts w:hint="eastAsia" w:ascii="楷体_GB2312" w:hAnsi="仿宋" w:eastAsia="楷体_GB2312" w:cs="仿宋"/>
          <w:b/>
          <w:bCs/>
          <w:color w:val="auto"/>
          <w:sz w:val="32"/>
          <w:szCs w:val="32"/>
          <w:shd w:val="clear" w:color="auto" w:fill="FFFFFF"/>
        </w:rPr>
        <w:t>。</w:t>
      </w:r>
      <w:r>
        <w:rPr>
          <w:rFonts w:hint="eastAsia" w:ascii="仿宋_GB2312" w:hAnsi="宋体" w:eastAsia="仿宋_GB2312" w:cs="宋体"/>
          <w:color w:val="auto"/>
          <w:sz w:val="32"/>
          <w:szCs w:val="32"/>
        </w:rPr>
        <w:t>加强</w:t>
      </w:r>
      <w:r>
        <w:rPr>
          <w:rFonts w:ascii="仿宋_GB2312" w:hAnsi="宋体" w:eastAsia="仿宋_GB2312" w:cs="宋体"/>
          <w:color w:val="auto"/>
          <w:sz w:val="32"/>
          <w:szCs w:val="32"/>
        </w:rPr>
        <w:t>党风廉政建设</w:t>
      </w:r>
      <w:r>
        <w:rPr>
          <w:rFonts w:hint="eastAsia" w:ascii="仿宋_GB2312" w:hAnsi="宋体" w:eastAsia="仿宋_GB2312" w:cs="宋体"/>
          <w:color w:val="auto"/>
          <w:sz w:val="32"/>
          <w:szCs w:val="32"/>
        </w:rPr>
        <w:t>。积极落实党建工作主体责任，牢固树立“四个意识”，自觉践行“两个维护”，</w:t>
      </w:r>
      <w:r>
        <w:rPr>
          <w:rFonts w:ascii="仿宋_GB2312" w:hAnsi="宋体" w:eastAsia="仿宋_GB2312" w:cs="宋体"/>
          <w:color w:val="auto"/>
          <w:sz w:val="32"/>
          <w:szCs w:val="32"/>
        </w:rPr>
        <w:t>积极开展“作风建设十大专项治理行动”</w:t>
      </w:r>
      <w:r>
        <w:rPr>
          <w:rFonts w:hint="eastAsia" w:ascii="仿宋_GB2312" w:hAnsi="宋体" w:eastAsia="仿宋_GB2312" w:cs="宋体"/>
          <w:color w:val="auto"/>
          <w:sz w:val="32"/>
          <w:szCs w:val="32"/>
        </w:rPr>
        <w:t>，</w:t>
      </w:r>
      <w:r>
        <w:rPr>
          <w:rFonts w:ascii="仿宋_GB2312" w:hAnsi="宋体" w:eastAsia="仿宋_GB2312" w:cs="宋体"/>
          <w:color w:val="auto"/>
          <w:sz w:val="32"/>
          <w:szCs w:val="32"/>
        </w:rPr>
        <w:t>严格落实中央八项规定</w:t>
      </w:r>
      <w:r>
        <w:rPr>
          <w:rFonts w:hint="eastAsia" w:ascii="仿宋_GB2312" w:hAnsi="宋体" w:eastAsia="仿宋_GB2312" w:cs="宋体"/>
          <w:color w:val="auto"/>
          <w:sz w:val="32"/>
          <w:szCs w:val="32"/>
        </w:rPr>
        <w:t>，积极开展“不忘初心、牢记使命”主题教育工作。建设</w:t>
      </w:r>
      <w:r>
        <w:rPr>
          <w:rFonts w:ascii="仿宋_GB2312" w:hAnsi="宋体" w:eastAsia="仿宋_GB2312" w:cs="宋体"/>
          <w:color w:val="auto"/>
          <w:sz w:val="32"/>
          <w:szCs w:val="32"/>
        </w:rPr>
        <w:t>民主法治</w:t>
      </w:r>
      <w:r>
        <w:rPr>
          <w:rFonts w:hint="eastAsia" w:ascii="仿宋_GB2312" w:hAnsi="宋体" w:eastAsia="仿宋_GB2312" w:cs="宋体"/>
          <w:color w:val="auto"/>
          <w:sz w:val="32"/>
          <w:szCs w:val="32"/>
        </w:rPr>
        <w:t>政府。</w:t>
      </w:r>
      <w:r>
        <w:rPr>
          <w:rFonts w:ascii="仿宋_GB2312" w:hAnsi="宋体" w:eastAsia="仿宋_GB2312" w:cs="宋体"/>
          <w:color w:val="auto"/>
          <w:sz w:val="32"/>
          <w:szCs w:val="32"/>
        </w:rPr>
        <w:t>大力推行政府法律顾问制度，实现公共法律服务工作站（点）全覆盖。进一步落实“谁执法谁普法”责任制度，学法考试合格率达100%。自觉</w:t>
      </w:r>
      <w:r>
        <w:rPr>
          <w:rFonts w:hint="eastAsia" w:ascii="仿宋_GB2312" w:hAnsi="宋体" w:eastAsia="仿宋_GB2312" w:cs="宋体"/>
          <w:color w:val="auto"/>
          <w:sz w:val="32"/>
          <w:szCs w:val="32"/>
        </w:rPr>
        <w:t>接受人大、政协监督，定期向人大报告工作，向政协通报情况，人大代表建议</w:t>
      </w:r>
      <w:r>
        <w:rPr>
          <w:rFonts w:ascii="仿宋_GB2312" w:hAnsi="宋体" w:eastAsia="仿宋_GB2312" w:cs="宋体"/>
          <w:color w:val="auto"/>
          <w:sz w:val="32"/>
          <w:szCs w:val="32"/>
        </w:rPr>
        <w:t>、政协提案办复率100%。</w:t>
      </w:r>
      <w:r>
        <w:rPr>
          <w:rFonts w:hint="eastAsia" w:ascii="仿宋_GB2312" w:hAnsi="宋体" w:eastAsia="仿宋_GB2312" w:cs="宋体"/>
          <w:color w:val="auto"/>
          <w:sz w:val="32"/>
          <w:szCs w:val="32"/>
        </w:rPr>
        <w:t>大力推动</w:t>
      </w:r>
      <w:r>
        <w:rPr>
          <w:rFonts w:ascii="仿宋_GB2312" w:hAnsi="宋体" w:eastAsia="仿宋_GB2312" w:cs="宋体"/>
          <w:color w:val="auto"/>
          <w:sz w:val="32"/>
          <w:szCs w:val="32"/>
        </w:rPr>
        <w:t>扫黑除恶专项斗争</w:t>
      </w:r>
      <w:r>
        <w:rPr>
          <w:rFonts w:hint="eastAsia" w:ascii="仿宋_GB2312" w:hAnsi="宋体" w:eastAsia="仿宋_GB2312" w:cs="宋体"/>
          <w:color w:val="auto"/>
          <w:sz w:val="32"/>
          <w:szCs w:val="32"/>
        </w:rPr>
        <w:t>，全力打掉</w:t>
      </w:r>
      <w:r>
        <w:rPr>
          <w:rFonts w:ascii="仿宋_GB2312" w:hAnsi="宋体" w:eastAsia="仿宋_GB2312" w:cs="宋体"/>
          <w:color w:val="auto"/>
          <w:sz w:val="32"/>
          <w:szCs w:val="32"/>
        </w:rPr>
        <w:t>恶势力犯罪团伙</w:t>
      </w:r>
      <w:r>
        <w:rPr>
          <w:rFonts w:hint="eastAsia" w:ascii="仿宋_GB2312" w:hAnsi="宋体" w:eastAsia="仿宋_GB2312" w:cs="宋体"/>
          <w:color w:val="auto"/>
          <w:sz w:val="32"/>
          <w:szCs w:val="32"/>
        </w:rPr>
        <w:t>，加快审理</w:t>
      </w:r>
      <w:r>
        <w:rPr>
          <w:rFonts w:ascii="仿宋_GB2312" w:hAnsi="宋体" w:eastAsia="仿宋_GB2312" w:cs="宋体"/>
          <w:color w:val="auto"/>
          <w:sz w:val="32"/>
          <w:szCs w:val="32"/>
        </w:rPr>
        <w:t>涉黑涉恶类刑事案件</w:t>
      </w:r>
      <w:r>
        <w:rPr>
          <w:rFonts w:hint="eastAsia" w:ascii="仿宋_GB2312" w:hAnsi="宋体" w:eastAsia="仿宋_GB2312" w:cs="宋体"/>
          <w:color w:val="auto"/>
          <w:sz w:val="32"/>
          <w:szCs w:val="32"/>
        </w:rPr>
        <w:t>，大力推动扫毒工作。提升政府</w:t>
      </w:r>
      <w:r>
        <w:rPr>
          <w:rFonts w:ascii="仿宋_GB2312" w:hAnsi="宋体" w:eastAsia="仿宋_GB2312" w:cs="宋体"/>
          <w:color w:val="auto"/>
          <w:sz w:val="32"/>
          <w:szCs w:val="32"/>
        </w:rPr>
        <w:t>行政效能</w:t>
      </w:r>
      <w:r>
        <w:rPr>
          <w:rFonts w:hint="eastAsia" w:ascii="仿宋_GB2312" w:hAnsi="宋体" w:eastAsia="仿宋_GB2312" w:cs="宋体"/>
          <w:color w:val="auto"/>
          <w:sz w:val="32"/>
          <w:szCs w:val="32"/>
        </w:rPr>
        <w:t>。</w:t>
      </w:r>
      <w:r>
        <w:rPr>
          <w:rFonts w:ascii="仿宋_GB2312" w:hAnsi="宋体" w:eastAsia="仿宋_GB2312" w:cs="宋体"/>
          <w:color w:val="auto"/>
          <w:sz w:val="32"/>
          <w:szCs w:val="32"/>
        </w:rPr>
        <w:t>积极推进机构改革，</w:t>
      </w:r>
      <w:r>
        <w:rPr>
          <w:rFonts w:hint="eastAsia" w:ascii="仿宋_GB2312" w:hAnsi="宋体" w:eastAsia="仿宋_GB2312" w:cs="宋体"/>
          <w:color w:val="auto"/>
          <w:sz w:val="32"/>
          <w:szCs w:val="32"/>
        </w:rPr>
        <w:t>完成党、政府机构改革调整工作，进一步优化</w:t>
      </w:r>
      <w:r>
        <w:rPr>
          <w:rFonts w:ascii="仿宋_GB2312" w:hAnsi="宋体" w:eastAsia="仿宋_GB2312" w:cs="宋体"/>
          <w:color w:val="auto"/>
          <w:sz w:val="32"/>
          <w:szCs w:val="32"/>
        </w:rPr>
        <w:t>事业单位机构</w:t>
      </w:r>
      <w:r>
        <w:rPr>
          <w:rFonts w:hint="eastAsia" w:ascii="仿宋_GB2312" w:hAnsi="宋体" w:eastAsia="仿宋_GB2312" w:cs="宋体"/>
          <w:color w:val="auto"/>
          <w:sz w:val="32"/>
          <w:szCs w:val="32"/>
        </w:rPr>
        <w:t>和</w:t>
      </w:r>
      <w:r>
        <w:rPr>
          <w:rFonts w:ascii="仿宋_GB2312" w:hAnsi="宋体" w:eastAsia="仿宋_GB2312" w:cs="宋体"/>
          <w:color w:val="auto"/>
          <w:sz w:val="32"/>
          <w:szCs w:val="32"/>
        </w:rPr>
        <w:t>职能</w:t>
      </w:r>
      <w:r>
        <w:rPr>
          <w:rFonts w:hint="eastAsia" w:ascii="仿宋_GB2312" w:hAnsi="宋体" w:eastAsia="仿宋_GB2312" w:cs="宋体"/>
          <w:color w:val="auto"/>
          <w:sz w:val="32"/>
          <w:szCs w:val="32"/>
        </w:rPr>
        <w:t>，</w:t>
      </w:r>
      <w:r>
        <w:rPr>
          <w:rFonts w:ascii="仿宋_GB2312" w:hAnsi="宋体" w:eastAsia="仿宋_GB2312" w:cs="宋体"/>
          <w:color w:val="auto"/>
          <w:sz w:val="32"/>
          <w:szCs w:val="32"/>
        </w:rPr>
        <w:t>持续</w:t>
      </w:r>
      <w:r>
        <w:rPr>
          <w:rFonts w:hint="eastAsia" w:ascii="仿宋_GB2312" w:hAnsi="宋体" w:eastAsia="仿宋_GB2312" w:cs="宋体"/>
          <w:color w:val="auto"/>
          <w:sz w:val="32"/>
          <w:szCs w:val="32"/>
          <w:lang w:eastAsia="zh-CN"/>
        </w:rPr>
        <w:t>精文简会</w:t>
      </w:r>
      <w:r>
        <w:rPr>
          <w:rFonts w:ascii="仿宋_GB2312" w:hAnsi="宋体" w:eastAsia="仿宋_GB2312" w:cs="宋体"/>
          <w:color w:val="auto"/>
          <w:sz w:val="32"/>
          <w:szCs w:val="32"/>
        </w:rPr>
        <w:t>，规范督查考核，坚决反对和整治形式主义、官僚主</w:t>
      </w:r>
      <w:r>
        <w:rPr>
          <w:rFonts w:hint="eastAsia" w:ascii="仿宋_GB2312" w:hAnsi="宋体" w:eastAsia="仿宋_GB2312" w:cs="宋体"/>
          <w:color w:val="auto"/>
          <w:sz w:val="32"/>
          <w:szCs w:val="32"/>
        </w:rPr>
        <w:t>义，切实减轻基层负担。深化“放管服”</w:t>
      </w:r>
      <w:r>
        <w:rPr>
          <w:rFonts w:ascii="仿宋_GB2312" w:hAnsi="宋体" w:eastAsia="仿宋_GB2312" w:cs="宋体"/>
          <w:color w:val="auto"/>
          <w:sz w:val="32"/>
          <w:szCs w:val="32"/>
        </w:rPr>
        <w:t>改革，强力推进精简行政审批事项，减少行政审批项</w:t>
      </w:r>
      <w:r>
        <w:rPr>
          <w:rFonts w:hint="eastAsia" w:ascii="仿宋_GB2312" w:hAnsi="宋体" w:eastAsia="仿宋_GB2312" w:cs="宋体"/>
          <w:color w:val="auto"/>
          <w:sz w:val="32"/>
          <w:szCs w:val="32"/>
        </w:rPr>
        <w:t>、</w:t>
      </w:r>
      <w:r>
        <w:rPr>
          <w:rFonts w:ascii="仿宋_GB2312" w:hAnsi="宋体" w:eastAsia="仿宋_GB2312" w:cs="宋体"/>
          <w:color w:val="auto"/>
          <w:sz w:val="32"/>
          <w:szCs w:val="32"/>
        </w:rPr>
        <w:t>合并行政许可项。大力推进“互联网+监督”“互联网+政务服务”</w:t>
      </w:r>
      <w:r>
        <w:rPr>
          <w:rFonts w:hint="eastAsia" w:ascii="仿宋_GB2312" w:hAnsi="宋体" w:eastAsia="仿宋_GB2312" w:cs="宋体"/>
          <w:color w:val="auto"/>
          <w:sz w:val="32"/>
          <w:szCs w:val="32"/>
        </w:rPr>
        <w:t>。</w:t>
      </w:r>
    </w:p>
    <w:p w14:paraId="35A7A2B2">
      <w:pPr>
        <w:spacing w:line="600" w:lineRule="exact"/>
        <w:ind w:firstLine="640" w:firstLineChars="200"/>
        <w:rPr>
          <w:rFonts w:eastAsia="黑体"/>
          <w:color w:val="auto"/>
          <w:sz w:val="32"/>
          <w:szCs w:val="32"/>
        </w:rPr>
      </w:pPr>
      <w:r>
        <w:rPr>
          <w:rFonts w:hint="eastAsia" w:eastAsia="黑体"/>
          <w:color w:val="auto"/>
          <w:sz w:val="32"/>
          <w:szCs w:val="32"/>
        </w:rPr>
        <w:t>二</w:t>
      </w:r>
      <w:r>
        <w:rPr>
          <w:rFonts w:eastAsia="黑体"/>
          <w:color w:val="auto"/>
          <w:sz w:val="32"/>
          <w:szCs w:val="32"/>
        </w:rPr>
        <w:t>、</w:t>
      </w:r>
      <w:r>
        <w:rPr>
          <w:rFonts w:hint="eastAsia" w:eastAsia="黑体"/>
          <w:color w:val="auto"/>
          <w:sz w:val="32"/>
          <w:szCs w:val="32"/>
        </w:rPr>
        <w:t>2019年工作完成情况</w:t>
      </w:r>
    </w:p>
    <w:p w14:paraId="48AA992E">
      <w:pPr>
        <w:pStyle w:val="4"/>
        <w:spacing w:before="0" w:beforeAutospacing="0" w:after="0" w:afterAutospacing="0" w:line="600" w:lineRule="exact"/>
        <w:ind w:firstLine="651" w:firstLineChars="200"/>
        <w:rPr>
          <w:rFonts w:hint="eastAsia" w:eastAsia="仿宋_GB2312"/>
          <w:color w:val="auto"/>
          <w:sz w:val="32"/>
          <w:szCs w:val="32"/>
        </w:rPr>
      </w:pPr>
      <w:r>
        <w:rPr>
          <w:rFonts w:hint="eastAsia" w:eastAsia="楷体_GB2312"/>
          <w:b/>
          <w:color w:val="auto"/>
          <w:spacing w:val="2"/>
          <w:sz w:val="32"/>
        </w:rPr>
        <w:t>（一）</w:t>
      </w:r>
      <w:r>
        <w:rPr>
          <w:rFonts w:hint="eastAsia" w:ascii="楷体_GB2312" w:hAnsi="楷体_GB2312" w:eastAsia="楷体_GB2312" w:cs="楷体_GB2312"/>
          <w:b/>
          <w:bCs/>
          <w:color w:val="auto"/>
          <w:sz w:val="32"/>
          <w:szCs w:val="32"/>
          <w:lang w:bidi="ar"/>
        </w:rPr>
        <w:t>固定资产投资。</w:t>
      </w:r>
      <w:r>
        <w:rPr>
          <w:rFonts w:hint="eastAsia" w:ascii="Times New Roman" w:hAnsi="Times New Roman" w:eastAsia="仿宋_GB2312" w:cs="Times New Roman"/>
          <w:color w:val="auto"/>
          <w:sz w:val="32"/>
          <w:szCs w:val="32"/>
        </w:rPr>
        <w:t>2020年，我县固定资产投资的目标计划为同比增长11.2%以上。</w:t>
      </w:r>
      <w:r>
        <w:rPr>
          <w:rFonts w:eastAsia="仿宋_GB2312"/>
          <w:color w:val="auto"/>
          <w:sz w:val="32"/>
          <w:szCs w:val="32"/>
        </w:rPr>
        <w:t>受新冠肺炎疫情、工期缩短、统计制度改革等因素影响，今年来全县投资增长相对</w:t>
      </w:r>
      <w:r>
        <w:rPr>
          <w:rFonts w:hint="eastAsia" w:eastAsia="仿宋_GB2312"/>
          <w:color w:val="auto"/>
          <w:sz w:val="32"/>
          <w:szCs w:val="32"/>
        </w:rPr>
        <w:t>往年有所</w:t>
      </w:r>
      <w:r>
        <w:rPr>
          <w:rFonts w:eastAsia="仿宋_GB2312"/>
          <w:color w:val="auto"/>
          <w:sz w:val="32"/>
          <w:szCs w:val="32"/>
        </w:rPr>
        <w:t>放缓</w:t>
      </w:r>
      <w:r>
        <w:rPr>
          <w:rFonts w:hint="eastAsia" w:eastAsia="仿宋_GB2312"/>
          <w:color w:val="auto"/>
          <w:sz w:val="32"/>
          <w:szCs w:val="32"/>
        </w:rPr>
        <w:t>，但始终处于全市前列。1—8月，我县固定资产投资增幅为8%（预计1—9月增幅为10%），依旧排名全市第二。其中，民间投资同比增长-1.1%，占固定资产投资总额的72.5%；工业投资同比增长11.1%，占固定资产总额37.8%；产业投资同比增长10.19%，占固定资产投资总额的73.3%；5000万以上投资同比增长20.2%。但民间投资和工业投资这两项增幅及占比低于全市平均水平，5000万以下投资、房地产同比增长率均为负数。</w:t>
      </w:r>
    </w:p>
    <w:p w14:paraId="15884592">
      <w:pPr>
        <w:pStyle w:val="4"/>
        <w:spacing w:before="0" w:beforeAutospacing="0" w:after="0" w:afterAutospacing="0" w:line="600" w:lineRule="exact"/>
        <w:rPr>
          <w:rFonts w:hint="eastAsia" w:ascii="Arial" w:hAnsi="Arial" w:cs="Arial"/>
          <w:color w:val="auto"/>
          <w:spacing w:val="8"/>
          <w:sz w:val="26"/>
          <w:szCs w:val="26"/>
          <w:shd w:val="clear" w:color="auto" w:fill="FFFFFF"/>
        </w:rPr>
      </w:pPr>
      <w:r>
        <w:rPr>
          <w:rFonts w:hint="eastAsia" w:eastAsia="楷体_GB2312"/>
          <w:b/>
          <w:color w:val="auto"/>
          <w:spacing w:val="2"/>
          <w:sz w:val="32"/>
        </w:rPr>
        <w:t xml:space="preserve">   （二）</w:t>
      </w:r>
      <w:r>
        <w:rPr>
          <w:rFonts w:eastAsia="楷体_GB2312"/>
          <w:b/>
          <w:color w:val="auto"/>
          <w:spacing w:val="2"/>
          <w:sz w:val="32"/>
        </w:rPr>
        <w:t>项目争资</w:t>
      </w:r>
      <w:r>
        <w:rPr>
          <w:rFonts w:hint="eastAsia" w:eastAsia="楷体_GB2312"/>
          <w:b/>
          <w:color w:val="auto"/>
          <w:spacing w:val="2"/>
          <w:sz w:val="32"/>
        </w:rPr>
        <w:t>工作</w:t>
      </w:r>
      <w:r>
        <w:rPr>
          <w:rFonts w:eastAsia="楷体_GB2312"/>
          <w:b/>
          <w:color w:val="auto"/>
          <w:spacing w:val="2"/>
          <w:sz w:val="32"/>
        </w:rPr>
        <w:t>。</w:t>
      </w:r>
      <w:r>
        <w:rPr>
          <w:rFonts w:hAnsi="仿宋_GB2312" w:eastAsia="仿宋_GB2312" w:cs="仿宋_GB2312"/>
          <w:color w:val="auto"/>
          <w:sz w:val="32"/>
          <w:szCs w:val="32"/>
        </w:rPr>
        <w:t>今年</w:t>
      </w:r>
      <w:r>
        <w:rPr>
          <w:rFonts w:hint="eastAsia" w:hAnsi="仿宋_GB2312" w:eastAsia="仿宋_GB2312" w:cs="仿宋_GB2312"/>
          <w:color w:val="auto"/>
          <w:sz w:val="32"/>
          <w:szCs w:val="32"/>
        </w:rPr>
        <w:t>以来</w:t>
      </w:r>
      <w:r>
        <w:rPr>
          <w:rFonts w:hAnsi="仿宋_GB2312" w:eastAsia="仿宋_GB2312" w:cs="仿宋_GB2312"/>
          <w:color w:val="auto"/>
          <w:sz w:val="32"/>
          <w:szCs w:val="32"/>
        </w:rPr>
        <w:t>，我</w:t>
      </w:r>
      <w:r>
        <w:rPr>
          <w:rFonts w:hint="eastAsia" w:hAnsi="仿宋_GB2312" w:eastAsia="仿宋_GB2312" w:cs="仿宋_GB2312"/>
          <w:color w:val="auto"/>
          <w:sz w:val="32"/>
          <w:szCs w:val="32"/>
        </w:rPr>
        <w:t>县</w:t>
      </w:r>
      <w:r>
        <w:rPr>
          <w:rFonts w:hAnsi="仿宋_GB2312" w:eastAsia="仿宋_GB2312" w:cs="仿宋_GB2312"/>
          <w:color w:val="auto"/>
          <w:sz w:val="32"/>
          <w:szCs w:val="32"/>
        </w:rPr>
        <w:t>各级各部门认真研究和准确把握中省为应对疫情出台的一系列支持性政策措施，特别是扩大专项债规模和投向、新增中央预算内投资项目安排的重大机遇，紧紧围绕重点支持领域和投资方向，抓实项目储备，积极组织申报，稳步推进争资立项工作。截至</w:t>
      </w:r>
      <w:r>
        <w:rPr>
          <w:rFonts w:hint="eastAsia" w:hAnsi="仿宋_GB2312" w:eastAsia="仿宋_GB2312" w:cs="仿宋_GB2312"/>
          <w:color w:val="auto"/>
          <w:sz w:val="32"/>
          <w:szCs w:val="32"/>
        </w:rPr>
        <w:t>9</w:t>
      </w:r>
      <w:r>
        <w:rPr>
          <w:rFonts w:hAnsi="仿宋_GB2312" w:eastAsia="仿宋_GB2312" w:cs="仿宋_GB2312"/>
          <w:color w:val="auto"/>
          <w:sz w:val="32"/>
          <w:szCs w:val="32"/>
        </w:rPr>
        <w:t>月底，</w:t>
      </w:r>
      <w:r>
        <w:rPr>
          <w:rFonts w:hint="eastAsia" w:hAnsi="仿宋_GB2312" w:eastAsia="仿宋_GB2312" w:cs="仿宋_GB2312"/>
          <w:color w:val="auto"/>
          <w:sz w:val="32"/>
          <w:szCs w:val="32"/>
        </w:rPr>
        <w:t>全县共争取到位各类上级资金约22.3亿元，完成全年目标任务22.65亿元的98.5%；其中到位各类项目资金10.95亿元，包括各类债券资金5.549亿元（地方政府专项债券2.59亿元、抗疫特别国债资金0.5亿元，一般债券1.48亿元，再融资债券0.979亿元），各类预算项目资金5.4亿元（财政口预算项目资金4.381亿元，纯发改口中省预算内资金1.02亿元）。其中财政、发改、自然资源、人社、西瑶绿谷等单位已超额完成了年度任务，交通、应急管理、科工等部门也即将完成年度任务。其中纯发改口中省预算内</w:t>
      </w:r>
      <w:r>
        <w:rPr>
          <w:rFonts w:hAnsi="仿宋_GB2312" w:eastAsia="仿宋_GB2312" w:cs="仿宋_GB2312"/>
          <w:color w:val="auto"/>
          <w:sz w:val="32"/>
          <w:szCs w:val="32"/>
        </w:rPr>
        <w:t>资金额度较大的专项主要包括：保障性安居工程及配套基础设施</w:t>
      </w:r>
      <w:r>
        <w:rPr>
          <w:rFonts w:hint="eastAsia" w:hAnsi="仿宋_GB2312" w:eastAsia="仿宋_GB2312" w:cs="仿宋_GB2312"/>
          <w:color w:val="auto"/>
          <w:sz w:val="32"/>
          <w:szCs w:val="32"/>
        </w:rPr>
        <w:t>2635万</w:t>
      </w:r>
      <w:r>
        <w:rPr>
          <w:rFonts w:hAnsi="仿宋_GB2312" w:eastAsia="仿宋_GB2312" w:cs="仿宋_GB2312"/>
          <w:color w:val="auto"/>
          <w:sz w:val="32"/>
          <w:szCs w:val="32"/>
        </w:rPr>
        <w:t>元、水库除险加固</w:t>
      </w:r>
      <w:r>
        <w:rPr>
          <w:rFonts w:hint="eastAsia" w:hAnsi="仿宋_GB2312" w:eastAsia="仿宋_GB2312" w:cs="仿宋_GB2312"/>
          <w:color w:val="auto"/>
          <w:sz w:val="32"/>
          <w:szCs w:val="32"/>
        </w:rPr>
        <w:t>2662</w:t>
      </w:r>
      <w:r>
        <w:rPr>
          <w:rFonts w:hAnsi="仿宋_GB2312" w:eastAsia="仿宋_GB2312" w:cs="仿宋_GB2312"/>
          <w:color w:val="auto"/>
          <w:sz w:val="32"/>
          <w:szCs w:val="32"/>
        </w:rPr>
        <w:t>万元</w:t>
      </w:r>
      <w:r>
        <w:rPr>
          <w:rFonts w:hint="eastAsia" w:hAnsi="仿宋_GB2312" w:eastAsia="仿宋_GB2312" w:cs="仿宋_GB2312"/>
          <w:color w:val="auto"/>
          <w:sz w:val="32"/>
          <w:szCs w:val="32"/>
        </w:rPr>
        <w:t>、</w:t>
      </w:r>
      <w:r>
        <w:rPr>
          <w:rFonts w:hAnsi="仿宋_GB2312" w:eastAsia="仿宋_GB2312" w:cs="仿宋_GB2312"/>
          <w:color w:val="auto"/>
          <w:sz w:val="32"/>
          <w:szCs w:val="32"/>
        </w:rPr>
        <w:t>补短板领域政府支持引导民间投资</w:t>
      </w:r>
      <w:r>
        <w:rPr>
          <w:rFonts w:hint="eastAsia" w:hAnsi="仿宋_GB2312" w:eastAsia="仿宋_GB2312" w:cs="仿宋_GB2312"/>
          <w:color w:val="auto"/>
          <w:sz w:val="32"/>
          <w:szCs w:val="32"/>
        </w:rPr>
        <w:t>780万元、中医院发热门诊改扩建项目900万元、</w:t>
      </w:r>
      <w:r>
        <w:rPr>
          <w:rFonts w:hAnsi="仿宋_GB2312" w:eastAsia="仿宋_GB2312" w:cs="仿宋_GB2312"/>
          <w:color w:val="auto"/>
          <w:sz w:val="32"/>
          <w:szCs w:val="32"/>
        </w:rPr>
        <w:t>农村综合服务平台建设补助资金</w:t>
      </w:r>
      <w:r>
        <w:rPr>
          <w:rFonts w:hint="eastAsia" w:hAnsi="仿宋_GB2312" w:eastAsia="仿宋_GB2312" w:cs="仿宋_GB2312"/>
          <w:color w:val="auto"/>
          <w:sz w:val="32"/>
          <w:szCs w:val="32"/>
        </w:rPr>
        <w:t>440</w:t>
      </w:r>
      <w:r>
        <w:rPr>
          <w:rFonts w:hAnsi="仿宋_GB2312" w:eastAsia="仿宋_GB2312" w:cs="仿宋_GB2312"/>
          <w:color w:val="auto"/>
          <w:sz w:val="32"/>
          <w:szCs w:val="32"/>
        </w:rPr>
        <w:t>万元</w:t>
      </w:r>
      <w:r>
        <w:rPr>
          <w:rFonts w:hint="eastAsia" w:hAnsi="仿宋_GB2312" w:eastAsia="仿宋_GB2312" w:cs="仿宋_GB2312"/>
          <w:color w:val="auto"/>
          <w:sz w:val="32"/>
          <w:szCs w:val="32"/>
        </w:rPr>
        <w:t>，部门切块资金较大的有交通专项11205万元、教育专项</w:t>
      </w:r>
      <w:r>
        <w:rPr>
          <w:rFonts w:hAnsi="仿宋_GB2312" w:eastAsia="仿宋_GB2312" w:cs="仿宋_GB2312"/>
          <w:color w:val="auto"/>
          <w:sz w:val="32"/>
          <w:szCs w:val="32"/>
        </w:rPr>
        <w:t>11154</w:t>
      </w:r>
      <w:r>
        <w:rPr>
          <w:rFonts w:hint="eastAsia" w:hAnsi="仿宋_GB2312" w:eastAsia="仿宋_GB2312" w:cs="仿宋_GB2312"/>
          <w:color w:val="auto"/>
          <w:sz w:val="32"/>
          <w:szCs w:val="32"/>
        </w:rPr>
        <w:t>万元等。</w:t>
      </w:r>
    </w:p>
    <w:p w14:paraId="55AB0D97">
      <w:pPr>
        <w:spacing w:line="600" w:lineRule="exact"/>
        <w:ind w:firstLine="651" w:firstLineChars="200"/>
        <w:rPr>
          <w:rFonts w:hint="eastAsia" w:eastAsia="楷体_GB2312"/>
          <w:b/>
          <w:color w:val="auto"/>
          <w:spacing w:val="2"/>
          <w:kern w:val="0"/>
          <w:sz w:val="32"/>
        </w:rPr>
      </w:pPr>
      <w:r>
        <w:rPr>
          <w:rFonts w:hint="eastAsia" w:eastAsia="楷体_GB2312"/>
          <w:b/>
          <w:color w:val="auto"/>
          <w:spacing w:val="2"/>
          <w:kern w:val="0"/>
          <w:sz w:val="32"/>
        </w:rPr>
        <w:t>（三）“三个推进年”工作。</w:t>
      </w:r>
    </w:p>
    <w:p w14:paraId="38043A65">
      <w:pPr>
        <w:spacing w:line="600" w:lineRule="exact"/>
        <w:ind w:firstLine="648" w:firstLineChars="200"/>
        <w:rPr>
          <w:rFonts w:hAnsi="仿宋_GB2312" w:eastAsia="仿宋_GB2312" w:cs="仿宋_GB2312"/>
          <w:color w:val="auto"/>
          <w:sz w:val="32"/>
          <w:szCs w:val="32"/>
        </w:rPr>
      </w:pPr>
      <w:r>
        <w:rPr>
          <w:rFonts w:hint="eastAsia" w:eastAsia="楷体_GB2312"/>
          <w:color w:val="auto"/>
          <w:spacing w:val="2"/>
          <w:kern w:val="0"/>
          <w:sz w:val="32"/>
        </w:rPr>
        <w:t>1、项目推进情况。</w:t>
      </w:r>
      <w:r>
        <w:rPr>
          <w:rFonts w:hint="eastAsia" w:hAnsi="仿宋_GB2312" w:eastAsia="仿宋_GB2312" w:cs="仿宋_GB2312"/>
          <w:color w:val="auto"/>
          <w:sz w:val="32"/>
          <w:szCs w:val="32"/>
        </w:rPr>
        <w:t>今年全县实施县级重点项目</w:t>
      </w:r>
      <w:r>
        <w:rPr>
          <w:rFonts w:hAnsi="仿宋_GB2312" w:eastAsia="仿宋_GB2312" w:cs="仿宋_GB2312"/>
          <w:color w:val="auto"/>
          <w:sz w:val="32"/>
          <w:szCs w:val="32"/>
        </w:rPr>
        <w:t>96</w:t>
      </w:r>
      <w:r>
        <w:rPr>
          <w:rFonts w:hint="eastAsia" w:hAnsi="仿宋_GB2312" w:eastAsia="仿宋_GB2312" w:cs="仿宋_GB2312"/>
          <w:color w:val="auto"/>
          <w:sz w:val="32"/>
          <w:szCs w:val="32"/>
        </w:rPr>
        <w:t>个，总投资</w:t>
      </w:r>
      <w:r>
        <w:rPr>
          <w:rFonts w:hAnsi="仿宋_GB2312" w:eastAsia="仿宋_GB2312" w:cs="仿宋_GB2312"/>
          <w:color w:val="auto"/>
          <w:sz w:val="32"/>
          <w:szCs w:val="32"/>
        </w:rPr>
        <w:t>615.72</w:t>
      </w:r>
      <w:r>
        <w:rPr>
          <w:rFonts w:hint="eastAsia" w:hAnsi="仿宋_GB2312" w:eastAsia="仿宋_GB2312" w:cs="仿宋_GB2312"/>
          <w:color w:val="auto"/>
          <w:sz w:val="32"/>
          <w:szCs w:val="32"/>
        </w:rPr>
        <w:t>亿元，年度计划投资</w:t>
      </w:r>
      <w:r>
        <w:rPr>
          <w:rFonts w:hAnsi="仿宋_GB2312" w:eastAsia="仿宋_GB2312" w:cs="仿宋_GB2312"/>
          <w:color w:val="auto"/>
          <w:sz w:val="32"/>
          <w:szCs w:val="32"/>
        </w:rPr>
        <w:t>122.64</w:t>
      </w:r>
      <w:r>
        <w:rPr>
          <w:rFonts w:hint="eastAsia" w:hAnsi="仿宋_GB2312" w:eastAsia="仿宋_GB2312" w:cs="仿宋_GB2312"/>
          <w:color w:val="auto"/>
          <w:sz w:val="32"/>
          <w:szCs w:val="32"/>
        </w:rPr>
        <w:t>亿元。其中，产业项目</w:t>
      </w:r>
      <w:r>
        <w:rPr>
          <w:rFonts w:hAnsi="仿宋_GB2312" w:eastAsia="仿宋_GB2312" w:cs="仿宋_GB2312"/>
          <w:color w:val="auto"/>
          <w:sz w:val="32"/>
          <w:szCs w:val="32"/>
        </w:rPr>
        <w:t>58</w:t>
      </w:r>
      <w:r>
        <w:rPr>
          <w:rFonts w:hint="eastAsia" w:hAnsi="仿宋_GB2312" w:eastAsia="仿宋_GB2312" w:cs="仿宋_GB2312"/>
          <w:color w:val="auto"/>
          <w:sz w:val="32"/>
          <w:szCs w:val="32"/>
        </w:rPr>
        <w:t>个，年度计划投资</w:t>
      </w:r>
      <w:r>
        <w:rPr>
          <w:rFonts w:hAnsi="仿宋_GB2312" w:eastAsia="仿宋_GB2312" w:cs="仿宋_GB2312"/>
          <w:color w:val="auto"/>
          <w:sz w:val="32"/>
          <w:szCs w:val="32"/>
        </w:rPr>
        <w:t>91.75</w:t>
      </w:r>
      <w:r>
        <w:rPr>
          <w:rFonts w:hint="eastAsia" w:hAnsi="仿宋_GB2312" w:eastAsia="仿宋_GB2312" w:cs="仿宋_GB2312"/>
          <w:color w:val="auto"/>
          <w:sz w:val="32"/>
          <w:szCs w:val="32"/>
        </w:rPr>
        <w:t>亿元；社会民生类项目</w:t>
      </w:r>
      <w:r>
        <w:rPr>
          <w:rFonts w:hAnsi="仿宋_GB2312" w:eastAsia="仿宋_GB2312" w:cs="仿宋_GB2312"/>
          <w:color w:val="auto"/>
          <w:sz w:val="32"/>
          <w:szCs w:val="32"/>
        </w:rPr>
        <w:t>19</w:t>
      </w:r>
      <w:r>
        <w:rPr>
          <w:rFonts w:hint="eastAsia" w:hAnsi="仿宋_GB2312" w:eastAsia="仿宋_GB2312" w:cs="仿宋_GB2312"/>
          <w:color w:val="auto"/>
          <w:sz w:val="32"/>
          <w:szCs w:val="32"/>
        </w:rPr>
        <w:t>个，年计划投资</w:t>
      </w:r>
      <w:r>
        <w:rPr>
          <w:rFonts w:hAnsi="仿宋_GB2312" w:eastAsia="仿宋_GB2312" w:cs="仿宋_GB2312"/>
          <w:color w:val="auto"/>
          <w:sz w:val="32"/>
          <w:szCs w:val="32"/>
        </w:rPr>
        <w:t>16.19</w:t>
      </w:r>
      <w:r>
        <w:rPr>
          <w:rFonts w:hint="eastAsia" w:hAnsi="仿宋_GB2312" w:eastAsia="仿宋_GB2312" w:cs="仿宋_GB2312"/>
          <w:color w:val="auto"/>
          <w:sz w:val="32"/>
          <w:szCs w:val="32"/>
        </w:rPr>
        <w:t>亿元；基础设施类项目</w:t>
      </w:r>
      <w:r>
        <w:rPr>
          <w:rFonts w:hAnsi="仿宋_GB2312" w:eastAsia="仿宋_GB2312" w:cs="仿宋_GB2312"/>
          <w:color w:val="auto"/>
          <w:sz w:val="32"/>
          <w:szCs w:val="32"/>
        </w:rPr>
        <w:t>14</w:t>
      </w:r>
      <w:r>
        <w:rPr>
          <w:rFonts w:hint="eastAsia" w:hAnsi="仿宋_GB2312" w:eastAsia="仿宋_GB2312" w:cs="仿宋_GB2312"/>
          <w:color w:val="auto"/>
          <w:sz w:val="32"/>
          <w:szCs w:val="32"/>
        </w:rPr>
        <w:t>个，年计划投资</w:t>
      </w:r>
      <w:r>
        <w:rPr>
          <w:rFonts w:hAnsi="仿宋_GB2312" w:eastAsia="仿宋_GB2312" w:cs="仿宋_GB2312"/>
          <w:color w:val="auto"/>
          <w:sz w:val="32"/>
          <w:szCs w:val="32"/>
        </w:rPr>
        <w:t>9.6</w:t>
      </w:r>
      <w:r>
        <w:rPr>
          <w:rFonts w:hint="eastAsia" w:hAnsi="仿宋_GB2312" w:eastAsia="仿宋_GB2312" w:cs="仿宋_GB2312"/>
          <w:color w:val="auto"/>
          <w:sz w:val="32"/>
          <w:szCs w:val="32"/>
        </w:rPr>
        <w:t>亿元，生态环保类项目</w:t>
      </w:r>
      <w:r>
        <w:rPr>
          <w:rFonts w:hAnsi="仿宋_GB2312" w:eastAsia="仿宋_GB2312" w:cs="仿宋_GB2312"/>
          <w:color w:val="auto"/>
          <w:sz w:val="32"/>
          <w:szCs w:val="32"/>
        </w:rPr>
        <w:t>5</w:t>
      </w:r>
      <w:r>
        <w:rPr>
          <w:rFonts w:hint="eastAsia" w:hAnsi="仿宋_GB2312" w:eastAsia="仿宋_GB2312" w:cs="仿宋_GB2312"/>
          <w:color w:val="auto"/>
          <w:sz w:val="32"/>
          <w:szCs w:val="32"/>
        </w:rPr>
        <w:t>个，年计划投资</w:t>
      </w:r>
      <w:r>
        <w:rPr>
          <w:rFonts w:hAnsi="仿宋_GB2312" w:eastAsia="仿宋_GB2312" w:cs="仿宋_GB2312"/>
          <w:color w:val="auto"/>
          <w:sz w:val="32"/>
          <w:szCs w:val="32"/>
        </w:rPr>
        <w:t>5.1</w:t>
      </w:r>
      <w:r>
        <w:rPr>
          <w:rFonts w:hint="eastAsia" w:hAnsi="仿宋_GB2312" w:eastAsia="仿宋_GB2312" w:cs="仿宋_GB2312"/>
          <w:color w:val="auto"/>
          <w:sz w:val="32"/>
          <w:szCs w:val="32"/>
        </w:rPr>
        <w:t>亿元。产业项目数量和投资额度比重均超过总数的</w:t>
      </w:r>
      <w:r>
        <w:rPr>
          <w:rFonts w:hAnsi="仿宋_GB2312" w:eastAsia="仿宋_GB2312" w:cs="仿宋_GB2312"/>
          <w:color w:val="auto"/>
          <w:sz w:val="32"/>
          <w:szCs w:val="32"/>
        </w:rPr>
        <w:t>60%</w:t>
      </w:r>
      <w:r>
        <w:rPr>
          <w:rFonts w:hint="eastAsia" w:hAnsi="仿宋_GB2312" w:eastAsia="仿宋_GB2312" w:cs="仿宋_GB2312"/>
          <w:color w:val="auto"/>
          <w:sz w:val="32"/>
          <w:szCs w:val="32"/>
        </w:rPr>
        <w:t>，充分响应了“产业项目建设年”活动主题。</w:t>
      </w:r>
      <w:r>
        <w:rPr>
          <w:rFonts w:hint="eastAsia" w:hAnsi="仿宋_GB2312" w:eastAsia="仿宋_GB2312" w:cs="仿宋_GB2312"/>
          <w:color w:val="auto"/>
          <w:sz w:val="32"/>
          <w:szCs w:val="32"/>
          <w:lang w:eastAsia="zh-CN"/>
        </w:rPr>
        <w:t>截至</w:t>
      </w:r>
      <w:r>
        <w:rPr>
          <w:rFonts w:hint="eastAsia" w:hAnsi="仿宋_GB2312" w:eastAsia="仿宋_GB2312" w:cs="仿宋_GB2312"/>
          <w:color w:val="auto"/>
          <w:sz w:val="32"/>
          <w:szCs w:val="32"/>
        </w:rPr>
        <w:t>9月份，我县重点项目建设继续保持了良好的发展态势，已完成投资108.89亿元，占年度计划目标任务的88.79</w:t>
      </w:r>
      <w:r>
        <w:rPr>
          <w:rFonts w:hAnsi="仿宋_GB2312" w:eastAsia="仿宋_GB2312" w:cs="仿宋_GB2312"/>
          <w:color w:val="auto"/>
          <w:sz w:val="32"/>
          <w:szCs w:val="32"/>
        </w:rPr>
        <w:t>%</w:t>
      </w:r>
      <w:r>
        <w:rPr>
          <w:rFonts w:hint="eastAsia" w:hAnsi="仿宋_GB2312" w:eastAsia="仿宋_GB2312" w:cs="仿宋_GB2312"/>
          <w:color w:val="auto"/>
          <w:sz w:val="32"/>
          <w:szCs w:val="32"/>
        </w:rPr>
        <w:t>，超时序进度13个百分点。</w:t>
      </w:r>
      <w:r>
        <w:rPr>
          <w:rFonts w:hint="eastAsia" w:ascii="楷体_GB2312" w:hAnsi="仿宋_GB2312" w:eastAsia="楷体_GB2312" w:cs="仿宋_GB2312"/>
          <w:color w:val="auto"/>
          <w:sz w:val="32"/>
          <w:szCs w:val="32"/>
        </w:rPr>
        <w:t>从省 “五个100”项目来看。</w:t>
      </w:r>
      <w:r>
        <w:rPr>
          <w:rFonts w:hint="eastAsia" w:hAnsi="仿宋_GB2312" w:eastAsia="仿宋_GB2312" w:cs="仿宋_GB2312"/>
          <w:color w:val="auto"/>
          <w:sz w:val="32"/>
          <w:szCs w:val="32"/>
        </w:rPr>
        <w:t>今年我县列入省级重大产业项目有两个，分别是碳酸钙精深加工和舜通宝玉石文化产业园建设项目。1-9月碳酸钙精深加工项目完成投资6亿元，占年计划6亿元的100%；舜通宝玉石文化产业园建设项目完成投资7.2亿元，占年计划6亿元的110%，在全市17个“五个100”重点项目中整体排名第4位。</w:t>
      </w:r>
      <w:r>
        <w:rPr>
          <w:rFonts w:hint="eastAsia" w:ascii="楷体_GB2312" w:hAnsi="仿宋_GB2312" w:eastAsia="楷体_GB2312" w:cs="仿宋_GB2312"/>
          <w:color w:val="auto"/>
          <w:sz w:val="32"/>
          <w:szCs w:val="32"/>
        </w:rPr>
        <w:t>从市级重大产业建设项目和重点项目来看。</w:t>
      </w:r>
      <w:r>
        <w:rPr>
          <w:rFonts w:hint="eastAsia" w:hAnsi="仿宋_GB2312" w:eastAsia="仿宋_GB2312" w:cs="仿宋_GB2312"/>
          <w:color w:val="auto"/>
          <w:sz w:val="32"/>
          <w:szCs w:val="32"/>
        </w:rPr>
        <w:t>今年我县市级重大产业建设项目、重点项目有</w:t>
      </w:r>
      <w:r>
        <w:rPr>
          <w:rFonts w:hAnsi="仿宋_GB2312" w:eastAsia="仿宋_GB2312" w:cs="仿宋_GB2312"/>
          <w:color w:val="auto"/>
          <w:sz w:val="32"/>
          <w:szCs w:val="32"/>
        </w:rPr>
        <w:t>31</w:t>
      </w:r>
      <w:r>
        <w:rPr>
          <w:rFonts w:hint="eastAsia" w:hAnsi="仿宋_GB2312" w:eastAsia="仿宋_GB2312" w:cs="仿宋_GB2312"/>
          <w:color w:val="auto"/>
          <w:sz w:val="32"/>
          <w:szCs w:val="32"/>
        </w:rPr>
        <w:t>个，总投资327.08亿元，年计划投资</w:t>
      </w:r>
      <w:r>
        <w:rPr>
          <w:rFonts w:hAnsi="仿宋_GB2312" w:eastAsia="仿宋_GB2312" w:cs="仿宋_GB2312"/>
          <w:color w:val="auto"/>
          <w:sz w:val="32"/>
          <w:szCs w:val="32"/>
        </w:rPr>
        <w:t>73</w:t>
      </w:r>
      <w:r>
        <w:rPr>
          <w:rFonts w:hint="eastAsia" w:hAnsi="仿宋_GB2312" w:eastAsia="仿宋_GB2312" w:cs="仿宋_GB2312"/>
          <w:color w:val="auto"/>
          <w:sz w:val="32"/>
          <w:szCs w:val="32"/>
        </w:rPr>
        <w:t>亿元。</w:t>
      </w:r>
      <w:r>
        <w:rPr>
          <w:rFonts w:hAnsi="仿宋_GB2312" w:eastAsia="仿宋_GB2312" w:cs="仿宋_GB2312"/>
          <w:color w:val="auto"/>
          <w:sz w:val="32"/>
          <w:szCs w:val="32"/>
        </w:rPr>
        <w:t>1—</w:t>
      </w:r>
      <w:r>
        <w:rPr>
          <w:rFonts w:hint="eastAsia" w:hAnsi="仿宋_GB2312" w:eastAsia="仿宋_GB2312" w:cs="仿宋_GB2312"/>
          <w:color w:val="auto"/>
          <w:sz w:val="32"/>
          <w:szCs w:val="32"/>
        </w:rPr>
        <w:t>9月，</w:t>
      </w:r>
      <w:r>
        <w:rPr>
          <w:rFonts w:hAnsi="仿宋_GB2312" w:eastAsia="仿宋_GB2312" w:cs="仿宋_GB2312"/>
          <w:color w:val="auto"/>
          <w:sz w:val="32"/>
          <w:szCs w:val="32"/>
        </w:rPr>
        <w:t>31</w:t>
      </w:r>
      <w:r>
        <w:rPr>
          <w:rFonts w:hint="eastAsia" w:hAnsi="仿宋_GB2312" w:eastAsia="仿宋_GB2312" w:cs="仿宋_GB2312"/>
          <w:color w:val="auto"/>
          <w:sz w:val="32"/>
          <w:szCs w:val="32"/>
        </w:rPr>
        <w:t>个市级重大产业、重点项目（中期调整新增市级重点项目3个为临武县第二水厂（一期）建设项目、湖南九翊云动智能科技有限公司、水韵香塘艺术庄园，调整出市级重点项目1个为临武县球墨铸管业制造项目）完成投资100.64亿元，占年计划的137.86</w:t>
      </w:r>
      <w:r>
        <w:rPr>
          <w:rFonts w:hAnsi="仿宋_GB2312" w:eastAsia="仿宋_GB2312" w:cs="仿宋_GB2312"/>
          <w:color w:val="auto"/>
          <w:sz w:val="32"/>
          <w:szCs w:val="32"/>
        </w:rPr>
        <w:t>%</w:t>
      </w:r>
      <w:r>
        <w:rPr>
          <w:rFonts w:hint="eastAsia" w:hAnsi="仿宋_GB2312" w:eastAsia="仿宋_GB2312" w:cs="仿宋_GB2312"/>
          <w:color w:val="auto"/>
          <w:sz w:val="32"/>
          <w:szCs w:val="32"/>
        </w:rPr>
        <w:t>（其中：市级重点项目</w:t>
      </w:r>
      <w:r>
        <w:rPr>
          <w:rFonts w:hAnsi="仿宋_GB2312" w:eastAsia="仿宋_GB2312" w:cs="仿宋_GB2312"/>
          <w:color w:val="auto"/>
          <w:sz w:val="32"/>
          <w:szCs w:val="32"/>
        </w:rPr>
        <w:t>25</w:t>
      </w:r>
      <w:r>
        <w:rPr>
          <w:rFonts w:hint="eastAsia" w:hAnsi="仿宋_GB2312" w:eastAsia="仿宋_GB2312" w:cs="仿宋_GB2312"/>
          <w:color w:val="auto"/>
          <w:sz w:val="32"/>
          <w:szCs w:val="32"/>
        </w:rPr>
        <w:t>个，完成投资86.75亿元，占年计划</w:t>
      </w:r>
      <w:r>
        <w:rPr>
          <w:rFonts w:hAnsi="仿宋_GB2312" w:eastAsia="仿宋_GB2312" w:cs="仿宋_GB2312"/>
          <w:color w:val="auto"/>
          <w:sz w:val="32"/>
          <w:szCs w:val="32"/>
        </w:rPr>
        <w:t>63.9</w:t>
      </w:r>
      <w:r>
        <w:rPr>
          <w:rFonts w:hint="eastAsia" w:hAnsi="仿宋_GB2312" w:eastAsia="仿宋_GB2312" w:cs="仿宋_GB2312"/>
          <w:color w:val="auto"/>
          <w:sz w:val="32"/>
          <w:szCs w:val="32"/>
        </w:rPr>
        <w:t>亿元的135.76</w:t>
      </w:r>
      <w:r>
        <w:rPr>
          <w:rFonts w:hAnsi="仿宋_GB2312" w:eastAsia="仿宋_GB2312" w:cs="仿宋_GB2312"/>
          <w:color w:val="auto"/>
          <w:sz w:val="32"/>
          <w:szCs w:val="32"/>
        </w:rPr>
        <w:t>%</w:t>
      </w:r>
      <w:r>
        <w:rPr>
          <w:rFonts w:hint="eastAsia" w:hAnsi="仿宋_GB2312" w:eastAsia="仿宋_GB2312" w:cs="仿宋_GB2312"/>
          <w:color w:val="auto"/>
          <w:sz w:val="32"/>
          <w:szCs w:val="32"/>
        </w:rPr>
        <w:t>；市级重大产业项目</w:t>
      </w:r>
      <w:r>
        <w:rPr>
          <w:rFonts w:hAnsi="仿宋_GB2312" w:eastAsia="仿宋_GB2312" w:cs="仿宋_GB2312"/>
          <w:color w:val="auto"/>
          <w:sz w:val="32"/>
          <w:szCs w:val="32"/>
        </w:rPr>
        <w:t>25</w:t>
      </w:r>
      <w:r>
        <w:rPr>
          <w:rFonts w:hint="eastAsia" w:hAnsi="仿宋_GB2312" w:eastAsia="仿宋_GB2312" w:cs="仿宋_GB2312"/>
          <w:color w:val="auto"/>
          <w:sz w:val="32"/>
          <w:szCs w:val="32"/>
        </w:rPr>
        <w:t>个，完成投资85.42亿元，占年计划</w:t>
      </w:r>
      <w:r>
        <w:rPr>
          <w:rFonts w:hAnsi="仿宋_GB2312" w:eastAsia="仿宋_GB2312" w:cs="仿宋_GB2312"/>
          <w:color w:val="auto"/>
          <w:sz w:val="32"/>
          <w:szCs w:val="32"/>
        </w:rPr>
        <w:t>60.1</w:t>
      </w:r>
      <w:r>
        <w:rPr>
          <w:rFonts w:hint="eastAsia" w:hAnsi="仿宋_GB2312" w:eastAsia="仿宋_GB2312" w:cs="仿宋_GB2312"/>
          <w:color w:val="auto"/>
          <w:sz w:val="32"/>
          <w:szCs w:val="32"/>
        </w:rPr>
        <w:t>亿元的142.13</w:t>
      </w:r>
      <w:r>
        <w:rPr>
          <w:rFonts w:hAnsi="仿宋_GB2312" w:eastAsia="仿宋_GB2312" w:cs="仿宋_GB2312"/>
          <w:color w:val="auto"/>
          <w:sz w:val="32"/>
          <w:szCs w:val="32"/>
        </w:rPr>
        <w:t>%</w:t>
      </w:r>
      <w:r>
        <w:rPr>
          <w:rFonts w:hint="eastAsia" w:hAnsi="仿宋_GB2312" w:eastAsia="仿宋_GB2312" w:cs="仿宋_GB2312"/>
          <w:color w:val="auto"/>
          <w:sz w:val="32"/>
          <w:szCs w:val="32"/>
        </w:rPr>
        <w:t>），在上半年全市重大产业项目建设推进工作综合考核中排名第一。</w:t>
      </w:r>
    </w:p>
    <w:p w14:paraId="5EB882FA">
      <w:pPr>
        <w:spacing w:line="600" w:lineRule="exact"/>
        <w:ind w:firstLine="640" w:firstLineChars="200"/>
        <w:rPr>
          <w:rFonts w:hint="eastAsia" w:hAnsi="仿宋_GB2312" w:eastAsia="仿宋_GB2312" w:cs="仿宋_GB2312"/>
          <w:color w:val="auto"/>
          <w:sz w:val="32"/>
          <w:szCs w:val="32"/>
        </w:rPr>
      </w:pPr>
      <w:r>
        <w:rPr>
          <w:rFonts w:hint="eastAsia" w:ascii="楷体_GB2312" w:eastAsia="楷体_GB2312"/>
          <w:color w:val="auto"/>
          <w:sz w:val="32"/>
          <w:szCs w:val="32"/>
        </w:rPr>
        <w:t>2、</w:t>
      </w:r>
      <w:r>
        <w:rPr>
          <w:rFonts w:hint="eastAsia" w:ascii="楷体_GB2312" w:eastAsia="楷体_GB2312"/>
          <w:bCs/>
          <w:color w:val="auto"/>
          <w:kern w:val="0"/>
          <w:sz w:val="32"/>
          <w:szCs w:val="32"/>
        </w:rPr>
        <w:t>产业链精准招商情况。</w:t>
      </w:r>
      <w:r>
        <w:rPr>
          <w:rFonts w:hint="eastAsia" w:hAnsi="仿宋_GB2312" w:eastAsia="仿宋_GB2312" w:cs="仿宋_GB2312"/>
          <w:color w:val="auto"/>
          <w:sz w:val="32"/>
          <w:szCs w:val="32"/>
        </w:rPr>
        <w:t>1－9月份全县完成引进项目19个，完成任务数的237.5%，在全市排第三名；引进资金总额82.1亿元，完成任务的315.77%，在全市排第三名；履约率100%；开工率94.74%；资金到位19.97亿元，到位率24.32%，在排全市第五名。引进世界500强1个（中国华电集团有限公司投资的九泽水风力发电项目，总投资额7亿元）；9月份新增了1个项目，航天凯天科技股份有限公司投资的供排水和村镇污水治理及配套网管建设项目，总投资10.45亿（世界500强）。</w:t>
      </w:r>
    </w:p>
    <w:p w14:paraId="7E0CD2EA">
      <w:pPr>
        <w:widowControl/>
        <w:spacing w:line="600" w:lineRule="exact"/>
        <w:ind w:firstLine="640" w:firstLineChars="200"/>
        <w:rPr>
          <w:rFonts w:hint="eastAsia" w:hAnsi="仿宋_GB2312" w:eastAsia="仿宋_GB2312" w:cs="仿宋_GB2312"/>
          <w:color w:val="auto"/>
          <w:sz w:val="32"/>
          <w:szCs w:val="32"/>
        </w:rPr>
      </w:pPr>
      <w:r>
        <w:rPr>
          <w:rFonts w:hint="eastAsia" w:ascii="楷体_GB2312" w:eastAsia="楷体_GB2312"/>
          <w:color w:val="auto"/>
          <w:sz w:val="32"/>
          <w:szCs w:val="32"/>
        </w:rPr>
        <w:t>3、园区高质量发展情况。</w:t>
      </w:r>
      <w:r>
        <w:rPr>
          <w:rFonts w:hint="eastAsia" w:hAnsi="仿宋_GB2312" w:eastAsia="仿宋_GB2312" w:cs="仿宋_GB2312"/>
          <w:color w:val="auto"/>
          <w:sz w:val="32"/>
          <w:szCs w:val="32"/>
        </w:rPr>
        <w:t>1-9月，园区规模工业占比75.1%，同比增长7.1%；实缴税金2.9101亿元，同比增长22.6%；亩产税收8.46万元，同比增速增长23%；安置就业824个，招商引资签约项目24个，开工项目22个，竣工项目9个。招商小分队累计共外出考察9次，赴深圳、东莞等地考察食品加工、新能源锂电池、电子信息企业近30家，同时接待40多家企业负责人来园区考察。完成土地划拨184.44亩，出让工业用地193.4亩的，完成土地评估194.91亩，48.97亩的住宅用地正在进行土地招拍挂。</w:t>
      </w:r>
    </w:p>
    <w:p w14:paraId="616E7047">
      <w:pPr>
        <w:pStyle w:val="3"/>
        <w:spacing w:line="600" w:lineRule="exact"/>
        <w:ind w:left="0" w:leftChars="0" w:firstLine="651" w:firstLineChars="200"/>
        <w:rPr>
          <w:rFonts w:ascii="仿宋_GB2312" w:hAnsi="仿宋_GB2312" w:eastAsia="仿宋_GB2312" w:cs="仿宋_GB2312"/>
          <w:color w:val="auto"/>
          <w:sz w:val="32"/>
          <w:szCs w:val="32"/>
          <w:shd w:val="clear" w:color="auto" w:fill="FFFFFF"/>
        </w:rPr>
      </w:pPr>
      <w:r>
        <w:rPr>
          <w:rFonts w:hint="eastAsia" w:eastAsia="楷体_GB2312"/>
          <w:b/>
          <w:color w:val="auto"/>
          <w:spacing w:val="2"/>
          <w:kern w:val="0"/>
          <w:sz w:val="32"/>
        </w:rPr>
        <w:t>（四）“十四五”规划编制工作。</w:t>
      </w:r>
      <w:r>
        <w:rPr>
          <w:rFonts w:hint="eastAsia" w:hAnsi="仿宋_GB2312" w:eastAsia="仿宋_GB2312" w:cs="仿宋_GB2312"/>
          <w:color w:val="auto"/>
          <w:sz w:val="32"/>
          <w:szCs w:val="32"/>
        </w:rPr>
        <w:t>“十四五”时期是我国全面建成小康社会、实现第一个百年奋斗目标之后，乘势而上开启全面建设社会主义现代化国家新征程、向第二个百年奋</w:t>
      </w:r>
      <w:r>
        <w:rPr>
          <w:rFonts w:hint="eastAsia" w:ascii="仿宋_GB2312" w:hAnsi="仿宋_GB2312" w:eastAsia="仿宋_GB2312" w:cs="仿宋_GB2312"/>
          <w:color w:val="auto"/>
          <w:sz w:val="32"/>
          <w:szCs w:val="32"/>
          <w:shd w:val="clear" w:color="auto" w:fill="FFFFFF"/>
        </w:rPr>
        <w:t>斗目标进军的第一个五年，做好“十四五”规划意义重大。按照县委县政府对我县“十四五”期间经济和社会发展的初步设想，印发了《临武县国民经济和社会发展第十四个五年规划编制工作实施方案》（临政办函〔2020〕48号）对全县“十四五”规划编制工作作了统筹安排，成立了领导小组；制定了《临武县国民经济和社会发展“十四五”规划工作方案》对 “十四五”规划领导小组、编制团队具体推进规划编制工作进行了具体的安排；制定了《临武</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十四五</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规划调研行程表》《临武</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十四五</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规划调研工作分工表》，对“十四五”规划调研工作进行了具体安排，并按照调研行程安排，于9月7日至9月18日期间组织规划编制专家团队到我县开展了调研工作，调研工作已圆满完成；组织各单位开展了“十四五”重大项目谋划，在</w:t>
      </w:r>
      <w:r>
        <w:rPr>
          <w:rFonts w:hint="eastAsia" w:ascii="仿宋_GB2312" w:eastAsia="仿宋_GB2312"/>
          <w:color w:val="auto"/>
          <w:sz w:val="32"/>
          <w:szCs w:val="32"/>
        </w:rPr>
        <w:t>科技创新、产业发展、基础设施、生态环保、社会民生等五大领域共征集到项目210个，总投资1100亿元，十四五期间投资1000亿元；</w:t>
      </w:r>
      <w:r>
        <w:rPr>
          <w:rFonts w:hint="eastAsia" w:ascii="仿宋_GB2312" w:hAnsi="仿宋_GB2312" w:eastAsia="仿宋_GB2312" w:cs="仿宋_GB2312"/>
          <w:color w:val="auto"/>
          <w:sz w:val="32"/>
          <w:szCs w:val="32"/>
          <w:shd w:val="clear" w:color="auto" w:fill="FFFFFF"/>
        </w:rPr>
        <w:t>已经形成了《基本思路》初稿，编制了临武“十四五”规划重大</w:t>
      </w:r>
      <w:bookmarkStart w:id="7" w:name="_GoBack"/>
      <w:bookmarkEnd w:id="7"/>
      <w:r>
        <w:rPr>
          <w:rFonts w:hint="eastAsia" w:ascii="仿宋_GB2312" w:hAnsi="仿宋_GB2312" w:eastAsia="仿宋_GB2312" w:cs="仿宋_GB2312"/>
          <w:color w:val="auto"/>
          <w:sz w:val="32"/>
          <w:szCs w:val="32"/>
          <w:shd w:val="clear" w:color="auto" w:fill="FFFFFF"/>
        </w:rPr>
        <w:t>研究课题安排表，各项研究课题已经启动。</w:t>
      </w:r>
    </w:p>
    <w:p w14:paraId="4AA2800A">
      <w:pPr>
        <w:spacing w:line="600" w:lineRule="exact"/>
        <w:ind w:firstLine="641" w:firstLineChars="197"/>
        <w:rPr>
          <w:rFonts w:hint="eastAsia" w:ascii="仿宋_GB2312" w:eastAsia="仿宋_GB2312"/>
          <w:color w:val="auto"/>
          <w:sz w:val="32"/>
          <w:szCs w:val="32"/>
        </w:rPr>
      </w:pPr>
      <w:r>
        <w:rPr>
          <w:rFonts w:hint="eastAsia" w:eastAsia="楷体_GB2312"/>
          <w:b/>
          <w:color w:val="auto"/>
          <w:spacing w:val="2"/>
          <w:kern w:val="0"/>
          <w:sz w:val="32"/>
        </w:rPr>
        <w:t>（五）</w:t>
      </w:r>
      <w:r>
        <w:rPr>
          <w:rFonts w:eastAsia="楷体_GB2312"/>
          <w:b/>
          <w:color w:val="auto"/>
          <w:spacing w:val="2"/>
          <w:kern w:val="0"/>
          <w:sz w:val="32"/>
        </w:rPr>
        <w:t>易地扶贫搬迁</w:t>
      </w:r>
      <w:r>
        <w:rPr>
          <w:rFonts w:hint="eastAsia" w:eastAsia="楷体_GB2312"/>
          <w:b/>
          <w:color w:val="auto"/>
          <w:spacing w:val="2"/>
          <w:kern w:val="0"/>
          <w:sz w:val="32"/>
        </w:rPr>
        <w:t>工作</w:t>
      </w:r>
      <w:r>
        <w:rPr>
          <w:rFonts w:eastAsia="楷体_GB2312"/>
          <w:b/>
          <w:color w:val="auto"/>
          <w:spacing w:val="2"/>
          <w:kern w:val="0"/>
          <w:sz w:val="32"/>
        </w:rPr>
        <w:t>。</w:t>
      </w:r>
      <w:r>
        <w:rPr>
          <w:rFonts w:hint="eastAsia" w:ascii="楷体_GB2312" w:hAnsi="仿宋" w:eastAsia="楷体_GB2312" w:cs="仿宋"/>
          <w:bCs/>
          <w:color w:val="auto"/>
          <w:kern w:val="0"/>
          <w:sz w:val="32"/>
          <w:szCs w:val="32"/>
        </w:rPr>
        <w:t>一是开展问题“回头看”排查整改。</w:t>
      </w:r>
      <w:r>
        <w:rPr>
          <w:rFonts w:hint="eastAsia" w:ascii="仿宋_GB2312" w:eastAsia="仿宋_GB2312"/>
          <w:color w:val="auto"/>
          <w:sz w:val="32"/>
          <w:szCs w:val="32"/>
        </w:rPr>
        <w:t>4月1日出台制定了《关于开展易地扶贫搬迁“回头看”问题排查整改的工作通知》（临易地搬迁联席办〔2020〕2号）组织各乡镇开展了为期1个月的易地扶贫搬迁问题“回头看”排查整改工作，逐一严查核实易地扶贫搬迁当前工作中存在问题。共核查出问题42条，其中：未实际入住问题7条、住房质量问题14条、工程未竣工验收问题3条、搬迁群众满意度低问题2条、后续帮扶问题2条、未拆旧复垦问题7条、空安置房未处置问题7条。并于2020年5月29日下达督办函至各乡镇，要求于2020年6月20日前所有问题整改清零。</w:t>
      </w:r>
      <w:r>
        <w:rPr>
          <w:rFonts w:hint="eastAsia" w:ascii="楷体_GB2312" w:hAnsi="仿宋" w:eastAsia="楷体_GB2312" w:cs="仿宋"/>
          <w:bCs/>
          <w:color w:val="auto"/>
          <w:kern w:val="0"/>
          <w:sz w:val="32"/>
          <w:szCs w:val="32"/>
        </w:rPr>
        <w:t>二是持续加大易地搬迁后续帮扶力度。</w:t>
      </w:r>
      <w:r>
        <w:rPr>
          <w:rFonts w:hint="eastAsia" w:ascii="仿宋_GB2312" w:eastAsia="仿宋_GB2312"/>
          <w:color w:val="auto"/>
          <w:sz w:val="32"/>
          <w:szCs w:val="32"/>
        </w:rPr>
        <w:t>为实现搬迁群众搬得出、能致富目标，因户因人施策，分门别类建立了帮扶台账，全县易地搬迁户有劳动能力1214人，通过技能培训、劳务输出等方式实现就业1182人，其中公益性岗位57人，享受教育助学923人，委托产业帮扶768户2746人，自主发展产业119人，享受兜底或者低保政策的人数455人。为降低搬迁群众生活成本，多个安置点先后开展了“感党恩、分菜地、减负担”活动，根据易地搬迁家庭人数，通过土地流转和租赁方式，为每一户搬迁家庭免费分发一块50-80</w:t>
      </w:r>
      <w:r>
        <w:rPr>
          <w:rFonts w:hint="eastAsia" w:ascii="宋体" w:hAnsi="宋体" w:cs="宋体"/>
          <w:color w:val="auto"/>
          <w:sz w:val="32"/>
          <w:szCs w:val="32"/>
        </w:rPr>
        <w:t>㎡</w:t>
      </w:r>
      <w:r>
        <w:rPr>
          <w:rFonts w:hint="eastAsia" w:ascii="仿宋_GB2312" w:hAnsi="仿宋_GB2312" w:eastAsia="仿宋_GB2312" w:cs="仿宋_GB2312"/>
          <w:color w:val="auto"/>
          <w:sz w:val="32"/>
          <w:szCs w:val="32"/>
        </w:rPr>
        <w:t>菜地，降低日常支出生活成本，让易地搬迁贫困户搬出山区身至心至，住上新房子、过上好日</w:t>
      </w:r>
      <w:r>
        <w:rPr>
          <w:rFonts w:hint="eastAsia" w:ascii="仿宋_GB2312" w:eastAsia="仿宋_GB2312"/>
          <w:color w:val="auto"/>
          <w:sz w:val="32"/>
          <w:szCs w:val="32"/>
        </w:rPr>
        <w:t>子、摆脱穷样子，守住三分地，顶起一片艳阳天，获得感、归属感、幸福感不断提升，满意指数直线加分，全县3346搬迁人口真正实现了“搬得出、稳得住、能致富”的目标。</w:t>
      </w:r>
    </w:p>
    <w:p w14:paraId="470FCCBD">
      <w:pPr>
        <w:spacing w:line="600" w:lineRule="exact"/>
        <w:ind w:firstLine="488" w:firstLineChars="150"/>
        <w:rPr>
          <w:rFonts w:hint="eastAsia" w:ascii="仿宋_GB2312" w:eastAsia="仿宋_GB2312"/>
          <w:color w:val="auto"/>
          <w:sz w:val="32"/>
          <w:szCs w:val="32"/>
        </w:rPr>
      </w:pPr>
      <w:r>
        <w:rPr>
          <w:rFonts w:hint="eastAsia" w:eastAsia="楷体_GB2312"/>
          <w:b/>
          <w:color w:val="auto"/>
          <w:spacing w:val="2"/>
          <w:kern w:val="0"/>
          <w:sz w:val="32"/>
        </w:rPr>
        <w:t>（六）事业单位公车改革。</w:t>
      </w:r>
      <w:r>
        <w:rPr>
          <w:rFonts w:hint="eastAsia" w:ascii="仿宋_GB2312" w:eastAsia="仿宋_GB2312"/>
          <w:color w:val="auto"/>
          <w:sz w:val="32"/>
          <w:szCs w:val="32"/>
        </w:rPr>
        <w:t>此次车改涉县内非参照公务员法管理的各级各类事业单位299家、主管部门57家、车辆108台、人员6327人。车改后，原则上取消事业单位的一般公务用车，但保留必要的医疗救护、新闻</w:t>
      </w:r>
      <w:r>
        <w:rPr>
          <w:rFonts w:hint="eastAsia" w:ascii="仿宋_GB2312" w:eastAsia="仿宋_GB2312"/>
          <w:color w:val="auto"/>
          <w:sz w:val="32"/>
          <w:szCs w:val="32"/>
          <w:lang w:eastAsia="zh-CN"/>
        </w:rPr>
        <w:t>传播</w:t>
      </w:r>
      <w:r>
        <w:rPr>
          <w:rFonts w:hint="eastAsia" w:ascii="仿宋_GB2312" w:eastAsia="仿宋_GB2312"/>
          <w:color w:val="auto"/>
          <w:sz w:val="32"/>
          <w:szCs w:val="32"/>
        </w:rPr>
        <w:t>、科学考察、技术勘察、检疫检测、环卫清洁等特定功能的特种专业技术用车和必要的业务用车。车改办已对县委、县政府直属本关本级、教育系统、卫计系统、13个乡镇等涉改单位及县直机关主管部门进行了业务培训，</w:t>
      </w:r>
      <w:r>
        <w:rPr>
          <w:rFonts w:hint="eastAsia" w:ascii="仿宋_GB2312" w:eastAsia="仿宋_GB2312"/>
          <w:color w:val="auto"/>
          <w:sz w:val="32"/>
          <w:szCs w:val="32"/>
          <w:lang w:eastAsia="zh-CN"/>
        </w:rPr>
        <w:t>地对</w:t>
      </w:r>
      <w:r>
        <w:rPr>
          <w:rFonts w:hint="eastAsia" w:ascii="仿宋_GB2312" w:eastAsia="仿宋_GB2312"/>
          <w:color w:val="auto"/>
          <w:sz w:val="32"/>
          <w:szCs w:val="32"/>
        </w:rPr>
        <w:t>个性问题进行全面的解释。统筹安排各职能部门对全县事业单位公车进行精准摸底，全县事业单位共有车辆108辆。依据文件精神，对各单位的方案及数据严格把关，现场指导完善资料。积极探索出行方式，因地制宜起草</w:t>
      </w:r>
      <w:r>
        <w:rPr>
          <w:rFonts w:ascii="仿宋_GB2312" w:eastAsia="仿宋_GB2312"/>
          <w:color w:val="auto"/>
          <w:sz w:val="32"/>
          <w:szCs w:val="32"/>
        </w:rPr>
        <w:t>按次按距离包干报销公务交通费用</w:t>
      </w:r>
      <w:r>
        <w:rPr>
          <w:rFonts w:hint="eastAsia" w:ascii="仿宋_GB2312" w:eastAsia="仿宋_GB2312"/>
          <w:color w:val="auto"/>
          <w:sz w:val="32"/>
          <w:szCs w:val="32"/>
        </w:rPr>
        <w:t>指导意见。</w:t>
      </w:r>
    </w:p>
    <w:p w14:paraId="3C39F257">
      <w:pPr>
        <w:widowControl/>
        <w:spacing w:line="600" w:lineRule="exact"/>
        <w:ind w:firstLine="651" w:firstLineChars="200"/>
        <w:jc w:val="left"/>
        <w:rPr>
          <w:rFonts w:hint="eastAsia" w:ascii="仿宋" w:hAnsi="仿宋" w:eastAsia="仿宋" w:cs="仿宋"/>
          <w:color w:val="auto"/>
          <w:sz w:val="32"/>
          <w:szCs w:val="32"/>
        </w:rPr>
      </w:pPr>
      <w:r>
        <w:rPr>
          <w:rFonts w:hint="eastAsia" w:eastAsia="楷体_GB2312"/>
          <w:b/>
          <w:color w:val="auto"/>
          <w:spacing w:val="2"/>
          <w:kern w:val="0"/>
          <w:sz w:val="32"/>
        </w:rPr>
        <w:t>（七）</w:t>
      </w:r>
      <w:r>
        <w:rPr>
          <w:rFonts w:hint="eastAsia" w:ascii="楷体_GB2312" w:hAnsi="楷体_GB2312" w:eastAsia="楷体_GB2312" w:cs="楷体_GB2312"/>
          <w:b/>
          <w:bCs/>
          <w:color w:val="auto"/>
          <w:sz w:val="32"/>
          <w:szCs w:val="32"/>
        </w:rPr>
        <w:t>粮食储备工作安全稳健。</w:t>
      </w:r>
      <w:r>
        <w:rPr>
          <w:rFonts w:hint="eastAsia" w:ascii="楷体_GB2312" w:eastAsia="楷体_GB2312"/>
          <w:color w:val="auto"/>
          <w:sz w:val="32"/>
          <w:szCs w:val="32"/>
        </w:rPr>
        <w:t>一是开展县级地方储备粮轮换工作。</w:t>
      </w:r>
      <w:r>
        <w:rPr>
          <w:rFonts w:hint="eastAsia" w:ascii="仿宋_GB2312" w:eastAsia="仿宋_GB2312"/>
          <w:color w:val="auto"/>
          <w:sz w:val="32"/>
          <w:szCs w:val="32"/>
        </w:rPr>
        <w:t>今年我县县级储备粮轮换任务1579吨，三月份下达轮换计划，通过湖南粮食批发中心市场竞价销售，至五月底已全部完成轮出。九月份以来，我县积极推进粮食市场化收购，多方寻找粮源，</w:t>
      </w:r>
      <w:r>
        <w:rPr>
          <w:rFonts w:hint="eastAsia" w:ascii="仿宋_GB2312" w:eastAsia="仿宋_GB2312"/>
          <w:color w:val="auto"/>
          <w:sz w:val="32"/>
          <w:szCs w:val="32"/>
          <w:lang w:eastAsia="zh-CN"/>
        </w:rPr>
        <w:t>截至</w:t>
      </w:r>
      <w:r>
        <w:rPr>
          <w:rFonts w:hint="eastAsia" w:ascii="仿宋_GB2312" w:eastAsia="仿宋_GB2312"/>
          <w:color w:val="auto"/>
          <w:sz w:val="32"/>
          <w:szCs w:val="32"/>
        </w:rPr>
        <w:t>10月上旬，县级储备粮轮换补库1579吨已全部完成，确保了常年5000吨储备粮规模数量不变。</w:t>
      </w:r>
      <w:r>
        <w:rPr>
          <w:rFonts w:hint="eastAsia" w:ascii="楷体_GB2312" w:eastAsia="楷体_GB2312"/>
          <w:color w:val="auto"/>
          <w:sz w:val="32"/>
          <w:szCs w:val="32"/>
        </w:rPr>
        <w:t>二是落实粮食安全省长责任制考核工作。</w:t>
      </w:r>
      <w:r>
        <w:rPr>
          <w:rFonts w:hint="eastAsia" w:ascii="仿宋_GB2312" w:eastAsia="仿宋_GB2312"/>
          <w:color w:val="auto"/>
          <w:sz w:val="32"/>
          <w:szCs w:val="32"/>
        </w:rPr>
        <w:t>统筹协调各成员单位按照上级考核要求，已逐项落实制定“任务清单”、“工作方案”和“考评细则”，力争今年继续保持优秀等次。</w:t>
      </w:r>
      <w:r>
        <w:rPr>
          <w:rFonts w:hint="eastAsia" w:ascii="楷体_GB2312" w:eastAsia="楷体_GB2312"/>
          <w:color w:val="auto"/>
          <w:sz w:val="32"/>
          <w:szCs w:val="32"/>
        </w:rPr>
        <w:t>三是开展科学储粮入户调查工作。</w:t>
      </w:r>
      <w:r>
        <w:rPr>
          <w:rFonts w:hint="eastAsia" w:eastAsia="仿宋_GB2312"/>
          <w:color w:val="auto"/>
          <w:sz w:val="32"/>
          <w:szCs w:val="32"/>
        </w:rPr>
        <w:t>协助、配合省市、农户科学储粮入户调查工作，共走访调查10个乡镇530户农户，为我省市制定相关政策提供了真实可靠数据。</w:t>
      </w:r>
      <w:r>
        <w:rPr>
          <w:rFonts w:hint="eastAsia" w:ascii="楷体_GB2312" w:eastAsia="楷体_GB2312"/>
          <w:color w:val="auto"/>
          <w:sz w:val="32"/>
          <w:szCs w:val="32"/>
        </w:rPr>
        <w:t>四是加强粮食生产安全工作。</w:t>
      </w:r>
      <w:r>
        <w:rPr>
          <w:rFonts w:hint="eastAsia" w:eastAsia="仿宋_GB2312"/>
          <w:color w:val="auto"/>
          <w:sz w:val="32"/>
          <w:szCs w:val="32"/>
        </w:rPr>
        <w:t>对我县粮油购销公司的作业，储粮安全进行了全面督导、检查，共发现问题2个，并及时下发了整改通知书，要求在规定时间内按要求完成整改。全面完成了对辖区内粮油收储，加工企业的云南镉米事件对我县粮油产业的影响的调研</w:t>
      </w:r>
      <w:r>
        <w:rPr>
          <w:rFonts w:hint="eastAsia" w:ascii="楷体_GB2312" w:eastAsia="楷体_GB2312"/>
          <w:color w:val="auto"/>
          <w:sz w:val="32"/>
          <w:szCs w:val="32"/>
        </w:rPr>
        <w:t>。四是完善应急储备机制。</w:t>
      </w:r>
      <w:r>
        <w:rPr>
          <w:rFonts w:hint="eastAsia" w:eastAsia="仿宋_GB2312"/>
          <w:color w:val="auto"/>
          <w:sz w:val="32"/>
          <w:szCs w:val="32"/>
        </w:rPr>
        <w:t>《郴州市本级战略和应急储备物资管理暂行办法》（郴政办发[2020]34号）于2020年9月印发，我县《应急储备物资管理暂行办法》正在草拟中。</w:t>
      </w:r>
    </w:p>
    <w:p w14:paraId="64704F94">
      <w:pPr>
        <w:spacing w:line="600" w:lineRule="exact"/>
        <w:ind w:firstLine="651" w:firstLineChars="200"/>
        <w:rPr>
          <w:rFonts w:hint="eastAsia" w:ascii="仿宋_GB2312" w:eastAsia="仿宋_GB2312"/>
          <w:color w:val="auto"/>
          <w:sz w:val="32"/>
          <w:szCs w:val="32"/>
        </w:rPr>
      </w:pPr>
      <w:r>
        <w:rPr>
          <w:rFonts w:hint="eastAsia" w:eastAsia="楷体_GB2312"/>
          <w:b/>
          <w:color w:val="auto"/>
          <w:spacing w:val="2"/>
          <w:kern w:val="0"/>
          <w:sz w:val="32"/>
        </w:rPr>
        <w:t>（八）减税降费工作。</w:t>
      </w:r>
      <w:r>
        <w:rPr>
          <w:rFonts w:hint="eastAsia" w:ascii="仿宋_GB2312" w:eastAsia="仿宋_GB2312"/>
          <w:color w:val="auto"/>
          <w:sz w:val="32"/>
          <w:szCs w:val="32"/>
        </w:rPr>
        <w:t>认真贯彻落实党中央</w:t>
      </w:r>
      <w:r>
        <w:rPr>
          <w:rFonts w:hint="eastAsia" w:ascii="仿宋_GB2312" w:eastAsia="仿宋_GB2312"/>
          <w:color w:val="auto"/>
          <w:sz w:val="32"/>
          <w:szCs w:val="32"/>
          <w:lang w:eastAsia="zh-CN"/>
        </w:rPr>
        <w:t>、</w:t>
      </w:r>
      <w:r>
        <w:rPr>
          <w:rFonts w:hint="eastAsia" w:ascii="仿宋_GB2312" w:eastAsia="仿宋_GB2312"/>
          <w:color w:val="auto"/>
          <w:sz w:val="32"/>
          <w:szCs w:val="32"/>
        </w:rPr>
        <w:t>国务院、省委省政府关于减税降费决策部署。一是加强组织领导。出台了减税降费工作实施方案，并成立了领导小组。二是加强政策宣传。到园区开展政策宣讲活动，编印、发放《临武县价格政策服务手册》，并设立“咨询台”，面对面解答问题，扎扎实实把政策宣传到位、解读到位。三是形成目录清单。目前，授权我县政府定价的经营服务性收费仅有4项。行政事业性收费方面，一级项目由2016年底的 59项，降至现在的24 项；全县行政事业性收费总额由2016年的3311.9</w:t>
      </w:r>
      <w:r>
        <w:rPr>
          <w:rFonts w:hint="eastAsia" w:ascii="仿宋_GB2312" w:eastAsia="仿宋_GB2312"/>
          <w:color w:val="auto"/>
          <w:sz w:val="32"/>
          <w:szCs w:val="32"/>
          <w:lang w:eastAsia="zh-CN"/>
        </w:rPr>
        <w:t>万元</w:t>
      </w:r>
      <w:r>
        <w:rPr>
          <w:rFonts w:hint="eastAsia" w:ascii="仿宋_GB2312" w:eastAsia="仿宋_GB2312"/>
          <w:color w:val="auto"/>
          <w:sz w:val="32"/>
          <w:szCs w:val="32"/>
        </w:rPr>
        <w:t>,降至2018年的 2726.8万元,降幅达到了18%。四是全面开展自查。要求各相关收费单位认真对照发改部门梳理出来的2016年以来国家省市取消、降标、放开的政府定价经营服务性收费和行政事业性收费目录清单迅速组织开展自查自纠，确保减税降费政策落实落地。四是实施降价减费具体工作。调整有线电视安装费，有线电视安装服务收费降低20%，即县级有线电视安装服务收费由每平方米5元调整为4元，预计全县年减负140万元。降低普通商品住宅已购车位前期物业服务收费标准，县城区已购停车位前期物业服务收费参照市里标准，调整为30元/月。降低非居民用气销售价格，降低6分钱每立方米，即由4.5元每立方米调整为4.44元/立方米，预计可降低用能成本5万元。调整政府定价的公共停车服务收费标准。在现行收费标准基础上同比下调了20%。即由5元/小时调整为4元/小时。</w:t>
      </w:r>
    </w:p>
    <w:p w14:paraId="037E6012">
      <w:pPr>
        <w:spacing w:line="600" w:lineRule="exact"/>
        <w:ind w:firstLine="643" w:firstLineChars="200"/>
        <w:jc w:val="left"/>
        <w:rPr>
          <w:rFonts w:hint="eastAsia" w:ascii="楷体_GB2312" w:hAnsi="黑体" w:eastAsia="楷体_GB2312"/>
          <w:b/>
          <w:color w:val="auto"/>
          <w:sz w:val="32"/>
          <w:szCs w:val="32"/>
        </w:rPr>
      </w:pPr>
      <w:r>
        <w:rPr>
          <w:rFonts w:hint="eastAsia" w:ascii="楷体_GB2312" w:hAnsi="黑体" w:eastAsia="楷体_GB2312"/>
          <w:b/>
          <w:color w:val="auto"/>
          <w:sz w:val="32"/>
          <w:szCs w:val="32"/>
        </w:rPr>
        <w:t>（</w:t>
      </w:r>
      <w:r>
        <w:rPr>
          <w:rFonts w:hint="eastAsia" w:ascii="楷体_GB2312" w:hAnsi="黑体" w:eastAsia="楷体_GB2312"/>
          <w:b/>
          <w:color w:val="auto"/>
          <w:sz w:val="32"/>
          <w:szCs w:val="32"/>
          <w:lang w:eastAsia="zh-CN"/>
        </w:rPr>
        <w:t>九</w:t>
      </w:r>
      <w:r>
        <w:rPr>
          <w:rFonts w:hint="eastAsia" w:ascii="楷体_GB2312" w:hAnsi="黑体" w:eastAsia="楷体_GB2312"/>
          <w:b/>
          <w:color w:val="auto"/>
          <w:sz w:val="32"/>
          <w:szCs w:val="32"/>
        </w:rPr>
        <w:t>）“放管服”改革工作。</w:t>
      </w:r>
      <w:r>
        <w:rPr>
          <w:rFonts w:ascii="仿宋_GB2312" w:eastAsia="仿宋_GB2312"/>
          <w:color w:val="auto"/>
          <w:sz w:val="32"/>
          <w:szCs w:val="32"/>
        </w:rPr>
        <w:t>着力推动监管方式创新，进一步强化项目事中事后监管，切实提高了综合监管效能。主要举措如下：一是推进在线监管。将项目审批、核准、备案全部纳入湖南省投资项目在线审批监管平台管理，做到网上申报、网上受理，网上审批，实现了互联网+政务服务的审批新模式。二是强化“清单”监管。聚焦职权配置、责任主体明确、运行流程等重点环节，及时梳理行政事项，调整并编制目录清单和实施清单，并在省“互联网+政务服务”和县政府门户网站公开发布，规范完善权力清单、责任清单和行政许可负面清单，推进了行政事项机构、职能、权限、程序、责任法定化。三是实施诚信监管。做好“双随机”监管信息的发布和报告。一方面，及时将项目监管的事项、方式、频率、程序、结果等依法向行政相对人公开，保障了主体权利平等、机会平等、规则平等。另一方面，及时把项目的审批信息、监管（处罚）信息和工程实施过程中的重要信息，录入到湖南省投资项目在线审批监管平台和郴州市公共信用信息平台系统，通过在线平台实现了信息的互通共享。四是注重日常监管。出台《临武县发改局行政审批事项后续监管办法》，制作《项目建设进度报送操作指引》，建立县事中事后监管微信和QQ工作群，并设置和公开了电话0735-6266935，畅通投诉举报渠道；同时由审批股、稽查办，对所受理项目每季度开展一次项目调度，每年开展一次项目现场核查，形成</w:t>
      </w:r>
      <w:r>
        <w:rPr>
          <w:rFonts w:hint="eastAsia" w:ascii="仿宋_GB2312" w:eastAsia="仿宋_GB2312"/>
          <w:color w:val="auto"/>
          <w:sz w:val="32"/>
          <w:szCs w:val="32"/>
          <w:lang w:eastAsia="zh-CN"/>
        </w:rPr>
        <w:t>资料台账</w:t>
      </w:r>
      <w:r>
        <w:rPr>
          <w:rFonts w:ascii="仿宋_GB2312" w:eastAsia="仿宋_GB2312"/>
          <w:color w:val="auto"/>
          <w:sz w:val="32"/>
          <w:szCs w:val="32"/>
        </w:rPr>
        <w:t>，及时了解和掌握了项目进展情况，并进行提醒告诫和督促整改。通过优良的服务和严密的监管，全县项目建设的推进有序、成效明显。</w:t>
      </w:r>
    </w:p>
    <w:p w14:paraId="165C5BD9">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leftChars="0" w:right="0" w:rightChars="0" w:firstLine="570"/>
        <w:jc w:val="left"/>
        <w:textAlignment w:val="auto"/>
        <w:rPr>
          <w:rFonts w:hint="eastAsia" w:ascii="黑体" w:hAnsi="黑体" w:eastAsia="黑体" w:cs="黑体"/>
          <w:b/>
          <w:bCs/>
          <w:color w:val="auto"/>
          <w:kern w:val="0"/>
          <w:sz w:val="32"/>
          <w:szCs w:val="32"/>
          <w:lang w:val="en-US" w:eastAsia="zh-CN" w:bidi="ar"/>
        </w:rPr>
      </w:pPr>
      <w:r>
        <w:rPr>
          <w:rFonts w:hint="eastAsia" w:ascii="黑体" w:hAnsi="黑体" w:eastAsia="黑体" w:cs="黑体"/>
          <w:b/>
          <w:bCs/>
          <w:color w:val="auto"/>
          <w:kern w:val="0"/>
          <w:sz w:val="32"/>
          <w:szCs w:val="32"/>
          <w:lang w:val="en-US" w:eastAsia="zh-CN" w:bidi="ar"/>
        </w:rPr>
        <w:t>五、存在的问题</w:t>
      </w:r>
    </w:p>
    <w:p w14:paraId="4B74C5DB">
      <w:pPr>
        <w:keepNext w:val="0"/>
        <w:keepLines w:val="0"/>
        <w:pageBreakBefore w:val="0"/>
        <w:kinsoku/>
        <w:wordWrap/>
        <w:overflowPunct/>
        <w:topLinePunct w:val="0"/>
        <w:autoSpaceDE/>
        <w:autoSpaceDN/>
        <w:bidi w:val="0"/>
        <w:adjustRightInd/>
        <w:snapToGrid/>
        <w:spacing w:beforeAutospacing="0" w:afterAutospacing="0" w:line="500" w:lineRule="exact"/>
        <w:ind w:left="0" w:leftChars="0" w:right="0" w:rightChars="0" w:firstLine="672" w:firstLineChars="200"/>
        <w:jc w:val="left"/>
        <w:textAlignment w:val="auto"/>
        <w:rPr>
          <w:rFonts w:hint="eastAsia" w:ascii="仿宋_GB2312" w:hAnsi="仿宋_GB2312" w:eastAsia="仿宋_GB2312" w:cs="仿宋_GB2312"/>
          <w:b w:val="0"/>
          <w:i w:val="0"/>
          <w:caps w:val="0"/>
          <w:color w:val="auto"/>
          <w:spacing w:val="8"/>
          <w:sz w:val="32"/>
          <w:szCs w:val="32"/>
          <w:shd w:val="clear" w:color="auto" w:fill="FFFFFF"/>
          <w:lang w:val="en-US" w:eastAsia="zh-CN"/>
        </w:rPr>
      </w:pPr>
      <w:r>
        <w:rPr>
          <w:rFonts w:hint="eastAsia" w:ascii="仿宋_GB2312" w:hAnsi="仿宋_GB2312" w:eastAsia="仿宋_GB2312" w:cs="仿宋_GB2312"/>
          <w:b w:val="0"/>
          <w:i w:val="0"/>
          <w:caps w:val="0"/>
          <w:color w:val="auto"/>
          <w:spacing w:val="8"/>
          <w:sz w:val="32"/>
          <w:szCs w:val="32"/>
          <w:shd w:val="clear" w:color="auto" w:fill="FFFFFF"/>
          <w:lang w:val="en-US" w:eastAsia="zh-CN"/>
        </w:rPr>
        <w:t>（一）财务管理需进一步规范化。</w:t>
      </w:r>
    </w:p>
    <w:p w14:paraId="32FCF8C0">
      <w:pPr>
        <w:keepNext w:val="0"/>
        <w:keepLines w:val="0"/>
        <w:pageBreakBefore w:val="0"/>
        <w:kinsoku/>
        <w:wordWrap/>
        <w:overflowPunct/>
        <w:topLinePunct w:val="0"/>
        <w:autoSpaceDE/>
        <w:autoSpaceDN/>
        <w:bidi w:val="0"/>
        <w:adjustRightInd/>
        <w:snapToGrid/>
        <w:spacing w:beforeAutospacing="0" w:afterAutospacing="0" w:line="500" w:lineRule="exact"/>
        <w:ind w:left="0" w:leftChars="0" w:right="0" w:rightChars="0" w:firstLine="672" w:firstLineChars="200"/>
        <w:jc w:val="left"/>
        <w:textAlignment w:val="auto"/>
        <w:rPr>
          <w:rFonts w:hint="eastAsia" w:ascii="仿宋_GB2312" w:hAnsi="仿宋_GB2312" w:eastAsia="仿宋_GB2312" w:cs="仿宋_GB2312"/>
          <w:b w:val="0"/>
          <w:i w:val="0"/>
          <w:caps w:val="0"/>
          <w:color w:val="auto"/>
          <w:spacing w:val="8"/>
          <w:sz w:val="32"/>
          <w:szCs w:val="32"/>
          <w:shd w:val="clear" w:color="auto" w:fill="FFFFFF"/>
          <w:lang w:val="en-US" w:eastAsia="zh-CN"/>
        </w:rPr>
      </w:pPr>
      <w:r>
        <w:rPr>
          <w:rFonts w:hint="eastAsia" w:ascii="仿宋_GB2312" w:hAnsi="仿宋_GB2312" w:eastAsia="仿宋_GB2312" w:cs="仿宋_GB2312"/>
          <w:b w:val="0"/>
          <w:i w:val="0"/>
          <w:caps w:val="0"/>
          <w:color w:val="auto"/>
          <w:spacing w:val="8"/>
          <w:sz w:val="32"/>
          <w:szCs w:val="32"/>
          <w:shd w:val="clear" w:color="auto" w:fill="FFFFFF"/>
          <w:lang w:val="en-US" w:eastAsia="zh-CN"/>
        </w:rPr>
        <w:t>（二）固定资产的管理需进一步规范。</w:t>
      </w:r>
    </w:p>
    <w:p w14:paraId="063ADF89">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leftChars="0" w:right="0" w:rightChars="0" w:firstLine="570"/>
        <w:jc w:val="left"/>
        <w:textAlignment w:val="auto"/>
        <w:rPr>
          <w:rFonts w:hint="eastAsia" w:ascii="黑体" w:hAnsi="黑体" w:eastAsia="黑体" w:cs="黑体"/>
          <w:b/>
          <w:bCs/>
          <w:color w:val="auto"/>
          <w:kern w:val="0"/>
          <w:sz w:val="32"/>
          <w:szCs w:val="32"/>
          <w:lang w:val="en-US" w:eastAsia="zh-CN" w:bidi="ar"/>
        </w:rPr>
      </w:pPr>
      <w:r>
        <w:rPr>
          <w:rFonts w:hint="eastAsia" w:ascii="黑体" w:hAnsi="黑体" w:eastAsia="黑体" w:cs="黑体"/>
          <w:b/>
          <w:bCs/>
          <w:color w:val="auto"/>
          <w:kern w:val="0"/>
          <w:sz w:val="32"/>
          <w:szCs w:val="32"/>
          <w:lang w:val="en-US" w:eastAsia="zh-CN" w:bidi="ar"/>
        </w:rPr>
        <w:t>六、改进措施和有关建议</w:t>
      </w:r>
    </w:p>
    <w:p w14:paraId="32072F2C">
      <w:pPr>
        <w:keepNext w:val="0"/>
        <w:keepLines w:val="0"/>
        <w:pageBreakBefore w:val="0"/>
        <w:kinsoku/>
        <w:wordWrap/>
        <w:overflowPunct/>
        <w:topLinePunct w:val="0"/>
        <w:autoSpaceDE/>
        <w:autoSpaceDN/>
        <w:bidi w:val="0"/>
        <w:adjustRightInd/>
        <w:snapToGrid/>
        <w:spacing w:beforeAutospacing="0" w:afterAutospacing="0" w:line="500" w:lineRule="exact"/>
        <w:ind w:left="0" w:leftChars="0" w:right="0" w:rightChars="0" w:firstLine="675" w:firstLineChars="200"/>
        <w:jc w:val="left"/>
        <w:textAlignment w:val="auto"/>
        <w:rPr>
          <w:rFonts w:hint="eastAsia" w:ascii="仿宋_GB2312" w:hAnsi="仿宋_GB2312" w:eastAsia="仿宋_GB2312" w:cs="仿宋_GB2312"/>
          <w:b/>
          <w:bCs/>
          <w:i w:val="0"/>
          <w:caps w:val="0"/>
          <w:color w:val="auto"/>
          <w:spacing w:val="8"/>
          <w:sz w:val="32"/>
          <w:szCs w:val="32"/>
          <w:shd w:val="clear" w:color="auto" w:fill="FFFFFF"/>
          <w:lang w:val="en-US" w:eastAsia="zh-CN"/>
        </w:rPr>
      </w:pPr>
      <w:r>
        <w:rPr>
          <w:rFonts w:hint="eastAsia" w:ascii="仿宋_GB2312" w:hAnsi="仿宋_GB2312" w:eastAsia="仿宋_GB2312" w:cs="仿宋_GB2312"/>
          <w:b/>
          <w:bCs/>
          <w:i w:val="0"/>
          <w:caps w:val="0"/>
          <w:color w:val="auto"/>
          <w:spacing w:val="8"/>
          <w:sz w:val="32"/>
          <w:szCs w:val="32"/>
          <w:shd w:val="clear" w:color="auto" w:fill="FFFFFF"/>
          <w:lang w:val="en-US" w:eastAsia="zh-CN"/>
        </w:rPr>
        <w:t>（一）科学合理编制预算，严格执行预算</w:t>
      </w:r>
    </w:p>
    <w:p w14:paraId="003D035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按照新《中华人民共和国预算法》及其实施条例的相关规定，按本部门的发展规划，结合上一年度预算执行情况和本年度预算收支变化因素，科合理地编制制本年预算方案，避免预算支出与实际执行出现较大偏差情况。</w:t>
      </w:r>
    </w:p>
    <w:p w14:paraId="088B3B7A">
      <w:pPr>
        <w:keepNext w:val="0"/>
        <w:keepLines w:val="0"/>
        <w:pageBreakBefore w:val="0"/>
        <w:kinsoku/>
        <w:wordWrap/>
        <w:overflowPunct/>
        <w:topLinePunct w:val="0"/>
        <w:autoSpaceDE/>
        <w:autoSpaceDN/>
        <w:bidi w:val="0"/>
        <w:adjustRightInd/>
        <w:snapToGrid/>
        <w:spacing w:beforeAutospacing="0" w:afterAutospacing="0" w:line="500" w:lineRule="exact"/>
        <w:ind w:left="0" w:leftChars="0" w:right="0" w:rightChars="0" w:firstLine="675" w:firstLineChars="200"/>
        <w:jc w:val="left"/>
        <w:textAlignment w:val="auto"/>
        <w:rPr>
          <w:rFonts w:hint="eastAsia" w:ascii="仿宋_GB2312" w:hAnsi="仿宋_GB2312" w:eastAsia="仿宋_GB2312" w:cs="仿宋_GB2312"/>
          <w:b/>
          <w:bCs/>
          <w:i w:val="0"/>
          <w:caps w:val="0"/>
          <w:color w:val="auto"/>
          <w:spacing w:val="8"/>
          <w:sz w:val="32"/>
          <w:szCs w:val="32"/>
          <w:shd w:val="clear" w:color="auto" w:fill="FFFFFF"/>
          <w:lang w:val="en-US" w:eastAsia="zh-CN"/>
        </w:rPr>
      </w:pPr>
      <w:r>
        <w:rPr>
          <w:rFonts w:hint="eastAsia" w:ascii="仿宋_GB2312" w:hAnsi="仿宋_GB2312" w:eastAsia="仿宋_GB2312" w:cs="仿宋_GB2312"/>
          <w:b/>
          <w:bCs/>
          <w:i w:val="0"/>
          <w:caps w:val="0"/>
          <w:color w:val="auto"/>
          <w:spacing w:val="8"/>
          <w:sz w:val="32"/>
          <w:szCs w:val="32"/>
          <w:shd w:val="clear" w:color="auto" w:fill="FFFFFF"/>
          <w:lang w:val="en-US" w:eastAsia="zh-CN"/>
        </w:rPr>
        <w:t>（二）规范账务处理，提高财务信息质量</w:t>
      </w:r>
    </w:p>
    <w:p w14:paraId="6278A67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严格按照《中华人民共和国会计法》、《事业单位会计制度》、《事业单位财务规则》等规定执行财务核算，并结合实际情况，完整、准确地披露相关信息，尽可能地做到决算与预算相衔接。</w:t>
      </w:r>
    </w:p>
    <w:p w14:paraId="4E25FAD6">
      <w:pPr>
        <w:keepNext w:val="0"/>
        <w:keepLines w:val="0"/>
        <w:pageBreakBefore w:val="0"/>
        <w:kinsoku/>
        <w:wordWrap/>
        <w:overflowPunct/>
        <w:topLinePunct w:val="0"/>
        <w:autoSpaceDE/>
        <w:autoSpaceDN/>
        <w:bidi w:val="0"/>
        <w:adjustRightInd/>
        <w:snapToGrid/>
        <w:spacing w:beforeAutospacing="0" w:afterAutospacing="0" w:line="500" w:lineRule="exact"/>
        <w:ind w:left="0" w:leftChars="0" w:right="0" w:rightChars="0" w:firstLine="675" w:firstLineChars="200"/>
        <w:jc w:val="left"/>
        <w:textAlignment w:val="auto"/>
        <w:rPr>
          <w:rFonts w:hint="eastAsia" w:ascii="仿宋_GB2312" w:hAnsi="仿宋_GB2312" w:eastAsia="仿宋_GB2312" w:cs="仿宋_GB2312"/>
          <w:b/>
          <w:bCs/>
          <w:i w:val="0"/>
          <w:caps w:val="0"/>
          <w:color w:val="auto"/>
          <w:spacing w:val="8"/>
          <w:sz w:val="32"/>
          <w:szCs w:val="32"/>
          <w:shd w:val="clear" w:color="auto" w:fill="FFFFFF"/>
          <w:lang w:val="en-US" w:eastAsia="zh-CN"/>
        </w:rPr>
      </w:pPr>
      <w:r>
        <w:rPr>
          <w:rFonts w:hint="eastAsia" w:ascii="仿宋_GB2312" w:hAnsi="仿宋_GB2312" w:eastAsia="仿宋_GB2312" w:cs="仿宋_GB2312"/>
          <w:b/>
          <w:bCs/>
          <w:i w:val="0"/>
          <w:caps w:val="0"/>
          <w:color w:val="auto"/>
          <w:spacing w:val="8"/>
          <w:sz w:val="32"/>
          <w:szCs w:val="32"/>
          <w:shd w:val="clear" w:color="auto" w:fill="FFFFFF"/>
          <w:lang w:val="en-US" w:eastAsia="zh-CN"/>
        </w:rPr>
        <w:t>（三）完善管理制度，进一步加强资产管理</w:t>
      </w:r>
    </w:p>
    <w:p w14:paraId="3555AEB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进一步贯彻落实中央八项规定和湖南省委“九条规定”，建立本单位“三公经费”等公务支出管理制度及厉行节约制度，加强经费审批和控制，规范支出标准和范围并严格执行。严格按照《固定资产管理办法》的规定加强固定资产管理，及时登记、加强资产卡片管理，年终前对各类实物资产进行全面盘点，确保账账、账实相符。</w:t>
      </w:r>
    </w:p>
    <w:p w14:paraId="1340C44B">
      <w:pPr>
        <w:keepNext w:val="0"/>
        <w:keepLines w:val="0"/>
        <w:pageBreakBefore w:val="0"/>
        <w:kinsoku/>
        <w:wordWrap/>
        <w:overflowPunct/>
        <w:topLinePunct w:val="0"/>
        <w:autoSpaceDE/>
        <w:autoSpaceDN/>
        <w:bidi w:val="0"/>
        <w:adjustRightInd/>
        <w:snapToGrid/>
        <w:spacing w:beforeAutospacing="0" w:afterAutospacing="0" w:line="500" w:lineRule="exact"/>
        <w:ind w:left="0" w:leftChars="0" w:right="0" w:rightChars="0" w:firstLine="675" w:firstLineChars="200"/>
        <w:jc w:val="left"/>
        <w:textAlignment w:val="auto"/>
        <w:rPr>
          <w:rFonts w:hint="eastAsia" w:ascii="仿宋_GB2312" w:hAnsi="仿宋_GB2312" w:eastAsia="仿宋_GB2312" w:cs="仿宋_GB2312"/>
          <w:b/>
          <w:bCs/>
          <w:i w:val="0"/>
          <w:caps w:val="0"/>
          <w:color w:val="auto"/>
          <w:spacing w:val="8"/>
          <w:sz w:val="32"/>
          <w:szCs w:val="32"/>
          <w:shd w:val="clear" w:color="auto" w:fill="FFFFFF"/>
          <w:lang w:val="en-US" w:eastAsia="zh-CN"/>
        </w:rPr>
      </w:pPr>
      <w:r>
        <w:rPr>
          <w:rFonts w:hint="eastAsia" w:ascii="仿宋_GB2312" w:hAnsi="仿宋_GB2312" w:eastAsia="仿宋_GB2312" w:cs="仿宋_GB2312"/>
          <w:b/>
          <w:bCs/>
          <w:i w:val="0"/>
          <w:caps w:val="0"/>
          <w:color w:val="auto"/>
          <w:spacing w:val="8"/>
          <w:sz w:val="32"/>
          <w:szCs w:val="32"/>
          <w:shd w:val="clear" w:color="auto" w:fill="FFFFFF"/>
          <w:lang w:val="en-US" w:eastAsia="zh-CN"/>
        </w:rPr>
        <w:t>（四）加强新会计制度和新预算法学习培训</w:t>
      </w:r>
    </w:p>
    <w:p w14:paraId="7A5208A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加强新《中华人民共和国预算法》和《事业单位会计制度》等学习培训，进一步规范部门预算收支核算，制定和完善基本支出等各项支出标准，严格按照标准和进度执行预算，增强预算的约束力和严肃性；落实预算执行分析，及时了解并合理调整、纠正预算执行偏差，切实提高部门预算管理力度和水平。</w:t>
      </w:r>
    </w:p>
    <w:p w14:paraId="4397975F">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rPr>
          <w:rFonts w:hint="eastAsia" w:ascii="仿宋" w:hAnsi="仿宋" w:eastAsia="仿宋" w:cs="仿宋"/>
          <w:color w:val="auto"/>
          <w:sz w:val="32"/>
          <w:szCs w:val="32"/>
          <w:lang w:val="en-US" w:eastAsia="zh-CN"/>
        </w:rPr>
      </w:pPr>
    </w:p>
    <w:p w14:paraId="3A87C0F9">
      <w:pPr>
        <w:rPr>
          <w:color w:val="auto"/>
        </w:rPr>
      </w:pPr>
    </w:p>
    <w:sectPr>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hMzkwOTc1ODA2YzZkNmI4NDc5YmFjZTUxNjdmNDQifQ=="/>
  </w:docVars>
  <w:rsids>
    <w:rsidRoot w:val="41CC438A"/>
    <w:rsid w:val="021C2496"/>
    <w:rsid w:val="038B1504"/>
    <w:rsid w:val="0EDA0794"/>
    <w:rsid w:val="12DA5095"/>
    <w:rsid w:val="164B61BD"/>
    <w:rsid w:val="1F746DAA"/>
    <w:rsid w:val="366B064F"/>
    <w:rsid w:val="375D11A4"/>
    <w:rsid w:val="3C6E7EA6"/>
    <w:rsid w:val="41CC438A"/>
    <w:rsid w:val="4465495E"/>
    <w:rsid w:val="46AC119F"/>
    <w:rsid w:val="56656862"/>
    <w:rsid w:val="5A8318A1"/>
    <w:rsid w:val="5E4F150B"/>
    <w:rsid w:val="704D2A4F"/>
    <w:rsid w:val="74C119C1"/>
    <w:rsid w:val="79DA16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Body Text Indent 2"/>
    <w:basedOn w:val="1"/>
    <w:qFormat/>
    <w:uiPriority w:val="0"/>
    <w:pPr>
      <w:spacing w:beforeLines="0" w:afterLines="0" w:line="480" w:lineRule="auto"/>
      <w:ind w:left="420" w:leftChars="200"/>
    </w:pPr>
    <w:rPr>
      <w:rFonts w:hint="default"/>
      <w:sz w:val="21"/>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13189</Words>
  <Characters>13922</Characters>
  <Lines>0</Lines>
  <Paragraphs>0</Paragraphs>
  <TotalTime>1</TotalTime>
  <ScaleCrop>false</ScaleCrop>
  <LinksUpToDate>false</LinksUpToDate>
  <CharactersWithSpaces>13947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2020-11-06T07:55:00Z</dcterms:created>
  <dc:creator>燕</dc:creator>
  <cp:lastModifiedBy>空城旧梦</cp:lastModifiedBy>
  <dcterms:modified xsi:type="dcterms:W3CDTF">2024-09-26T01:34:59Z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4DF588AD7FFD47AF88FAA53B13509003</vt:lpwstr>
  </property>
</Properties>
</file>