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40"/>
          <w:szCs w:val="44"/>
        </w:rPr>
      </w:pPr>
    </w:p>
    <w:p>
      <w:pPr>
        <w:jc w:val="center"/>
        <w:rPr>
          <w:rFonts w:ascii="Times New Roman" w:hAnsi="Times New Roman" w:eastAsia="宋体" w:cs="Times New Roman"/>
          <w:b/>
          <w:bCs/>
          <w:sz w:val="40"/>
          <w:szCs w:val="44"/>
        </w:rPr>
      </w:pPr>
    </w:p>
    <w:p>
      <w:pPr>
        <w:jc w:val="center"/>
        <w:rPr>
          <w:rFonts w:ascii="Times New Roman" w:hAnsi="Times New Roman" w:eastAsia="宋体" w:cs="Times New Roman"/>
          <w:b/>
          <w:bCs/>
          <w:sz w:val="40"/>
          <w:szCs w:val="44"/>
        </w:rPr>
      </w:pPr>
    </w:p>
    <w:p>
      <w:pPr>
        <w:pStyle w:val="2"/>
        <w:rPr>
          <w:rFonts w:ascii="Times New Roman" w:hAnsi="Times New Roman" w:eastAsia="宋体" w:cs="Times New Roman"/>
          <w:b/>
          <w:bCs/>
          <w:sz w:val="40"/>
          <w:szCs w:val="44"/>
        </w:rPr>
      </w:pPr>
    </w:p>
    <w:p>
      <w:pPr>
        <w:pStyle w:val="2"/>
        <w:rPr>
          <w:rFonts w:ascii="Times New Roman" w:hAnsi="Times New Roman" w:eastAsia="宋体" w:cs="Times New Roman"/>
          <w:b/>
          <w:bCs/>
          <w:sz w:val="40"/>
          <w:szCs w:val="44"/>
        </w:rPr>
      </w:pPr>
    </w:p>
    <w:p>
      <w:pPr>
        <w:jc w:val="center"/>
        <w:rPr>
          <w:rFonts w:ascii="Times New Roman" w:hAnsi="Times New Roman" w:eastAsia="宋体" w:cs="Times New Roman"/>
          <w:b/>
          <w:bCs/>
          <w:sz w:val="40"/>
          <w:szCs w:val="44"/>
        </w:rPr>
      </w:pPr>
    </w:p>
    <w:p>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关于报送2023年度</w:t>
      </w:r>
      <w:r>
        <w:rPr>
          <w:rFonts w:hint="eastAsia" w:ascii="方正大标宋简体" w:hAnsi="方正大标宋简体" w:eastAsia="方正大标宋简体" w:cs="方正大标宋简体"/>
          <w:sz w:val="44"/>
          <w:szCs w:val="44"/>
          <w:lang w:eastAsia="zh-CN"/>
        </w:rPr>
        <w:t>万水乡</w:t>
      </w:r>
      <w:r>
        <w:rPr>
          <w:rFonts w:hint="eastAsia" w:ascii="方正大标宋简体" w:hAnsi="方正大标宋简体" w:eastAsia="方正大标宋简体" w:cs="方正大标宋简体"/>
          <w:sz w:val="44"/>
          <w:szCs w:val="44"/>
        </w:rPr>
        <w:t>人民政府整体支出绩效自评的报告</w:t>
      </w:r>
    </w:p>
    <w:p>
      <w:pPr>
        <w:rPr>
          <w:rFonts w:ascii="仿宋_GB2312" w:hAnsi="Times New Roman" w:eastAsia="仿宋_GB2312" w:cs="Times New Roman"/>
          <w:sz w:val="32"/>
          <w:szCs w:val="32"/>
        </w:rPr>
      </w:pPr>
    </w:p>
    <w:p>
      <w:pPr>
        <w:spacing w:line="58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县财政局：</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根据《临武县财政局关于开展2023年度县级预算部门绩效自评和部门评价的通知》文件要求，我单位已按要求完成了2023年度整体支出绩效自评，现将我单位自评报告、基础数据表等一并呈报，请审阅。</w:t>
      </w:r>
    </w:p>
    <w:p>
      <w:pPr>
        <w:spacing w:line="580" w:lineRule="exact"/>
        <w:rPr>
          <w:rFonts w:ascii="仿宋_GB2312" w:hAnsi="Times New Roman" w:eastAsia="仿宋_GB2312" w:cs="Times New Roman"/>
          <w:sz w:val="32"/>
          <w:szCs w:val="32"/>
        </w:rPr>
      </w:pP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附件：1、</w:t>
      </w:r>
      <w:r>
        <w:rPr>
          <w:rFonts w:hint="eastAsia" w:ascii="仿宋_GB2312" w:hAnsi="Times New Roman" w:eastAsia="仿宋_GB2312" w:cs="Times New Roman"/>
          <w:spacing w:val="-18"/>
          <w:sz w:val="32"/>
          <w:szCs w:val="32"/>
        </w:rPr>
        <w:t>2023年度</w:t>
      </w:r>
      <w:r>
        <w:rPr>
          <w:rFonts w:hint="eastAsia" w:ascii="仿宋_GB2312" w:hAnsi="Times New Roman" w:eastAsia="仿宋_GB2312" w:cs="Times New Roman"/>
          <w:spacing w:val="-18"/>
          <w:sz w:val="32"/>
          <w:szCs w:val="32"/>
          <w:lang w:eastAsia="zh-CN"/>
        </w:rPr>
        <w:t>万水乡</w:t>
      </w:r>
      <w:r>
        <w:rPr>
          <w:rFonts w:hint="eastAsia" w:ascii="仿宋_GB2312" w:hAnsi="Times New Roman" w:eastAsia="仿宋_GB2312" w:cs="Times New Roman"/>
          <w:spacing w:val="-18"/>
          <w:sz w:val="32"/>
          <w:szCs w:val="32"/>
        </w:rPr>
        <w:t>人民政府整体支出绩效自评报告</w:t>
      </w:r>
    </w:p>
    <w:p>
      <w:pPr>
        <w:spacing w:line="580" w:lineRule="exact"/>
        <w:ind w:firstLine="1600" w:firstLineChars="5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2、部门整体支出绩效评价基础数据表</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 xml:space="preserve">  3、2023年度部门整体支出绩效自评表</w:t>
      </w:r>
    </w:p>
    <w:p>
      <w:pPr>
        <w:spacing w:line="580" w:lineRule="exact"/>
        <w:ind w:firstLine="640" w:firstLineChars="200"/>
        <w:rPr>
          <w:rFonts w:ascii="仿宋_GB2312" w:hAnsi="Times New Roman" w:eastAsia="仿宋_GB2312" w:cs="Times New Roman"/>
          <w:spacing w:val="-34"/>
          <w:sz w:val="32"/>
          <w:szCs w:val="32"/>
        </w:rPr>
      </w:pP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ab/>
      </w:r>
      <w:r>
        <w:rPr>
          <w:rFonts w:hint="eastAsia" w:ascii="仿宋_GB2312" w:hAnsi="Times New Roman" w:eastAsia="仿宋_GB2312" w:cs="Times New Roman"/>
          <w:sz w:val="32"/>
          <w:szCs w:val="32"/>
        </w:rPr>
        <w:t xml:space="preserve"> </w:t>
      </w:r>
    </w:p>
    <w:p>
      <w:pPr>
        <w:spacing w:line="580" w:lineRule="exact"/>
        <w:ind w:firstLine="640" w:firstLineChars="200"/>
        <w:rPr>
          <w:rFonts w:ascii="仿宋_GB2312" w:hAnsi="Times New Roman" w:eastAsia="仿宋_GB2312" w:cs="Times New Roman"/>
          <w:sz w:val="32"/>
          <w:szCs w:val="32"/>
        </w:rPr>
      </w:pPr>
    </w:p>
    <w:p>
      <w:pPr>
        <w:spacing w:line="580" w:lineRule="exact"/>
        <w:ind w:firstLine="4160" w:firstLineChars="1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临武县</w:t>
      </w:r>
      <w:r>
        <w:rPr>
          <w:rFonts w:hint="eastAsia" w:ascii="仿宋_GB2312" w:hAnsi="Times New Roman" w:eastAsia="仿宋_GB2312" w:cs="Times New Roman"/>
          <w:sz w:val="32"/>
          <w:szCs w:val="32"/>
          <w:lang w:eastAsia="zh-CN"/>
        </w:rPr>
        <w:t>万水乡</w:t>
      </w:r>
      <w:r>
        <w:rPr>
          <w:rFonts w:hint="eastAsia" w:ascii="仿宋_GB2312" w:hAnsi="Times New Roman" w:eastAsia="仿宋_GB2312" w:cs="Times New Roman"/>
          <w:sz w:val="32"/>
          <w:szCs w:val="32"/>
        </w:rPr>
        <w:t xml:space="preserve">人民政府                </w:t>
      </w:r>
    </w:p>
    <w:p>
      <w:pPr>
        <w:spacing w:line="580" w:lineRule="exact"/>
        <w:ind w:firstLine="960" w:firstLine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2024年4 月25日</w:t>
      </w:r>
    </w:p>
    <w:p>
      <w:pPr>
        <w:spacing w:line="580" w:lineRule="exact"/>
        <w:rPr>
          <w:sz w:val="32"/>
          <w:szCs w:val="32"/>
        </w:rPr>
      </w:pPr>
    </w:p>
    <w:p>
      <w:pPr>
        <w:spacing w:before="69" w:line="224" w:lineRule="auto"/>
        <w:rPr>
          <w:rFonts w:ascii="黑体" w:hAnsi="黑体" w:eastAsia="黑体" w:cs="黑体"/>
          <w:b/>
          <w:bCs/>
          <w:spacing w:val="21"/>
          <w:sz w:val="31"/>
          <w:szCs w:val="31"/>
        </w:rPr>
      </w:pPr>
    </w:p>
    <w:p>
      <w:pPr>
        <w:spacing w:before="69" w:line="224" w:lineRule="auto"/>
        <w:rPr>
          <w:rFonts w:ascii="黑体" w:hAnsi="黑体" w:eastAsia="黑体" w:cs="黑体"/>
          <w:b/>
          <w:bCs/>
          <w:spacing w:val="21"/>
          <w:sz w:val="31"/>
          <w:szCs w:val="31"/>
        </w:rPr>
      </w:pPr>
    </w:p>
    <w:p>
      <w:pPr>
        <w:spacing w:line="266" w:lineRule="auto"/>
      </w:pPr>
    </w:p>
    <w:p>
      <w:pPr>
        <w:pStyle w:val="2"/>
      </w:pPr>
    </w:p>
    <w:p>
      <w:pPr>
        <w:pStyle w:val="2"/>
      </w:pPr>
    </w:p>
    <w:p>
      <w:pPr>
        <w:pStyle w:val="2"/>
        <w:rPr>
          <w:sz w:val="48"/>
          <w:szCs w:val="48"/>
        </w:rPr>
      </w:pPr>
    </w:p>
    <w:p>
      <w:pPr>
        <w:spacing w:before="163" w:line="787" w:lineRule="exact"/>
        <w:jc w:val="center"/>
        <w:rPr>
          <w:rFonts w:hint="eastAsia" w:ascii="方正小标宋简体" w:hAnsi="方正小标宋简体" w:eastAsia="方正小标宋简体" w:cs="方正小标宋简体"/>
          <w:b/>
          <w:bCs/>
          <w:spacing w:val="17"/>
          <w:w w:val="90"/>
          <w:position w:val="19"/>
          <w:sz w:val="48"/>
          <w:szCs w:val="48"/>
          <w:lang w:eastAsia="zh-CN"/>
        </w:rPr>
      </w:pPr>
      <w:r>
        <w:rPr>
          <w:rFonts w:hint="eastAsia" w:ascii="方正小标宋简体" w:hAnsi="方正小标宋简体" w:eastAsia="方正小标宋简体" w:cs="方正小标宋简体"/>
          <w:b/>
          <w:bCs/>
          <w:spacing w:val="17"/>
          <w:w w:val="90"/>
          <w:position w:val="19"/>
          <w:sz w:val="48"/>
          <w:szCs w:val="48"/>
        </w:rPr>
        <w:t>2023年度</w:t>
      </w:r>
      <w:r>
        <w:rPr>
          <w:rFonts w:hint="eastAsia" w:ascii="方正小标宋简体" w:hAnsi="方正小标宋简体" w:eastAsia="方正小标宋简体" w:cs="方正小标宋简体"/>
          <w:b/>
          <w:bCs/>
          <w:spacing w:val="17"/>
          <w:w w:val="90"/>
          <w:position w:val="19"/>
          <w:sz w:val="48"/>
          <w:szCs w:val="48"/>
          <w:lang w:val="en-US" w:eastAsia="zh-CN"/>
        </w:rPr>
        <w:t>临武县万水乡人民政府</w:t>
      </w:r>
      <w:r>
        <w:rPr>
          <w:rFonts w:hint="eastAsia" w:ascii="方正小标宋简体" w:hAnsi="方正小标宋简体" w:eastAsia="方正小标宋简体" w:cs="方正小标宋简体"/>
          <w:b/>
          <w:bCs/>
          <w:spacing w:val="17"/>
          <w:w w:val="90"/>
          <w:position w:val="19"/>
          <w:sz w:val="48"/>
          <w:szCs w:val="48"/>
        </w:rPr>
        <w:t>整</w:t>
      </w:r>
      <w:r>
        <w:rPr>
          <w:rFonts w:hint="eastAsia" w:ascii="方正小标宋简体" w:hAnsi="方正小标宋简体" w:eastAsia="方正小标宋简体" w:cs="方正小标宋简体"/>
          <w:b/>
          <w:bCs/>
          <w:spacing w:val="17"/>
          <w:w w:val="90"/>
          <w:position w:val="19"/>
          <w:sz w:val="48"/>
          <w:szCs w:val="48"/>
          <w:lang w:eastAsia="zh-CN"/>
        </w:rPr>
        <w:t>支出</w:t>
      </w:r>
    </w:p>
    <w:p>
      <w:pPr>
        <w:spacing w:before="163" w:line="787" w:lineRule="exact"/>
        <w:jc w:val="center"/>
        <w:rPr>
          <w:rFonts w:ascii="仿宋" w:hAnsi="仿宋" w:eastAsia="仿宋" w:cs="仿宋"/>
          <w:sz w:val="48"/>
          <w:szCs w:val="48"/>
        </w:rPr>
      </w:pPr>
      <w:r>
        <w:rPr>
          <w:rFonts w:hint="eastAsia" w:ascii="方正小标宋简体" w:hAnsi="方正小标宋简体" w:eastAsia="方正小标宋简体" w:cs="方正小标宋简体"/>
          <w:b/>
          <w:bCs/>
          <w:spacing w:val="8"/>
          <w:sz w:val="48"/>
          <w:szCs w:val="48"/>
        </w:rPr>
        <w:t>绩效自评报告</w:t>
      </w: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pStyle w:val="4"/>
        <w:spacing w:before="87" w:line="221" w:lineRule="auto"/>
        <w:ind w:left="1825"/>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部 门</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1"/>
          <w:sz w:val="32"/>
          <w:szCs w:val="32"/>
        </w:rPr>
        <w:t>( 单</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位</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名</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21"/>
          <w:sz w:val="32"/>
          <w:szCs w:val="32"/>
        </w:rPr>
        <w:t>称</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1"/>
          <w:sz w:val="32"/>
          <w:szCs w:val="32"/>
          <w:u w:val="single"/>
        </w:rPr>
        <w:t xml:space="preserve">  </w:t>
      </w:r>
      <w:r>
        <w:rPr>
          <w:rFonts w:hint="eastAsia" w:ascii="仿宋_GB2312" w:hAnsi="仿宋_GB2312" w:eastAsia="仿宋_GB2312" w:cs="仿宋_GB2312"/>
          <w:spacing w:val="-21"/>
          <w:sz w:val="32"/>
          <w:szCs w:val="32"/>
          <w:u w:val="single"/>
          <w:lang w:eastAsia="zh-CN"/>
        </w:rPr>
        <w:t>临武县万水乡人民政府</w:t>
      </w:r>
      <w:r>
        <w:rPr>
          <w:rFonts w:hint="eastAsia" w:ascii="仿宋_GB2312" w:hAnsi="仿宋_GB2312" w:eastAsia="仿宋_GB2312" w:cs="仿宋_GB2312"/>
          <w:spacing w:val="-21"/>
          <w:sz w:val="32"/>
          <w:szCs w:val="32"/>
          <w:u w:val="single"/>
        </w:rPr>
        <w:t xml:space="preserve">        </w:t>
      </w:r>
    </w:p>
    <w:p>
      <w:pPr>
        <w:spacing w:before="308" w:line="225" w:lineRule="auto"/>
        <w:ind w:left="3065"/>
        <w:rPr>
          <w:rFonts w:ascii="楷体" w:hAnsi="楷体" w:eastAsia="楷体" w:cs="楷体"/>
          <w:sz w:val="27"/>
          <w:szCs w:val="27"/>
        </w:rPr>
      </w:pPr>
      <w:r>
        <w:rPr>
          <w:rFonts w:hint="eastAsia" w:ascii="仿宋_GB2312" w:hAnsi="仿宋_GB2312" w:eastAsia="仿宋_GB2312" w:cs="仿宋_GB2312"/>
          <w:spacing w:val="-12"/>
          <w:sz w:val="32"/>
          <w:szCs w:val="32"/>
          <w:lang w:val="en-US" w:eastAsia="zh-CN"/>
        </w:rPr>
        <w:t>2024</w:t>
      </w:r>
      <w:r>
        <w:rPr>
          <w:rFonts w:hint="eastAsia" w:ascii="仿宋_GB2312" w:hAnsi="仿宋_GB2312" w:eastAsia="仿宋_GB2312" w:cs="仿宋_GB2312"/>
          <w:spacing w:val="-12"/>
          <w:sz w:val="32"/>
          <w:szCs w:val="32"/>
        </w:rPr>
        <w:t>年</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lang w:val="en-US" w:eastAsia="zh-CN"/>
        </w:rPr>
        <w:t>04</w:t>
      </w:r>
      <w:r>
        <w:rPr>
          <w:rFonts w:hint="eastAsia" w:ascii="仿宋_GB2312" w:hAnsi="仿宋_GB2312" w:eastAsia="仿宋_GB2312" w:cs="仿宋_GB2312"/>
          <w:spacing w:val="-12"/>
          <w:sz w:val="32"/>
          <w:szCs w:val="32"/>
        </w:rPr>
        <w:t>月</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12"/>
          <w:sz w:val="32"/>
          <w:szCs w:val="32"/>
        </w:rPr>
        <w:t>日</w:t>
      </w:r>
    </w:p>
    <w:p>
      <w:pPr>
        <w:spacing w:line="361" w:lineRule="auto"/>
      </w:pPr>
    </w:p>
    <w:p>
      <w:pPr>
        <w:spacing w:line="224" w:lineRule="auto"/>
        <w:rPr>
          <w:sz w:val="31"/>
          <w:szCs w:val="31"/>
        </w:rPr>
        <w:sectPr>
          <w:footerReference r:id="rId3" w:type="default"/>
          <w:pgSz w:w="12130" w:h="16980"/>
          <w:pgMar w:top="1443" w:right="1812" w:bottom="1538" w:left="1744" w:header="0" w:footer="1229" w:gutter="0"/>
          <w:cols w:space="720" w:num="1"/>
        </w:sect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eastAsia="zh-CN"/>
        </w:rPr>
        <w:t>临武县万水乡人民政府</w:t>
      </w: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2023年</w:t>
      </w:r>
      <w:r>
        <w:rPr>
          <w:rFonts w:hint="eastAsia" w:ascii="方正小标宋简体" w:hAnsi="方正小标宋简体" w:eastAsia="方正小标宋简体" w:cs="方正小标宋简体"/>
          <w:i w:val="0"/>
          <w:iCs w:val="0"/>
          <w:caps w:val="0"/>
          <w:color w:val="auto"/>
          <w:spacing w:val="0"/>
          <w:sz w:val="40"/>
          <w:szCs w:val="40"/>
          <w:shd w:val="clear"/>
        </w:rPr>
        <w:t>部门整体支出绩效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自评报告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w:t>
      </w:r>
      <w:bookmarkStart w:id="0" w:name="_GoBack"/>
      <w:bookmarkEnd w:id="0"/>
      <w:r>
        <w:rPr>
          <w:rFonts w:hint="default" w:ascii="Times New Roman" w:hAnsi="Times New Roman" w:eastAsia="仿宋" w:cs="Times New Roman"/>
          <w:color w:val="auto"/>
          <w:kern w:val="2"/>
          <w:sz w:val="32"/>
          <w:szCs w:val="32"/>
          <w:shd w:val="clear"/>
          <w:lang w:val="en-US" w:eastAsia="zh-CN" w:bidi="ar"/>
        </w:rPr>
        <w:t>南省委办公厅湖南省人民政府办公厅关于全面实施预算绩效管理的实施意见》（湘办发〔2019〕10号）及《关于</w:t>
      </w:r>
      <w:r>
        <w:rPr>
          <w:rFonts w:hint="eastAsia" w:ascii="Times New Roman" w:hAnsi="Times New Roman" w:eastAsia="仿宋" w:cs="Times New Roman"/>
          <w:color w:val="auto"/>
          <w:kern w:val="2"/>
          <w:sz w:val="32"/>
          <w:szCs w:val="32"/>
          <w:shd w:val="clear"/>
          <w:lang w:val="en-US" w:eastAsia="zh-CN" w:bidi="ar"/>
        </w:rPr>
        <w:t>开展</w:t>
      </w:r>
      <w:r>
        <w:rPr>
          <w:rFonts w:hint="default" w:ascii="Times New Roman" w:hAnsi="Times New Roman" w:eastAsia="仿宋" w:cs="Times New Roman"/>
          <w:color w:val="auto"/>
          <w:kern w:val="2"/>
          <w:sz w:val="32"/>
          <w:szCs w:val="32"/>
          <w:shd w:val="clear"/>
          <w:lang w:val="en-US" w:eastAsia="zh-CN" w:bidi="ar"/>
        </w:rPr>
        <w:t>202</w:t>
      </w:r>
      <w:r>
        <w:rPr>
          <w:rFonts w:hint="eastAsia" w:ascii="Times New Roman" w:hAnsi="Times New Roman" w:eastAsia="仿宋" w:cs="Times New Roman"/>
          <w:color w:val="auto"/>
          <w:kern w:val="2"/>
          <w:sz w:val="32"/>
          <w:szCs w:val="32"/>
          <w:shd w:val="clear"/>
          <w:lang w:val="en-US" w:eastAsia="zh-CN" w:bidi="ar"/>
        </w:rPr>
        <w:t>3年度预算绩效自评的</w:t>
      </w:r>
      <w:r>
        <w:rPr>
          <w:rFonts w:hint="default" w:ascii="Times New Roman" w:hAnsi="Times New Roman" w:eastAsia="仿宋" w:cs="Times New Roman"/>
          <w:color w:val="auto"/>
          <w:kern w:val="2"/>
          <w:sz w:val="32"/>
          <w:szCs w:val="32"/>
          <w:shd w:val="clear"/>
          <w:lang w:val="en-US" w:eastAsia="zh-CN" w:bidi="ar"/>
        </w:rPr>
        <w:t>通知》（临财绩〔202</w:t>
      </w:r>
      <w:r>
        <w:rPr>
          <w:rFonts w:hint="eastAsia" w:ascii="Times New Roman" w:hAnsi="Times New Roman" w:eastAsia="仿宋" w:cs="Times New Roman"/>
          <w:color w:val="auto"/>
          <w:kern w:val="2"/>
          <w:sz w:val="32"/>
          <w:szCs w:val="32"/>
          <w:shd w:val="clear"/>
          <w:lang w:val="en-US" w:eastAsia="zh-CN" w:bidi="ar"/>
        </w:rPr>
        <w:t>4</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48</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我单位对2023年部门整体支出进行了绩效自评，现将绩效自评情况报告如下：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一、单位基本情况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rPr>
        <w:t>临武县万水乡人民政府设有4个内设机构，包括：1、党政综合办公室；2、经济发展和规划建设办公室；3、社会事务办公室；4、卫生和计划生育办公室。单位所属事业单位5个：</w:t>
      </w:r>
      <w:r>
        <w:rPr>
          <w:rFonts w:hint="eastAsia" w:ascii="仿宋_GB2312" w:hAnsi="仿宋_GB2312" w:eastAsia="仿宋_GB2312" w:cs="仿宋_GB2312"/>
          <w:sz w:val="32"/>
          <w:szCs w:val="32"/>
          <w:lang w:val="en-US" w:eastAsia="zh-CN"/>
        </w:rPr>
        <w:t>1.万水乡综合行政执法大队 2.万水乡政务（便民）服务中心 3.万水乡农业综合服务中心 4.万水乡社会事务综合服务中心 5.万水乡退役军人服务站。</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w:t>
      </w:r>
      <w:r>
        <w:rPr>
          <w:rFonts w:hint="eastAsia" w:ascii="仿宋_GB2312" w:hAnsi="仿宋_GB2312" w:eastAsia="仿宋_GB2312" w:cs="仿宋_GB2312"/>
          <w:sz w:val="32"/>
          <w:szCs w:val="32"/>
          <w:lang w:val="en-US" w:eastAsia="zh-CN"/>
        </w:rPr>
        <w:t>本单位有编制54人，其中：行政编21人，事业编33人；实有43人，其中：行政编19人，事业编24人</w:t>
      </w:r>
      <w:r>
        <w:rPr>
          <w:rFonts w:hint="eastAsia" w:ascii="仿宋_GB2312" w:hAnsi="Calibri" w:eastAsia="仿宋_GB2312" w:cs="仿宋_GB2312"/>
          <w:color w:val="000000"/>
          <w:kern w:val="0"/>
          <w:sz w:val="32"/>
          <w:szCs w:val="32"/>
          <w:shd w:val="clear" w:fill="FFFFFF"/>
          <w:lang w:val="en-US" w:eastAsia="zh-CN" w:bidi="ar"/>
        </w:rPr>
        <w:t>。</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乡党委主要职责：</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贯彻执行党的路线方针政策和上级党组织及本乡党员代表大会的决议。</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讨论决定本乡域经济建设和社会发展中的重大问题。</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领导乡政权机关和群众组织，支持和保证这些机关和组织依照国家法律及各自章程充分行使职权。</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负责乡党委自身建设和以党支部为核心的全乡村级组织建设。</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按照干部管理权限，负责对乡机关及所属企事业单位的干部教育、培训、选拔和监督工作；协助管理上级有关部门驻乡单位的干部。</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领导全乡的社会主义民主法制建设和精神文明建设，做好社会治安综合治理及计划生育工作。</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承办县委交办的其他工作任务。</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乡政府主要职责：</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执行本级人民代表大会的决议和上级国家行政机关的决定和命令，发布决定和命令。</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执行本行政区域内的经济和社会发展计划，加强公共设施的建设和管理，发展各项服务事业。</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依法管理本级财政、执行本级预算。</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为城乡居民提供有效的科技教育、文化体育、卫生医疗、人才开发、劳动就业、信息咨询、安全生产等方面的服务。</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开展社会主义民主与法制教育，加强社会治安综合治理，调解民事纠纷，维护社会秩序。</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推行计划生育，依法规范群众的生育行为；保护妇女、儿童和老人的合法权益。</w:t>
      </w:r>
    </w:p>
    <w:p>
      <w:pPr>
        <w:widowControl/>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负责民政工作，发展社会福利事业，做好社会保障工作，办理兵役事项。</w:t>
      </w:r>
    </w:p>
    <w:p>
      <w:pPr>
        <w:widowControl/>
        <w:spacing w:line="600" w:lineRule="exact"/>
        <w:ind w:firstLine="660"/>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承办县人民政府交办的其他事项。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贯彻执行上级的各项方针政策，保障公民享有宪法规定的经济、政治和文体权利。加强综合治理，维护社会稳定，妥善处理突发性、群体性事件，调节和处理好各种利益矛盾和纠纷。根据乡村社会的需要，组织制定和推动落实农民认可的乡规民约，构建和谐的乡村社会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全方位提振经济发展：1、多措并举抓实“六保”“六稳”；二、加快推进农业农村现代化，系统布局乡村振兴：1、巩固脱贫攻坚成效；2、实现产业兴旺局面；3、打造生态宜居环境；4、营造乡风文明风气；5、提高社会治理能力；6、加快推进项目建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w:t>
      </w:r>
      <w:r>
        <w:rPr>
          <w:rFonts w:hint="eastAsia" w:ascii="仿宋_GB2312" w:hAnsi="仿宋_GB2312" w:eastAsia="仿宋_GB2312" w:cs="仿宋_GB2312"/>
          <w:i w:val="0"/>
          <w:iCs w:val="0"/>
          <w:caps w:val="0"/>
          <w:color w:val="auto"/>
          <w:spacing w:val="0"/>
          <w:sz w:val="32"/>
          <w:szCs w:val="32"/>
          <w:shd w:val="clear"/>
          <w:lang w:eastAsia="zh-CN"/>
        </w:rPr>
        <w:t>预算批复</w:t>
      </w:r>
      <w:r>
        <w:rPr>
          <w:rFonts w:hint="eastAsia" w:ascii="仿宋_GB2312" w:hAnsi="仿宋_GB2312" w:eastAsia="仿宋_GB2312" w:cs="仿宋_GB2312"/>
          <w:i w:val="0"/>
          <w:iCs w:val="0"/>
          <w:caps w:val="0"/>
          <w:color w:val="auto"/>
          <w:spacing w:val="0"/>
          <w:sz w:val="32"/>
          <w:szCs w:val="32"/>
          <w:shd w:val="clear"/>
          <w:lang w:val="en-US" w:eastAsia="zh-CN"/>
        </w:rPr>
        <w:t>615.13万元，其中：按收入性质分类：一般公共预算收入550.13万元，占89%；纳入专户管理的非税收入拨款65万元，占11%。按支出性质分类：基本支出578.13万元，占94%；项目支出37万元，占6%。</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2023年决算批复1475.13万元，其中：按收入性质分类：一般公共预算财政拨款1475.13万元，占100%。按支出性质分类：基本支出566.16万元，占38%；项目支出908.97万元，占62%。</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w:t>
      </w:r>
      <w:r>
        <w:rPr>
          <w:rFonts w:hint="eastAsia" w:ascii="仿宋_GB2312" w:hAnsi="仿宋_GB2312" w:eastAsia="仿宋_GB2312" w:cs="仿宋_GB2312"/>
          <w:i w:val="0"/>
          <w:iCs w:val="0"/>
          <w:caps w:val="0"/>
          <w:color w:val="auto"/>
          <w:spacing w:val="0"/>
          <w:sz w:val="32"/>
          <w:szCs w:val="32"/>
          <w:shd w:val="clear"/>
          <w:lang w:eastAsia="zh-CN"/>
        </w:rPr>
        <w:t>基本支出</w:t>
      </w:r>
      <w:r>
        <w:rPr>
          <w:rFonts w:hint="eastAsia" w:ascii="仿宋_GB2312" w:hAnsi="仿宋_GB2312" w:eastAsia="仿宋_GB2312" w:cs="仿宋_GB2312"/>
          <w:i w:val="0"/>
          <w:iCs w:val="0"/>
          <w:caps w:val="0"/>
          <w:color w:val="auto"/>
          <w:spacing w:val="0"/>
          <w:sz w:val="32"/>
          <w:szCs w:val="32"/>
          <w:shd w:val="clear"/>
          <w:lang w:val="en-US" w:eastAsia="zh-CN"/>
        </w:rPr>
        <w:t>566.16万元，其中：工资福利支出507.53万元；商品和服务支出58.63万元。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w:t>
      </w:r>
      <w:r>
        <w:rPr>
          <w:rFonts w:hint="eastAsia" w:ascii="仿宋_GB2312" w:hAnsi="仿宋_GB2312" w:eastAsia="仿宋_GB2312" w:cs="仿宋_GB2312"/>
          <w:i w:val="0"/>
          <w:iCs w:val="0"/>
          <w:caps w:val="0"/>
          <w:color w:val="auto"/>
          <w:spacing w:val="0"/>
          <w:sz w:val="32"/>
          <w:szCs w:val="32"/>
          <w:shd w:val="clear"/>
          <w:lang w:eastAsia="zh-CN"/>
        </w:rPr>
        <w:t>项目支出</w:t>
      </w:r>
      <w:r>
        <w:rPr>
          <w:rFonts w:hint="eastAsia" w:ascii="仿宋_GB2312" w:hAnsi="仿宋_GB2312" w:eastAsia="仿宋_GB2312" w:cs="仿宋_GB2312"/>
          <w:i w:val="0"/>
          <w:iCs w:val="0"/>
          <w:caps w:val="0"/>
          <w:color w:val="auto"/>
          <w:spacing w:val="0"/>
          <w:sz w:val="32"/>
          <w:szCs w:val="32"/>
          <w:shd w:val="clear"/>
          <w:lang w:val="en-US" w:eastAsia="zh-CN"/>
        </w:rPr>
        <w:t>908.97万元，其中：商品和服务支出687.98万元；对个人和家庭补助支出156.93万元；资本性支出64.06万元。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用于保障政府机关、事业单位等机构为完成特定的行政工作任务或事业发展目标，用于专项业务工作的经费支出。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Calibri" w:eastAsia="仿宋_GB2312" w:cs="仿宋_GB2312"/>
          <w:color w:val="000000"/>
          <w:kern w:val="0"/>
          <w:sz w:val="32"/>
          <w:szCs w:val="32"/>
          <w:shd w:val="clear" w:fill="FFFFFF"/>
          <w:lang w:val="en-US" w:eastAsia="zh-CN" w:bidi="ar"/>
        </w:rPr>
        <w:t>万水乡认真执行中央八项规定，严格控制三公经费支出。2023年万水乡人民政府无机关人员因公出国计划，费用为零；没有购置公务用车，公务用车运行维护费支出4.55万元，主要用于本乡镇机关工作人员到县委、县政府、县局开会汇报工作办理业务，到村组、企业开会、指导、督促检查工作等所需的公务用车燃料费、维修费、过路过桥费、保险费等支出，</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00"/>
          <w:kern w:val="0"/>
          <w:sz w:val="32"/>
          <w:szCs w:val="32"/>
          <w:shd w:val="clear" w:fill="FFFFFF"/>
          <w:lang w:val="en-US" w:eastAsia="zh-CN" w:bidi="ar"/>
        </w:rPr>
        <w:t>；公务接待费0.98万元，主要用于接待市、县领导等到乡指导检查工作，接待其他乡人大主席团来我乡参观考察以及招待村组干部回乡政府开会等所发生的费用，</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FF"/>
          <w:kern w:val="0"/>
          <w:sz w:val="32"/>
          <w:szCs w:val="32"/>
          <w:shd w:val="clear" w:fill="FFFFFF"/>
          <w:lang w:val="en-US" w:eastAsia="zh-CN" w:bidi="ar"/>
        </w:rPr>
        <w:t>。</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资金结转和结余情况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本单位2023年末无资金结转和结余情况</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部门整体支出管理与制度建设情况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 xml:space="preserve">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    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本单位无政性基金预算出支</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国有资本经营预算支出情况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本单位无国有资本经营预算出支</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社会保险基金预算支出情况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本单位无社会保险基金预算支出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（一）综合评价结论。反映自评得分及评价等级。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本单位严格预算管理、确保预算编制准确；严格支出控制，在资金预算、动态调整、审批、执行、支付等环节中能做到层层把关，按制度执行，确保资金安全和高效的运行；能按时、按质、按量全部完成。</w:t>
      </w:r>
      <w:r>
        <w:rPr>
          <w:rFonts w:hint="eastAsia" w:ascii="仿宋_GB2312" w:hAnsi="仿宋_GB2312" w:eastAsia="仿宋_GB2312" w:cs="仿宋_GB2312"/>
          <w:i w:val="0"/>
          <w:iCs w:val="0"/>
          <w:caps w:val="0"/>
          <w:color w:val="auto"/>
          <w:spacing w:val="0"/>
          <w:sz w:val="32"/>
          <w:szCs w:val="32"/>
          <w:shd w:val="clear"/>
          <w:lang w:val="en-US" w:eastAsia="zh-CN"/>
        </w:rPr>
        <w:t>根据部门整体支出绩效评价指标规定的内容，</w:t>
      </w:r>
      <w:r>
        <w:rPr>
          <w:rFonts w:hint="eastAsia" w:ascii="仿宋_GB2312" w:hAnsi="仿宋_GB2312" w:eastAsia="仿宋_GB2312" w:cs="仿宋_GB2312"/>
          <w:sz w:val="32"/>
          <w:szCs w:val="32"/>
        </w:rPr>
        <w:t>从评价情况来看整体支出绩效目标基本完成，自评得分9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sz w:val="32"/>
          <w:szCs w:val="32"/>
          <w:shd w:val="clear"/>
        </w:rPr>
        <w:t>评价指标分析（或综合评价情况）。</w:t>
      </w:r>
      <w:r>
        <w:rPr>
          <w:rFonts w:hint="eastAsia" w:ascii="仿宋_GB2312" w:hAnsi="仿宋_GB2312" w:eastAsia="仿宋_GB2312" w:cs="仿宋_GB2312"/>
          <w:i w:val="0"/>
          <w:iCs w:val="0"/>
          <w:caps w:val="0"/>
          <w:color w:val="auto"/>
          <w:spacing w:val="0"/>
          <w:sz w:val="32"/>
          <w:szCs w:val="32"/>
          <w:shd w:val="clear"/>
          <w:lang w:val="en-US" w:eastAsia="zh-CN"/>
        </w:rPr>
        <w:t>按照县级部门预算编制通知和有关要求，按时完成基础库、项目库报送工作，预算编制准确。部门整体绩效目标编制完整、合理，项目绩效目标编制明确、量化。按要求严格执行预算管理。严格执行“三公”预算，行政运行经费与上年相比明细下降，没有产生债务，按要求及时、准确、全面开展资产清查工作，上报国有资产报表数据的真实性、准确性、全面性。内部控制制度健全完整并执行良好。</w:t>
      </w:r>
      <w:r>
        <w:rPr>
          <w:rFonts w:hint="eastAsia" w:ascii="仿宋_GB2312" w:hAnsi="仿宋_GB2312" w:eastAsia="仿宋_GB2312" w:cs="仿宋_GB2312"/>
          <w:sz w:val="32"/>
          <w:szCs w:val="32"/>
        </w:rPr>
        <w:t>我镇人口多，地域面积较大，乡镇工作综合性强，需加大人力、资金投入。结合我镇实际，改善农村环境，提高我镇人民生活质量，促进国民经济发展，完善市县、村镇服务体系建设，促进城镇一体化进程。</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优化资金拨付流程，加强财政资金监督管理，提高资金使用效益。2、进一步加强政策学习，提高思想认识。3、对绩效评价工作的认识不够。虽然通过绩效评价工作的逐步推进，逐渐树立了绩效理念，但了解还不够深入。绩效目标和指标往往根据项目实际完成情况制定，对项目执行过程有效约束不够，存在一定的偏差。4、固定资产管理有待进一步规范。</w:t>
      </w:r>
    </w:p>
    <w:p>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下一步改进措施</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加强绩效评价管理制度和流程的建设，进一步深化、完善绩效管理体系，建立全过程的预算绩效管理机制，促进绩效管理工作向广度和深度延伸；规范绩效评价管理资料和收集整理，确保相关信息完整、可靠，客观公正地反映项目资金实际使用和产生的绩效状况，为今后该项目实施方向及管理方式的改进提供指导。2、固定资产管理中普遍存在的问题,从强化管理意识,加强管理队伍建设,完善固定资产管理体制,建立健全固定资产管理制度,加强使用管理和内部监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报告应包括以下附件：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1.部门整体支出绩效评价基础数据表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2.部门整体支出绩效自评表</w:t>
      </w:r>
    </w:p>
    <w:p>
      <w:pPr>
        <w:pStyle w:val="4"/>
        <w:rPr>
          <w:rFonts w:hint="eastAsia"/>
        </w:rPr>
      </w:pPr>
    </w:p>
    <w:p>
      <w:pPr>
        <w:pStyle w:val="5"/>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sectPr>
      <w:footerReference r:id="rId4" w:type="default"/>
      <w:pgSz w:w="11906" w:h="16838"/>
      <w:pgMar w:top="1440" w:right="1689" w:bottom="1440" w:left="1689"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6092B"/>
    <w:multiLevelType w:val="singleLevel"/>
    <w:tmpl w:val="8E16092B"/>
    <w:lvl w:ilvl="0" w:tentative="0">
      <w:start w:val="2"/>
      <w:numFmt w:val="chineseCounting"/>
      <w:suff w:val="nothing"/>
      <w:lvlText w:val="（%1）"/>
      <w:lvlJc w:val="left"/>
      <w:rPr>
        <w:rFonts w:hint="eastAsia"/>
      </w:rPr>
    </w:lvl>
  </w:abstractNum>
  <w:abstractNum w:abstractNumId="1">
    <w:nsid w:val="FC0D3AC7"/>
    <w:multiLevelType w:val="singleLevel"/>
    <w:tmpl w:val="FC0D3AC7"/>
    <w:lvl w:ilvl="0" w:tentative="0">
      <w:start w:val="4"/>
      <w:numFmt w:val="chineseCounting"/>
      <w:suff w:val="nothing"/>
      <w:lvlText w:val="%1、"/>
      <w:lvlJc w:val="left"/>
      <w:rPr>
        <w:rFonts w:hint="eastAsia"/>
      </w:rPr>
    </w:lvl>
  </w:abstractNum>
  <w:abstractNum w:abstractNumId="2">
    <w:nsid w:val="FF0D09F4"/>
    <w:multiLevelType w:val="singleLevel"/>
    <w:tmpl w:val="FF0D09F4"/>
    <w:lvl w:ilvl="0" w:tentative="0">
      <w:start w:val="8"/>
      <w:numFmt w:val="chineseCounting"/>
      <w:suff w:val="nothing"/>
      <w:lvlText w:val="%1、"/>
      <w:lvlJc w:val="left"/>
      <w:rPr>
        <w:rFonts w:hint="eastAsia"/>
      </w:rPr>
    </w:lvl>
  </w:abstractNum>
  <w:abstractNum w:abstractNumId="3">
    <w:nsid w:val="30C1BBE0"/>
    <w:multiLevelType w:val="singleLevel"/>
    <w:tmpl w:val="30C1BBE0"/>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WU3ZTBlMjg4ZDYyNDE2MDViYzFhZTdiODMyMGIifQ=="/>
  </w:docVars>
  <w:rsids>
    <w:rsidRoot w:val="7245723A"/>
    <w:rsid w:val="010F7FF3"/>
    <w:rsid w:val="022E25FB"/>
    <w:rsid w:val="04A46CA4"/>
    <w:rsid w:val="04B77E0D"/>
    <w:rsid w:val="054B35C3"/>
    <w:rsid w:val="08917C60"/>
    <w:rsid w:val="0BD62E8E"/>
    <w:rsid w:val="12430163"/>
    <w:rsid w:val="1A2E5948"/>
    <w:rsid w:val="20C504C5"/>
    <w:rsid w:val="221849DF"/>
    <w:rsid w:val="24FF1C12"/>
    <w:rsid w:val="262A0833"/>
    <w:rsid w:val="290D7B43"/>
    <w:rsid w:val="32214C3B"/>
    <w:rsid w:val="32823EE8"/>
    <w:rsid w:val="32F75DAA"/>
    <w:rsid w:val="34AD7C43"/>
    <w:rsid w:val="35396712"/>
    <w:rsid w:val="35EB5C31"/>
    <w:rsid w:val="38A74091"/>
    <w:rsid w:val="3A273A4C"/>
    <w:rsid w:val="3DB12EEE"/>
    <w:rsid w:val="3E063608"/>
    <w:rsid w:val="3E097DBF"/>
    <w:rsid w:val="3E6E61BD"/>
    <w:rsid w:val="40B808FD"/>
    <w:rsid w:val="484F02A2"/>
    <w:rsid w:val="48CA1C78"/>
    <w:rsid w:val="4A491FC0"/>
    <w:rsid w:val="4B683B54"/>
    <w:rsid w:val="4F1A0B53"/>
    <w:rsid w:val="50212524"/>
    <w:rsid w:val="50BA0E8E"/>
    <w:rsid w:val="51A24DA2"/>
    <w:rsid w:val="53E7164C"/>
    <w:rsid w:val="564451BE"/>
    <w:rsid w:val="57D76DD3"/>
    <w:rsid w:val="59F24396"/>
    <w:rsid w:val="5ABD68DC"/>
    <w:rsid w:val="5B0C08B4"/>
    <w:rsid w:val="5B4D55CB"/>
    <w:rsid w:val="5C825851"/>
    <w:rsid w:val="5EB6477F"/>
    <w:rsid w:val="60395667"/>
    <w:rsid w:val="63626220"/>
    <w:rsid w:val="63D3192F"/>
    <w:rsid w:val="68A31BC5"/>
    <w:rsid w:val="6ACC49B3"/>
    <w:rsid w:val="6C9F6852"/>
    <w:rsid w:val="6CD30313"/>
    <w:rsid w:val="6EBF142E"/>
    <w:rsid w:val="701B67C5"/>
    <w:rsid w:val="70B07280"/>
    <w:rsid w:val="7245723A"/>
    <w:rsid w:val="73830C7C"/>
    <w:rsid w:val="77356731"/>
    <w:rsid w:val="78D637D9"/>
    <w:rsid w:val="7AAB1B4D"/>
    <w:rsid w:val="7D4D1EA0"/>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qFormat/>
    <w:uiPriority w:val="0"/>
    <w:pPr>
      <w:snapToGrid w:val="0"/>
      <w:spacing w:line="360" w:lineRule="auto"/>
      <w:ind w:firstLine="100" w:firstLineChars="100"/>
    </w:pPr>
    <w:rPr>
      <w:sz w:val="28"/>
      <w:szCs w:val="20"/>
    </w:r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4688</Words>
  <Characters>5018</Characters>
  <Lines>0</Lines>
  <Paragraphs>0</Paragraphs>
  <TotalTime>4</TotalTime>
  <ScaleCrop>false</ScaleCrop>
  <LinksUpToDate>false</LinksUpToDate>
  <CharactersWithSpaces>5185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guoerya_</cp:lastModifiedBy>
  <cp:lastPrinted>2024-05-16T01:57:00Z</cp:lastPrinted>
  <dcterms:modified xsi:type="dcterms:W3CDTF">2024-05-16T02:37:22Z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AC8EDCEE6FF34C25A836CB747CE0FF00</vt:lpwstr>
  </property>
</Properties>
</file>