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附件1</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部门整体支出绩效自评报告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年预算绩效管理工作的通知》（临财绩〔202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我单位对2023年部门整体支出进行了绩效自评，现将绩效自评情况报告如下：</w:t>
      </w:r>
      <w:bookmarkStart w:id="1" w:name="_GoBack"/>
      <w:bookmarkEnd w:id="1"/>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临武县汾市镇人民政府设有6个内设机构，</w:t>
      </w:r>
    </w:p>
    <w:p>
      <w:pPr>
        <w:widowControl/>
        <w:numPr>
          <w:ilvl w:val="0"/>
          <w:numId w:val="1"/>
        </w:numPr>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党政办公室、</w:t>
      </w:r>
    </w:p>
    <w:p>
      <w:pPr>
        <w:widowControl/>
        <w:numPr>
          <w:ilvl w:val="0"/>
          <w:numId w:val="1"/>
        </w:numPr>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党建办公室</w:t>
      </w:r>
    </w:p>
    <w:p>
      <w:pPr>
        <w:widowControl/>
        <w:numPr>
          <w:ilvl w:val="0"/>
          <w:numId w:val="1"/>
        </w:numPr>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经济发展办公室（加挂乡村扶贫和振兴办公室室牌子）</w:t>
      </w:r>
    </w:p>
    <w:p>
      <w:pPr>
        <w:widowControl/>
        <w:numPr>
          <w:ilvl w:val="0"/>
          <w:numId w:val="1"/>
        </w:numPr>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社会事务办公室（加挂民政办公室牌子）</w:t>
      </w:r>
    </w:p>
    <w:p>
      <w:pPr>
        <w:widowControl/>
        <w:numPr>
          <w:ilvl w:val="0"/>
          <w:numId w:val="1"/>
        </w:numPr>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自然资源和生态环境办公室</w:t>
      </w:r>
    </w:p>
    <w:p>
      <w:pPr>
        <w:widowControl/>
        <w:numPr>
          <w:ilvl w:val="0"/>
          <w:numId w:val="1"/>
        </w:numPr>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社会治安肯应急管理办公室</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单位所属单位6个</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1、行政单位1个，临武县汾市镇人民政府；</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2、事业单位5个，临武县汾市镇综合行政执行大队、临武县汾市镇社会事务综合服务中心、临武县汾市镇农业综合服务中心、临武县汾市镇政务（便民）服务中心、临武县汾市镇退役军人服务站。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2023年临武县汾市镇人民政府共有人员编制62人，行政编制26名，在职实有人数21人，事业编制36名，在职实有人数27人。</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1、执行本级人民代表大会的决议和上级国家行政机关的决定和命令，发布决定和命令。</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2、执行本行政区域内的经济和社会发展计划，加强公共设施的建设和管理，发展各项服务事业。</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3、依法管理本级财政、执行本级预算。</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4、为城乡居民提供有效的科技教育、文化体育、卫生医疗、人才开发、劳动就业、信息咨询、安全生产等方面的服务。</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5、保护国有资产集体所有财产，保护公民私人所有的合法财产，保障公民的人身权利、民主权利和其他权利，保护各种组织的合法权益。</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6、开展社会主义民主与法制教育，加强社会治安综合治理，调解民事纠纷，维护社会秩序。</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7、推行计划生育，依法规范群众的生育行为；保护妇女、儿童和老人的合法权益。</w:t>
      </w:r>
    </w:p>
    <w:p>
      <w:pPr>
        <w:widowControl/>
        <w:spacing w:line="600" w:lineRule="exact"/>
        <w:ind w:firstLine="627" w:firstLineChars="196"/>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8、负责民政工作，发展社会福利事业，做好社会保障工作，办理兵役事项。</w:t>
      </w:r>
    </w:p>
    <w:p>
      <w:pPr>
        <w:widowControl/>
        <w:spacing w:line="600" w:lineRule="exact"/>
        <w:ind w:firstLine="627" w:firstLineChars="196"/>
        <w:jc w:val="left"/>
        <w:rPr>
          <w:rFonts w:hint="eastAsia" w:ascii="仿宋_GB2312" w:hAnsi="仿宋_GB2312" w:eastAsia="仿宋_GB2312" w:cs="仿宋_GB2312"/>
          <w:i w:val="0"/>
          <w:iCs w:val="0"/>
          <w:caps w:val="0"/>
          <w:color w:val="auto"/>
          <w:spacing w:val="0"/>
          <w:sz w:val="32"/>
          <w:szCs w:val="32"/>
          <w:shd w:val="clear"/>
        </w:rPr>
      </w:pPr>
      <w:r>
        <w:rPr>
          <w:rFonts w:hint="eastAsia" w:ascii="Times New Roman" w:hAnsi="Times New Roman" w:eastAsia="仿宋_GB2312" w:cs="Times New Roman"/>
          <w:sz w:val="32"/>
          <w:szCs w:val="32"/>
          <w:lang w:val="en-US" w:eastAsia="zh-CN"/>
        </w:rPr>
        <w:t>9、承办县人民政府交办的其他事项。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（一）经批复的预、决算情况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宋体" w:cs="仿宋_GB2312"/>
          <w:i w:val="0"/>
          <w:iCs w:val="0"/>
          <w:caps w:val="0"/>
          <w:color w:val="auto"/>
          <w:spacing w:val="0"/>
          <w:sz w:val="32"/>
          <w:szCs w:val="32"/>
          <w:highlight w:val="yellow"/>
          <w:shd w:val="clear"/>
          <w:lang w:eastAsia="zh-CN"/>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年度，经批复的年初预算为</w:t>
      </w:r>
      <w:r>
        <w:rPr>
          <w:rFonts w:hint="eastAsia" w:ascii="宋体" w:hAnsi="宋体" w:eastAsia="宋体" w:cs="宋体"/>
          <w:color w:val="000000"/>
          <w:sz w:val="28"/>
          <w:szCs w:val="28"/>
          <w:lang w:val="en-US" w:eastAsia="zh-CN"/>
        </w:rPr>
        <w:t>735.13</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2023</w:t>
      </w:r>
      <w:r>
        <w:rPr>
          <w:rFonts w:eastAsia="仿宋_GB2312"/>
          <w:sz w:val="32"/>
          <w:szCs w:val="32"/>
        </w:rPr>
        <w:t>年本部门支出预算</w:t>
      </w:r>
      <w:r>
        <w:rPr>
          <w:rFonts w:hint="eastAsia" w:eastAsia="仿宋_GB2312"/>
          <w:sz w:val="32"/>
          <w:szCs w:val="32"/>
          <w:lang w:val="en-US" w:eastAsia="zh-CN"/>
        </w:rPr>
        <w:t>735.13</w:t>
      </w:r>
      <w:r>
        <w:rPr>
          <w:rFonts w:eastAsia="仿宋_GB2312"/>
          <w:sz w:val="32"/>
          <w:szCs w:val="32"/>
        </w:rPr>
        <w:t xml:space="preserve">万元，其中，一般公共服务 </w:t>
      </w:r>
      <w:r>
        <w:rPr>
          <w:rFonts w:hint="eastAsia" w:eastAsia="仿宋_GB2312"/>
          <w:sz w:val="32"/>
          <w:szCs w:val="32"/>
          <w:lang w:val="en-US" w:eastAsia="zh-CN"/>
        </w:rPr>
        <w:t>540.61</w:t>
      </w:r>
      <w:r>
        <w:rPr>
          <w:rFonts w:eastAsia="仿宋_GB2312"/>
          <w:sz w:val="32"/>
          <w:szCs w:val="32"/>
        </w:rPr>
        <w:t>万元，</w:t>
      </w:r>
      <w:r>
        <w:rPr>
          <w:rFonts w:hint="eastAsia" w:eastAsia="仿宋_GB2312"/>
          <w:sz w:val="32"/>
          <w:szCs w:val="32"/>
          <w:lang w:eastAsia="zh-CN"/>
        </w:rPr>
        <w:t>社会和就业支出</w:t>
      </w:r>
      <w:r>
        <w:rPr>
          <w:rFonts w:eastAsia="仿宋_GB2312"/>
          <w:sz w:val="32"/>
          <w:szCs w:val="32"/>
        </w:rPr>
        <w:t xml:space="preserve"> </w:t>
      </w:r>
      <w:r>
        <w:rPr>
          <w:rFonts w:hint="eastAsia" w:eastAsia="仿宋_GB2312"/>
          <w:sz w:val="32"/>
          <w:szCs w:val="32"/>
          <w:lang w:val="en-US" w:eastAsia="zh-CN"/>
        </w:rPr>
        <w:t>127.68</w:t>
      </w:r>
      <w:r>
        <w:rPr>
          <w:rFonts w:eastAsia="仿宋_GB2312"/>
          <w:sz w:val="32"/>
          <w:szCs w:val="32"/>
        </w:rPr>
        <w:t>万元，</w:t>
      </w:r>
      <w:r>
        <w:rPr>
          <w:rFonts w:hint="eastAsia" w:eastAsia="仿宋_GB2312"/>
          <w:sz w:val="32"/>
          <w:szCs w:val="32"/>
          <w:lang w:eastAsia="zh-CN"/>
        </w:rPr>
        <w:t>卫生健康支出</w:t>
      </w:r>
      <w:r>
        <w:rPr>
          <w:rFonts w:eastAsia="仿宋_GB2312"/>
          <w:sz w:val="32"/>
          <w:szCs w:val="32"/>
        </w:rPr>
        <w:t xml:space="preserve"> </w:t>
      </w:r>
      <w:r>
        <w:rPr>
          <w:rFonts w:hint="eastAsia" w:eastAsia="仿宋_GB2312"/>
          <w:sz w:val="32"/>
          <w:szCs w:val="32"/>
          <w:lang w:val="en-US" w:eastAsia="zh-CN"/>
        </w:rPr>
        <w:t>25.92</w:t>
      </w:r>
      <w:r>
        <w:rPr>
          <w:rFonts w:eastAsia="仿宋_GB2312"/>
          <w:sz w:val="32"/>
          <w:szCs w:val="32"/>
        </w:rPr>
        <w:t>万元，</w:t>
      </w:r>
      <w:r>
        <w:rPr>
          <w:rFonts w:hint="eastAsia" w:eastAsia="仿宋_GB2312"/>
          <w:sz w:val="32"/>
          <w:szCs w:val="32"/>
          <w:lang w:eastAsia="zh-CN"/>
        </w:rPr>
        <w:t>住房保障支出</w:t>
      </w:r>
      <w:r>
        <w:rPr>
          <w:rFonts w:eastAsia="仿宋_GB2312"/>
          <w:sz w:val="32"/>
          <w:szCs w:val="32"/>
        </w:rPr>
        <w:t xml:space="preserve"> </w:t>
      </w:r>
      <w:r>
        <w:rPr>
          <w:rFonts w:hint="eastAsia" w:eastAsia="仿宋_GB2312"/>
          <w:sz w:val="32"/>
          <w:szCs w:val="32"/>
          <w:lang w:val="en-US" w:eastAsia="zh-CN"/>
        </w:rPr>
        <w:t>40.92</w:t>
      </w:r>
      <w:r>
        <w:rPr>
          <w:rFonts w:eastAsia="仿宋_GB2312"/>
          <w:sz w:val="32"/>
          <w:szCs w:val="32"/>
        </w:rPr>
        <w:t xml:space="preserve"> 万元。</w:t>
      </w:r>
    </w:p>
    <w:p>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项目支出情况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2023</w:t>
      </w:r>
      <w:r>
        <w:rPr>
          <w:rFonts w:eastAsia="仿宋_GB2312"/>
          <w:sz w:val="32"/>
          <w:szCs w:val="32"/>
        </w:rPr>
        <w:t xml:space="preserve">年本部门项目支出预算 </w:t>
      </w:r>
      <w:r>
        <w:rPr>
          <w:rFonts w:hint="eastAsia" w:eastAsia="仿宋_GB2312"/>
          <w:sz w:val="32"/>
          <w:szCs w:val="32"/>
          <w:lang w:val="en-US" w:eastAsia="zh-CN"/>
        </w:rPr>
        <w:t>0</w:t>
      </w:r>
      <w:r>
        <w:rPr>
          <w:rFonts w:eastAsia="仿宋_GB2312"/>
          <w:sz w:val="32"/>
          <w:szCs w:val="32"/>
        </w:rPr>
        <w:t>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2023</w:t>
      </w:r>
      <w:r>
        <w:rPr>
          <w:rFonts w:eastAsia="仿宋_GB2312"/>
          <w:sz w:val="32"/>
          <w:szCs w:val="32"/>
        </w:rPr>
        <w:t>年本部门机关行政事业单位“三公”经</w:t>
      </w:r>
      <w:r>
        <w:rPr>
          <w:rFonts w:hint="eastAsia" w:eastAsia="仿宋_GB2312"/>
          <w:sz w:val="32"/>
          <w:szCs w:val="32"/>
          <w:lang w:eastAsia="zh-CN"/>
        </w:rPr>
        <w:t xml:space="preserve">费预算数为 </w:t>
      </w:r>
      <w:r>
        <w:rPr>
          <w:rFonts w:hint="eastAsia" w:eastAsia="仿宋_GB2312"/>
          <w:sz w:val="32"/>
          <w:szCs w:val="32"/>
          <w:lang w:val="en-US" w:eastAsia="zh-CN"/>
        </w:rPr>
        <w:t>8.4</w:t>
      </w:r>
      <w:r>
        <w:rPr>
          <w:rFonts w:hint="eastAsia" w:eastAsia="仿宋_GB2312"/>
          <w:sz w:val="32"/>
          <w:szCs w:val="32"/>
          <w:lang w:eastAsia="zh-CN"/>
        </w:rPr>
        <w:t xml:space="preserve"> 万元，其中，公务接待费 </w:t>
      </w:r>
      <w:r>
        <w:rPr>
          <w:rFonts w:hint="eastAsia" w:eastAsia="仿宋_GB2312"/>
          <w:sz w:val="32"/>
          <w:szCs w:val="32"/>
          <w:lang w:val="en-US" w:eastAsia="zh-CN"/>
        </w:rPr>
        <w:t>1.2</w:t>
      </w:r>
      <w:r>
        <w:rPr>
          <w:rFonts w:hint="eastAsia" w:eastAsia="仿宋_GB2312"/>
          <w:sz w:val="32"/>
          <w:szCs w:val="32"/>
          <w:lang w:eastAsia="zh-CN"/>
        </w:rPr>
        <w:t xml:space="preserve"> 万元，公务用车购置及运行费 </w:t>
      </w:r>
      <w:r>
        <w:rPr>
          <w:rFonts w:hint="eastAsia" w:eastAsia="仿宋_GB2312"/>
          <w:sz w:val="32"/>
          <w:szCs w:val="32"/>
          <w:lang w:val="en-US" w:eastAsia="zh-CN"/>
        </w:rPr>
        <w:t>7.2</w:t>
      </w:r>
      <w:r>
        <w:rPr>
          <w:rFonts w:hint="eastAsia" w:eastAsia="仿宋_GB2312"/>
          <w:sz w:val="32"/>
          <w:szCs w:val="32"/>
          <w:lang w:eastAsia="zh-CN"/>
        </w:rPr>
        <w:t xml:space="preserve">万元（其中，公务用车购置费 </w:t>
      </w:r>
      <w:r>
        <w:rPr>
          <w:rFonts w:hint="eastAsia" w:eastAsia="仿宋_GB2312"/>
          <w:sz w:val="32"/>
          <w:szCs w:val="32"/>
          <w:lang w:val="en-US" w:eastAsia="zh-CN"/>
        </w:rPr>
        <w:t>0</w:t>
      </w:r>
      <w:r>
        <w:rPr>
          <w:rFonts w:hint="eastAsia" w:eastAsia="仿宋_GB2312"/>
          <w:sz w:val="32"/>
          <w:szCs w:val="32"/>
          <w:lang w:eastAsia="zh-CN"/>
        </w:rPr>
        <w:t>万元，公务用车运行费</w:t>
      </w:r>
      <w:r>
        <w:rPr>
          <w:rFonts w:hint="eastAsia" w:eastAsia="仿宋_GB2312"/>
          <w:sz w:val="32"/>
          <w:szCs w:val="32"/>
          <w:lang w:val="en-US" w:eastAsia="zh-CN"/>
        </w:rPr>
        <w:t>7.2</w:t>
      </w:r>
      <w:r>
        <w:rPr>
          <w:rFonts w:hint="eastAsia" w:eastAsia="仿宋_GB2312"/>
          <w:sz w:val="32"/>
          <w:szCs w:val="32"/>
          <w:lang w:eastAsia="zh-CN"/>
        </w:rPr>
        <w:t xml:space="preserve">万元），因公出国（境）费 </w:t>
      </w:r>
      <w:r>
        <w:rPr>
          <w:rFonts w:hint="eastAsia" w:eastAsia="仿宋_GB2312"/>
          <w:sz w:val="32"/>
          <w:szCs w:val="32"/>
          <w:lang w:val="en-US" w:eastAsia="zh-CN"/>
        </w:rPr>
        <w:t>0</w:t>
      </w:r>
      <w:r>
        <w:rPr>
          <w:rFonts w:hint="eastAsia" w:eastAsia="仿宋_GB2312"/>
          <w:sz w:val="32"/>
          <w:szCs w:val="32"/>
          <w:lang w:eastAsia="zh-CN"/>
        </w:rPr>
        <w:t xml:space="preserve"> 万元。</w:t>
      </w: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资金结转和结余情况</w:t>
      </w:r>
    </w:p>
    <w:p>
      <w:pPr>
        <w:widowControl/>
        <w:spacing w:line="600" w:lineRule="exact"/>
        <w:ind w:firstLine="660"/>
        <w:jc w:val="left"/>
        <w:rPr>
          <w:rFonts w:hint="eastAsia" w:eastAsia="仿宋_GB2312"/>
          <w:sz w:val="32"/>
          <w:szCs w:val="32"/>
          <w:lang w:eastAsia="zh-CN"/>
        </w:rPr>
      </w:pPr>
      <w:r>
        <w:rPr>
          <w:rFonts w:hint="eastAsia" w:eastAsia="仿宋_GB2312"/>
          <w:sz w:val="32"/>
          <w:szCs w:val="32"/>
          <w:lang w:val="en-US" w:eastAsia="zh-CN"/>
        </w:rPr>
        <w:t>2023</w:t>
      </w:r>
      <w:r>
        <w:rPr>
          <w:rFonts w:eastAsia="仿宋_GB2312"/>
          <w:sz w:val="32"/>
          <w:szCs w:val="32"/>
        </w:rPr>
        <w:t>年本部门</w:t>
      </w:r>
      <w:r>
        <w:rPr>
          <w:rFonts w:hint="eastAsia" w:eastAsia="仿宋_GB2312"/>
          <w:sz w:val="32"/>
          <w:szCs w:val="32"/>
          <w:lang w:eastAsia="zh-CN"/>
        </w:rPr>
        <w:t>无资金结转和结余情况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部门整</w:t>
      </w:r>
      <w:r>
        <w:rPr>
          <w:rFonts w:hint="eastAsia" w:ascii="仿宋_GB2312" w:hAnsi="仿宋_GB2312" w:eastAsia="仿宋_GB2312" w:cs="仿宋_GB2312"/>
          <w:i w:val="0"/>
          <w:iCs w:val="0"/>
          <w:caps w:val="0"/>
          <w:color w:val="auto"/>
          <w:spacing w:val="0"/>
          <w:sz w:val="32"/>
          <w:szCs w:val="32"/>
          <w:highlight w:val="none"/>
          <w:shd w:val="clear"/>
        </w:rPr>
        <w:t>体支出管理与制度建设情况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为了建立健全单位预算管理体制，强化预算的分配和监督职能，维护预算的严肃性，保证资金的合理使用和正常运行，促进我单位各项事业的稳定发展，根据有关规定，结合我单位实际情况，特制定部门预算管理制度。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单位预算是根据单位事业发展计划和年度目标任务编制的年度综合财务收支计划，收入主要是财政拨款，支出为基本支出和项目支出。预算每年编制一次。预算年度自每年 1月 1 日起，至 12月31日止，预算的收支以人民币为计算单位。单位实行“统一领导、集中管理、权责结合的预算管理体制。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w:t>
      </w:r>
      <w:r>
        <w:rPr>
          <w:rFonts w:hint="eastAsia" w:ascii="仿宋_GB2312" w:hAnsi="仿宋_GB2312" w:eastAsia="仿宋_GB2312" w:cs="仿宋_GB2312"/>
          <w:b/>
          <w:bCs/>
          <w:i w:val="0"/>
          <w:iCs w:val="0"/>
          <w:caps w:val="0"/>
          <w:color w:val="auto"/>
          <w:spacing w:val="0"/>
          <w:sz w:val="32"/>
          <w:szCs w:val="32"/>
          <w:shd w:val="clear"/>
        </w:rPr>
        <w:t>政府性基金预算支出情况</w:t>
      </w:r>
    </w:p>
    <w:p>
      <w:pPr>
        <w:widowControl/>
        <w:spacing w:line="600" w:lineRule="exact"/>
        <w:ind w:firstLine="660"/>
        <w:jc w:val="left"/>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2023</w:t>
      </w:r>
      <w:r>
        <w:rPr>
          <w:rFonts w:eastAsia="仿宋_GB2312"/>
          <w:sz w:val="32"/>
          <w:szCs w:val="32"/>
        </w:rPr>
        <w:t>年本部门</w:t>
      </w:r>
      <w:r>
        <w:rPr>
          <w:rFonts w:hint="eastAsia" w:eastAsia="仿宋_GB2312"/>
          <w:sz w:val="32"/>
          <w:szCs w:val="32"/>
          <w:lang w:eastAsia="zh-CN"/>
        </w:rPr>
        <w:t>无</w:t>
      </w:r>
      <w:r>
        <w:rPr>
          <w:rFonts w:eastAsia="仿宋_GB2312"/>
          <w:sz w:val="32"/>
          <w:szCs w:val="32"/>
        </w:rPr>
        <w:t>政府性基金</w:t>
      </w:r>
      <w:r>
        <w:rPr>
          <w:rFonts w:hint="eastAsia" w:eastAsia="仿宋_GB2312"/>
          <w:sz w:val="32"/>
          <w:szCs w:val="32"/>
          <w:lang w:eastAsia="zh-CN"/>
        </w:rPr>
        <w:t>安排的</w:t>
      </w:r>
      <w:r>
        <w:rPr>
          <w:rFonts w:eastAsia="仿宋_GB2312"/>
          <w:sz w:val="32"/>
          <w:szCs w:val="32"/>
        </w:rPr>
        <w:t>支出</w:t>
      </w:r>
    </w:p>
    <w:p>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国有资本经营预算支出情况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2023</w:t>
      </w:r>
      <w:r>
        <w:rPr>
          <w:rFonts w:eastAsia="仿宋_GB2312"/>
          <w:sz w:val="32"/>
          <w:szCs w:val="32"/>
        </w:rPr>
        <w:t>年本部门</w:t>
      </w:r>
      <w:r>
        <w:rPr>
          <w:rFonts w:hint="eastAsia" w:eastAsia="仿宋_GB2312"/>
          <w:sz w:val="32"/>
          <w:szCs w:val="32"/>
          <w:lang w:eastAsia="zh-CN"/>
        </w:rPr>
        <w:t>无国有资本经营预算支出</w:t>
      </w:r>
    </w:p>
    <w:p>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社会保险基金预算支出情况</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eastAsia="仿宋_GB2312"/>
          <w:sz w:val="32"/>
          <w:szCs w:val="32"/>
          <w:lang w:val="en-US" w:eastAsia="zh-CN"/>
        </w:rPr>
        <w:t>2023</w:t>
      </w:r>
      <w:r>
        <w:rPr>
          <w:rFonts w:eastAsia="仿宋_GB2312"/>
          <w:sz w:val="32"/>
          <w:szCs w:val="32"/>
        </w:rPr>
        <w:t>年本部门</w:t>
      </w:r>
      <w:r>
        <w:rPr>
          <w:rFonts w:hint="eastAsia" w:eastAsia="仿宋_GB2312"/>
          <w:sz w:val="32"/>
          <w:szCs w:val="32"/>
          <w:lang w:eastAsia="zh-CN"/>
        </w:rPr>
        <w:t>无社会保险基金预算支出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（一）综合评价结论。</w:t>
      </w:r>
    </w:p>
    <w:p>
      <w:pPr>
        <w:pStyle w:val="9"/>
        <w:keepNext w:val="0"/>
        <w:keepLines w:val="0"/>
        <w:widowControl/>
        <w:suppressLineNumbers w:val="0"/>
        <w:spacing w:before="300" w:beforeAutospacing="0" w:after="0" w:afterAutospacing="0" w:line="33" w:lineRule="atLeast"/>
        <w:ind w:left="0" w:right="0" w:firstLine="640" w:firstLineChars="200"/>
        <w:jc w:val="both"/>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 xml:space="preserve">通过开展绩效自评，进一步了解资金使用是否达到了预期目标，了解资金管理是否规范、资金使用是否有效，检验资金支出效率和效果；分析存在问题及原因，及时总结经验，改进管理措施；不断增强和落实绩效管理责任，完善工作机制，有效提高资金管理水平和使用效益。 </w:t>
      </w:r>
    </w:p>
    <w:p>
      <w:pPr>
        <w:pStyle w:val="9"/>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评价指标分析</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1、</w:t>
      </w:r>
      <w:r>
        <w:rPr>
          <w:rFonts w:hint="eastAsia" w:ascii="仿宋_GB2312" w:hAnsi="仿宋_GB2312" w:eastAsia="仿宋_GB2312" w:cs="仿宋_GB2312"/>
          <w:i w:val="0"/>
          <w:iCs w:val="0"/>
          <w:caps w:val="0"/>
          <w:color w:val="auto"/>
          <w:spacing w:val="0"/>
          <w:sz w:val="32"/>
          <w:szCs w:val="32"/>
          <w:highlight w:val="none"/>
          <w:shd w:val="clear"/>
        </w:rPr>
        <w:t xml:space="preserve">产出情况分析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202</w:t>
      </w:r>
      <w:r>
        <w:rPr>
          <w:rFonts w:hint="eastAsia" w:ascii="仿宋_GB2312" w:hAnsi="仿宋_GB2312" w:eastAsia="仿宋_GB2312" w:cs="仿宋_GB2312"/>
          <w:i w:val="0"/>
          <w:iCs w:val="0"/>
          <w:caps w:val="0"/>
          <w:color w:val="auto"/>
          <w:spacing w:val="0"/>
          <w:sz w:val="32"/>
          <w:szCs w:val="32"/>
          <w:highlight w:val="none"/>
          <w:shd w:val="clear"/>
          <w:lang w:val="en-US" w:eastAsia="zh-CN"/>
        </w:rPr>
        <w:t>3</w:t>
      </w:r>
      <w:r>
        <w:rPr>
          <w:rFonts w:hint="eastAsia" w:ascii="仿宋_GB2312" w:hAnsi="仿宋_GB2312" w:eastAsia="仿宋_GB2312" w:cs="仿宋_GB2312"/>
          <w:i w:val="0"/>
          <w:iCs w:val="0"/>
          <w:caps w:val="0"/>
          <w:color w:val="auto"/>
          <w:spacing w:val="0"/>
          <w:sz w:val="32"/>
          <w:szCs w:val="32"/>
          <w:highlight w:val="none"/>
          <w:shd w:val="clear"/>
        </w:rPr>
        <w:t xml:space="preserve">年，紧紧围绕各项目标任务开展工作，预算安排的基本支出保障了我镇正常的工作运转，预算安排的项目支出保障了机关及镇直单位各项业务工作的顺利开展。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rPr>
        <w:t>1</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rPr>
        <w:t>预算执行方面。支出总额控制在预算总额以内，基本支出中，财政政策性工资和对个人和家庭的补助支出有所追加（主要</w:t>
      </w:r>
      <w:r>
        <w:rPr>
          <w:rFonts w:hint="eastAsia" w:ascii="仿宋_GB2312" w:hAnsi="仿宋_GB2312" w:eastAsia="仿宋_GB2312" w:cs="仿宋_GB2312"/>
          <w:i w:val="0"/>
          <w:iCs w:val="0"/>
          <w:caps w:val="0"/>
          <w:color w:val="auto"/>
          <w:spacing w:val="0"/>
          <w:sz w:val="32"/>
          <w:szCs w:val="32"/>
          <w:highlight w:val="none"/>
          <w:shd w:val="clear"/>
          <w:lang w:eastAsia="zh-CN"/>
        </w:rPr>
        <w:t>人员调整有所增加</w:t>
      </w:r>
      <w:r>
        <w:rPr>
          <w:rFonts w:hint="eastAsia" w:ascii="仿宋_GB2312" w:hAnsi="仿宋_GB2312" w:eastAsia="仿宋_GB2312" w:cs="仿宋_GB2312"/>
          <w:i w:val="0"/>
          <w:iCs w:val="0"/>
          <w:caps w:val="0"/>
          <w:color w:val="auto"/>
          <w:spacing w:val="0"/>
          <w:sz w:val="32"/>
          <w:szCs w:val="32"/>
          <w:highlight w:val="none"/>
          <w:shd w:val="clear"/>
        </w:rPr>
        <w:t xml:space="preserve">），本年度预算未进行除政策外相关事项的调整。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w:t>
      </w:r>
      <w:r>
        <w:rPr>
          <w:rFonts w:hint="eastAsia" w:ascii="仿宋_GB2312" w:hAnsi="仿宋_GB2312" w:eastAsia="仿宋_GB2312" w:cs="仿宋_GB2312"/>
          <w:i w:val="0"/>
          <w:iCs w:val="0"/>
          <w:caps w:val="0"/>
          <w:color w:val="auto"/>
          <w:spacing w:val="0"/>
          <w:sz w:val="32"/>
          <w:szCs w:val="32"/>
          <w:highlight w:val="none"/>
          <w:shd w:val="clear"/>
        </w:rPr>
        <w:t>2</w:t>
      </w:r>
      <w:r>
        <w:rPr>
          <w:rFonts w:hint="eastAsia" w:ascii="仿宋_GB2312" w:hAnsi="仿宋_GB2312" w:eastAsia="仿宋_GB2312" w:cs="仿宋_GB2312"/>
          <w:i w:val="0"/>
          <w:iCs w:val="0"/>
          <w:caps w:val="0"/>
          <w:color w:val="auto"/>
          <w:spacing w:val="0"/>
          <w:sz w:val="32"/>
          <w:szCs w:val="32"/>
          <w:highlight w:val="none"/>
          <w:shd w:val="clear"/>
          <w:lang w:val="en-US" w:eastAsia="zh-CN"/>
        </w:rPr>
        <w:t>)</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i w:val="0"/>
          <w:iCs w:val="0"/>
          <w:caps w:val="0"/>
          <w:color w:val="auto"/>
          <w:spacing w:val="0"/>
          <w:sz w:val="32"/>
          <w:szCs w:val="32"/>
          <w:highlight w:val="none"/>
          <w:shd w:val="clear"/>
        </w:rPr>
        <w:t xml:space="preserve">预算管理方面。我镇制定了切实有效的内部管理制度和经费支出控制方案，有较强的内控风险管理意识、各项经费支出得到了有效控制。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w:t>
      </w:r>
      <w:r>
        <w:rPr>
          <w:rFonts w:hint="eastAsia" w:ascii="仿宋_GB2312" w:hAnsi="仿宋_GB2312" w:eastAsia="仿宋_GB2312" w:cs="仿宋_GB2312"/>
          <w:i w:val="0"/>
          <w:iCs w:val="0"/>
          <w:caps w:val="0"/>
          <w:color w:val="auto"/>
          <w:spacing w:val="0"/>
          <w:sz w:val="32"/>
          <w:szCs w:val="32"/>
          <w:highlight w:val="none"/>
          <w:shd w:val="clear"/>
        </w:rPr>
        <w:t xml:space="preserve">效益情况分析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rPr>
        <w:t>202</w:t>
      </w:r>
      <w:r>
        <w:rPr>
          <w:rFonts w:hint="eastAsia" w:ascii="仿宋_GB2312" w:hAnsi="仿宋_GB2312" w:eastAsia="仿宋_GB2312" w:cs="仿宋_GB2312"/>
          <w:i w:val="0"/>
          <w:iCs w:val="0"/>
          <w:caps w:val="0"/>
          <w:color w:val="auto"/>
          <w:spacing w:val="0"/>
          <w:sz w:val="32"/>
          <w:szCs w:val="32"/>
          <w:highlight w:val="none"/>
          <w:shd w:val="clear"/>
          <w:lang w:val="en-US" w:eastAsia="zh-CN"/>
        </w:rPr>
        <w:t>3</w:t>
      </w:r>
      <w:r>
        <w:rPr>
          <w:rFonts w:hint="eastAsia" w:ascii="仿宋_GB2312" w:hAnsi="仿宋_GB2312" w:eastAsia="仿宋_GB2312" w:cs="仿宋_GB2312"/>
          <w:i w:val="0"/>
          <w:iCs w:val="0"/>
          <w:caps w:val="0"/>
          <w:color w:val="auto"/>
          <w:spacing w:val="0"/>
          <w:sz w:val="32"/>
          <w:szCs w:val="32"/>
          <w:highlight w:val="none"/>
          <w:shd w:val="clear"/>
        </w:rPr>
        <w:t>年，在县委、县政府和镇党委的坚强领导下，</w:t>
      </w:r>
      <w:r>
        <w:rPr>
          <w:rFonts w:hint="eastAsia" w:ascii="仿宋_GB2312" w:hAnsi="仿宋_GB2312" w:eastAsia="仿宋_GB2312" w:cs="仿宋_GB2312"/>
          <w:i w:val="0"/>
          <w:iCs w:val="0"/>
          <w:caps w:val="0"/>
          <w:color w:val="auto"/>
          <w:spacing w:val="0"/>
          <w:sz w:val="32"/>
          <w:szCs w:val="32"/>
          <w:highlight w:val="none"/>
          <w:shd w:val="clear"/>
          <w:lang w:eastAsia="zh-CN"/>
        </w:rPr>
        <w:t>临武县汾市</w:t>
      </w:r>
      <w:r>
        <w:rPr>
          <w:rFonts w:hint="eastAsia" w:ascii="仿宋_GB2312" w:hAnsi="仿宋_GB2312" w:eastAsia="仿宋_GB2312" w:cs="仿宋_GB2312"/>
          <w:i w:val="0"/>
          <w:iCs w:val="0"/>
          <w:caps w:val="0"/>
          <w:color w:val="auto"/>
          <w:spacing w:val="0"/>
          <w:sz w:val="32"/>
          <w:szCs w:val="32"/>
          <w:highlight w:val="none"/>
          <w:shd w:val="clear"/>
        </w:rPr>
        <w:t>镇人民政府坚持以习近平新时代中国特色社会主义思想为指导，深入学习贯彻落实党的二十大和十九届历次全会精神，全面贯彻新发展理念，牢牢把握“疫情要防住，经济要稳住，发展要安全”总要求,以推动高质量发展为主题主线，以满足人民日益增长的美好生活需要作为一切工作的出发点和落脚点，积极应对挑战，务实笃行担当，全力攻坚克难，较好完成了镇人大会议确定的各项目标任务。</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1、</w:t>
      </w:r>
      <w:r>
        <w:rPr>
          <w:rFonts w:hint="eastAsia" w:ascii="仿宋_GB2312" w:hAnsi="仿宋_GB2312" w:eastAsia="仿宋_GB2312" w:cs="仿宋_GB2312"/>
          <w:i w:val="0"/>
          <w:iCs w:val="0"/>
          <w:caps w:val="0"/>
          <w:color w:val="auto"/>
          <w:spacing w:val="0"/>
          <w:sz w:val="32"/>
          <w:szCs w:val="32"/>
          <w:highlight w:val="none"/>
          <w:shd w:val="clear"/>
        </w:rPr>
        <w:t>脱贫攻坚成果持续巩固。严格落实“四个不摘”要求，健全防止返贫监测帮扶机制，全面落实教育、医疗、住房、饮水等帮扶措施，常态化开展帮扶走访工作，及时对反馈问题进行整改，不断提升帮扶成效，牢牢守住不发生规模性返贫底线。按照户申请、村评议、镇审核、县确定的要求，扎实开展防返贫动态监测工作，年内新识别“三类”监测人员</w:t>
      </w:r>
      <w:r>
        <w:rPr>
          <w:rFonts w:hint="eastAsia" w:ascii="仿宋_GB2312" w:hAnsi="仿宋_GB2312" w:eastAsia="仿宋_GB2312" w:cs="仿宋_GB2312"/>
          <w:i w:val="0"/>
          <w:iCs w:val="0"/>
          <w:caps w:val="0"/>
          <w:color w:val="auto"/>
          <w:spacing w:val="0"/>
          <w:sz w:val="32"/>
          <w:szCs w:val="32"/>
          <w:highlight w:val="none"/>
          <w:shd w:val="clear"/>
          <w:lang w:val="en-US" w:eastAsia="zh-CN"/>
        </w:rPr>
        <w:t>41</w:t>
      </w:r>
      <w:r>
        <w:rPr>
          <w:rFonts w:hint="eastAsia" w:ascii="仿宋_GB2312" w:hAnsi="仿宋_GB2312" w:eastAsia="仿宋_GB2312" w:cs="仿宋_GB2312"/>
          <w:i w:val="0"/>
          <w:iCs w:val="0"/>
          <w:caps w:val="0"/>
          <w:color w:val="auto"/>
          <w:spacing w:val="0"/>
          <w:sz w:val="32"/>
          <w:szCs w:val="32"/>
          <w:highlight w:val="none"/>
          <w:shd w:val="clear"/>
        </w:rPr>
        <w:t>户</w:t>
      </w:r>
      <w:r>
        <w:rPr>
          <w:rFonts w:hint="eastAsia" w:ascii="仿宋_GB2312" w:hAnsi="仿宋_GB2312" w:eastAsia="仿宋_GB2312" w:cs="仿宋_GB2312"/>
          <w:i w:val="0"/>
          <w:iCs w:val="0"/>
          <w:caps w:val="0"/>
          <w:color w:val="auto"/>
          <w:spacing w:val="0"/>
          <w:sz w:val="32"/>
          <w:szCs w:val="32"/>
          <w:highlight w:val="none"/>
          <w:shd w:val="clear"/>
          <w:lang w:val="en-US" w:eastAsia="zh-CN"/>
        </w:rPr>
        <w:t>163</w:t>
      </w:r>
      <w:r>
        <w:rPr>
          <w:rFonts w:hint="eastAsia" w:ascii="仿宋_GB2312" w:hAnsi="仿宋_GB2312" w:eastAsia="仿宋_GB2312" w:cs="仿宋_GB2312"/>
          <w:i w:val="0"/>
          <w:iCs w:val="0"/>
          <w:caps w:val="0"/>
          <w:color w:val="auto"/>
          <w:spacing w:val="0"/>
          <w:sz w:val="32"/>
          <w:szCs w:val="32"/>
          <w:highlight w:val="none"/>
          <w:shd w:val="clear"/>
        </w:rPr>
        <w:t>人，共消除动态监测风险</w:t>
      </w:r>
      <w:r>
        <w:rPr>
          <w:rFonts w:hint="eastAsia" w:ascii="仿宋_GB2312" w:hAnsi="仿宋_GB2312" w:eastAsia="仿宋_GB2312" w:cs="仿宋_GB2312"/>
          <w:i w:val="0"/>
          <w:iCs w:val="0"/>
          <w:caps w:val="0"/>
          <w:color w:val="auto"/>
          <w:spacing w:val="0"/>
          <w:sz w:val="32"/>
          <w:szCs w:val="32"/>
          <w:highlight w:val="none"/>
          <w:shd w:val="clear"/>
          <w:lang w:val="en-US" w:eastAsia="zh-CN"/>
        </w:rPr>
        <w:t>0</w:t>
      </w:r>
      <w:r>
        <w:rPr>
          <w:rFonts w:hint="eastAsia" w:ascii="仿宋_GB2312" w:hAnsi="仿宋_GB2312" w:eastAsia="仿宋_GB2312" w:cs="仿宋_GB2312"/>
          <w:i w:val="0"/>
          <w:iCs w:val="0"/>
          <w:caps w:val="0"/>
          <w:color w:val="auto"/>
          <w:spacing w:val="0"/>
          <w:sz w:val="32"/>
          <w:szCs w:val="32"/>
          <w:highlight w:val="none"/>
          <w:shd w:val="clear"/>
        </w:rPr>
        <w:t>户</w:t>
      </w:r>
      <w:r>
        <w:rPr>
          <w:rFonts w:hint="eastAsia" w:ascii="仿宋_GB2312" w:hAnsi="仿宋_GB2312" w:eastAsia="仿宋_GB2312" w:cs="仿宋_GB2312"/>
          <w:i w:val="0"/>
          <w:iCs w:val="0"/>
          <w:caps w:val="0"/>
          <w:color w:val="auto"/>
          <w:spacing w:val="0"/>
          <w:sz w:val="32"/>
          <w:szCs w:val="32"/>
          <w:highlight w:val="none"/>
          <w:shd w:val="clear"/>
          <w:lang w:val="en-US" w:eastAsia="zh-CN"/>
        </w:rPr>
        <w:t>0</w:t>
      </w:r>
      <w:r>
        <w:rPr>
          <w:rFonts w:hint="eastAsia" w:ascii="仿宋_GB2312" w:hAnsi="仿宋_GB2312" w:eastAsia="仿宋_GB2312" w:cs="仿宋_GB2312"/>
          <w:i w:val="0"/>
          <w:iCs w:val="0"/>
          <w:caps w:val="0"/>
          <w:color w:val="auto"/>
          <w:spacing w:val="0"/>
          <w:sz w:val="32"/>
          <w:szCs w:val="32"/>
          <w:highlight w:val="none"/>
          <w:shd w:val="clear"/>
        </w:rPr>
        <w:t xml:space="preserve">人，年人均纯收入低于7000元以下群众全面清零。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736" w:firstLineChars="230"/>
        <w:jc w:val="left"/>
        <w:textAlignment w:val="auto"/>
        <w:rPr>
          <w:rFonts w:hint="eastAsia" w:ascii="仿宋_GB2312" w:hAnsi="仿宋_GB2312" w:eastAsia="仿宋_GB2312" w:cs="仿宋_GB2312"/>
          <w:i w:val="0"/>
          <w:iCs w:val="0"/>
          <w:caps w:val="0"/>
          <w:color w:val="auto"/>
          <w:spacing w:val="0"/>
          <w:sz w:val="32"/>
          <w:szCs w:val="32"/>
          <w:highlight w:val="none"/>
          <w:shd w:val="cle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w:t>
      </w:r>
      <w:r>
        <w:rPr>
          <w:rFonts w:hint="eastAsia" w:ascii="仿宋_GB2312" w:hAnsi="仿宋_GB2312" w:eastAsia="仿宋_GB2312" w:cs="仿宋_GB2312"/>
          <w:i w:val="0"/>
          <w:iCs w:val="0"/>
          <w:caps w:val="0"/>
          <w:color w:val="auto"/>
          <w:spacing w:val="0"/>
          <w:sz w:val="32"/>
          <w:szCs w:val="32"/>
          <w:highlight w:val="none"/>
          <w:shd w:val="clear"/>
        </w:rPr>
        <w:t xml:space="preserve">美丽乡村建设大力推进。把美丽乡村建设与脱贫攻坚、乡村振兴有机结合，坚持规划引领，积极实施人居环境整村推进，集中开展环境卫生整治行动，全镇环境卫生更加整洁、村容村貌更加靓丽。 </w:t>
      </w:r>
    </w:p>
    <w:p>
      <w:pPr>
        <w:keepNext w:val="0"/>
        <w:keepLines w:val="0"/>
        <w:pageBreakBefore w:val="0"/>
        <w:widowControl w:val="0"/>
        <w:kinsoku/>
        <w:wordWrap/>
        <w:overflowPunct/>
        <w:topLinePunct w:val="0"/>
        <w:autoSpaceDE/>
        <w:autoSpaceDN/>
        <w:bidi w:val="0"/>
        <w:adjustRightInd/>
        <w:spacing w:line="360" w:lineRule="auto"/>
        <w:ind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3、</w:t>
      </w:r>
      <w:r>
        <w:rPr>
          <w:rFonts w:hint="default" w:ascii="仿宋_GB2312" w:eastAsia="仿宋_GB2312"/>
          <w:sz w:val="32"/>
          <w:szCs w:val="32"/>
          <w:highlight w:val="none"/>
          <w:lang w:val="en-US" w:eastAsia="zh-CN"/>
        </w:rPr>
        <w:t>落实安全防治工作，开展</w:t>
      </w:r>
      <w:r>
        <w:rPr>
          <w:rFonts w:hint="eastAsia" w:ascii="仿宋_GB2312" w:eastAsia="仿宋_GB2312"/>
          <w:sz w:val="32"/>
          <w:szCs w:val="32"/>
          <w:highlight w:val="none"/>
          <w:lang w:val="en-US" w:eastAsia="zh-CN"/>
        </w:rPr>
        <w:t>执法</w:t>
      </w:r>
      <w:r>
        <w:rPr>
          <w:rFonts w:hint="default" w:ascii="仿宋_GB2312" w:eastAsia="仿宋_GB2312"/>
          <w:sz w:val="32"/>
          <w:szCs w:val="32"/>
          <w:highlight w:val="none"/>
          <w:lang w:val="en-US" w:eastAsia="zh-CN"/>
        </w:rPr>
        <w:t>检查</w:t>
      </w:r>
      <w:r>
        <w:rPr>
          <w:rFonts w:hint="eastAsia" w:ascii="仿宋_GB2312" w:eastAsia="仿宋_GB2312"/>
          <w:color w:val="auto"/>
          <w:sz w:val="32"/>
          <w:szCs w:val="32"/>
          <w:highlight w:val="none"/>
          <w:lang w:val="en-US" w:eastAsia="zh-CN"/>
        </w:rPr>
        <w:t>170</w:t>
      </w:r>
      <w:r>
        <w:rPr>
          <w:rFonts w:hint="default" w:ascii="仿宋_GB2312" w:eastAsia="仿宋_GB2312"/>
          <w:color w:val="auto"/>
          <w:sz w:val="32"/>
          <w:szCs w:val="32"/>
          <w:highlight w:val="none"/>
          <w:lang w:val="en-US" w:eastAsia="zh-CN"/>
        </w:rPr>
        <w:t>次，查处各类生产安全隐患</w:t>
      </w:r>
      <w:r>
        <w:rPr>
          <w:rFonts w:hint="eastAsia" w:ascii="仿宋_GB2312" w:eastAsia="仿宋_GB2312"/>
          <w:color w:val="auto"/>
          <w:sz w:val="32"/>
          <w:szCs w:val="32"/>
          <w:highlight w:val="none"/>
          <w:lang w:val="en-US" w:eastAsia="zh-CN"/>
        </w:rPr>
        <w:t>170</w:t>
      </w:r>
      <w:r>
        <w:rPr>
          <w:rFonts w:hint="default" w:ascii="仿宋_GB2312" w:eastAsia="仿宋_GB2312"/>
          <w:color w:val="auto"/>
          <w:sz w:val="32"/>
          <w:szCs w:val="32"/>
          <w:highlight w:val="none"/>
          <w:lang w:val="en-US" w:eastAsia="zh-CN"/>
        </w:rPr>
        <w:t>余处，对辖区内农村道路开展全面摸排，发现并上报道路安全风险隐患点</w:t>
      </w:r>
      <w:r>
        <w:rPr>
          <w:rFonts w:hint="eastAsia" w:ascii="仿宋_GB2312" w:eastAsia="仿宋_GB2312"/>
          <w:color w:val="auto"/>
          <w:sz w:val="32"/>
          <w:szCs w:val="32"/>
          <w:highlight w:val="none"/>
          <w:lang w:val="en-US" w:eastAsia="zh-CN"/>
        </w:rPr>
        <w:t>24</w:t>
      </w:r>
      <w:r>
        <w:rPr>
          <w:rFonts w:hint="default" w:ascii="仿宋_GB2312" w:eastAsia="仿宋_GB2312"/>
          <w:color w:val="auto"/>
          <w:sz w:val="32"/>
          <w:szCs w:val="32"/>
          <w:highlight w:val="none"/>
          <w:lang w:val="en-US" w:eastAsia="zh-CN"/>
        </w:rPr>
        <w:t>处，</w:t>
      </w:r>
      <w:r>
        <w:rPr>
          <w:rFonts w:hint="default" w:ascii="仿宋_GB2312" w:eastAsia="仿宋_GB2312"/>
          <w:sz w:val="32"/>
          <w:szCs w:val="32"/>
          <w:highlight w:val="none"/>
          <w:lang w:val="en-US" w:eastAsia="zh-CN"/>
        </w:rPr>
        <w:t>并按照要求完成风险隐患点整治</w:t>
      </w:r>
      <w:r>
        <w:rPr>
          <w:rFonts w:hint="eastAsia" w:ascii="仿宋_GB2312" w:eastAsia="仿宋_GB2312"/>
          <w:sz w:val="32"/>
          <w:szCs w:val="32"/>
          <w:highlight w:val="none"/>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根据本次绩效评价情况，存在预算绩效申报时，编制的绩效目标不具体，绩效目标未完全细化分解为具体工作任务，部分绩效指标不清晰。 </w:t>
      </w:r>
    </w:p>
    <w:p>
      <w:pPr>
        <w:pStyle w:val="9"/>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下一步改进措施</w:t>
      </w:r>
    </w:p>
    <w:p>
      <w:pPr>
        <w:pStyle w:val="9"/>
        <w:keepNext w:val="0"/>
        <w:keepLines w:val="0"/>
        <w:pageBreakBefore w:val="0"/>
        <w:numPr>
          <w:ilvl w:val="0"/>
          <w:numId w:val="7"/>
        </w:numPr>
        <w:kinsoku/>
        <w:wordWrap/>
        <w:overflowPunct/>
        <w:topLinePunct w:val="0"/>
        <w:autoSpaceDE/>
        <w:autoSpaceDN/>
        <w:bidi w:val="0"/>
        <w:adjustRightInd/>
        <w:spacing w:before="0" w:beforeAutospacing="0" w:after="0" w:afterAutospacing="0" w:line="360" w:lineRule="auto"/>
        <w:ind w:left="0" w:leftChars="0" w:right="0" w:rightChars="0" w:firstLine="480"/>
        <w:jc w:val="both"/>
        <w:outlineLvl w:val="9"/>
        <w:rPr>
          <w:rFonts w:hint="eastAsia" w:ascii="仿宋" w:hAnsi="仿宋" w:eastAsia="仿宋_GB2312" w:cs="Times New Roman"/>
          <w:kern w:val="0"/>
          <w:sz w:val="32"/>
          <w:szCs w:val="32"/>
          <w:lang w:val="en-US" w:eastAsia="zh-CN" w:bidi="ar-SA"/>
        </w:rPr>
      </w:pPr>
      <w:r>
        <w:rPr>
          <w:rFonts w:hint="eastAsia" w:ascii="仿宋" w:hAnsi="仿宋" w:eastAsia="仿宋_GB2312" w:cs="Times New Roman"/>
          <w:kern w:val="0"/>
          <w:sz w:val="32"/>
          <w:szCs w:val="32"/>
          <w:lang w:val="en-US" w:eastAsia="zh-CN" w:bidi="ar-SA"/>
        </w:rPr>
        <w:t xml:space="preserve"> 加强了预算管理。按照“综合预算、量入为出、收支平衡”的原则，紧紧围绕全镇发展思路和工作重心编制2023年度政府预算，并按照上级要求，及时在政府网站公开，财政信息透明度进一步提高。</w:t>
      </w:r>
    </w:p>
    <w:p>
      <w:pPr>
        <w:pStyle w:val="9"/>
        <w:keepNext w:val="0"/>
        <w:keepLines w:val="0"/>
        <w:pageBreakBefore w:val="0"/>
        <w:numPr>
          <w:ilvl w:val="0"/>
          <w:numId w:val="7"/>
        </w:numPr>
        <w:kinsoku/>
        <w:wordWrap/>
        <w:overflowPunct/>
        <w:topLinePunct w:val="0"/>
        <w:autoSpaceDE/>
        <w:autoSpaceDN/>
        <w:bidi w:val="0"/>
        <w:adjustRightInd/>
        <w:spacing w:before="0" w:beforeAutospacing="0" w:after="0" w:afterAutospacing="0" w:line="360" w:lineRule="auto"/>
        <w:ind w:left="0" w:leftChars="0" w:right="0" w:rightChars="0" w:firstLine="480"/>
        <w:jc w:val="both"/>
        <w:outlineLvl w:val="9"/>
        <w:rPr>
          <w:rFonts w:hint="eastAsia" w:ascii="仿宋" w:hAnsi="仿宋" w:eastAsia="仿宋_GB2312" w:cs="Times New Roman"/>
          <w:kern w:val="0"/>
          <w:sz w:val="32"/>
          <w:szCs w:val="32"/>
          <w:lang w:val="en-US" w:eastAsia="zh-CN" w:bidi="ar-SA"/>
        </w:rPr>
      </w:pPr>
      <w:r>
        <w:rPr>
          <w:rFonts w:hint="eastAsia" w:ascii="仿宋" w:hAnsi="仿宋" w:eastAsia="仿宋_GB2312" w:cs="Times New Roman"/>
          <w:kern w:val="0"/>
          <w:sz w:val="32"/>
          <w:szCs w:val="32"/>
          <w:lang w:val="en-US" w:eastAsia="zh-CN" w:bidi="ar-SA"/>
        </w:rPr>
        <w:t>优化资金拨付流程，加强财政资金监督管理，提高了资金使用效益。</w:t>
      </w:r>
    </w:p>
    <w:p>
      <w:pPr>
        <w:pStyle w:val="9"/>
        <w:keepNext w:val="0"/>
        <w:keepLines w:val="0"/>
        <w:pageBreakBefore w:val="0"/>
        <w:numPr>
          <w:ilvl w:val="0"/>
          <w:numId w:val="7"/>
        </w:numPr>
        <w:kinsoku/>
        <w:wordWrap/>
        <w:overflowPunct/>
        <w:topLinePunct w:val="0"/>
        <w:autoSpaceDE/>
        <w:autoSpaceDN/>
        <w:bidi w:val="0"/>
        <w:adjustRightInd/>
        <w:spacing w:before="0" w:beforeAutospacing="0" w:after="0" w:afterAutospacing="0" w:line="360" w:lineRule="auto"/>
        <w:ind w:left="0" w:leftChars="0" w:right="0" w:rightChars="0" w:firstLine="480"/>
        <w:jc w:val="both"/>
        <w:outlineLvl w:val="9"/>
        <w:rPr>
          <w:rFonts w:hint="eastAsia" w:ascii="仿宋" w:hAnsi="仿宋" w:eastAsia="仿宋_GB2312" w:cs="Times New Roman"/>
          <w:kern w:val="0"/>
          <w:sz w:val="32"/>
          <w:szCs w:val="32"/>
          <w:lang w:val="en-US" w:eastAsia="zh-CN" w:bidi="ar-SA"/>
        </w:rPr>
      </w:pPr>
      <w:r>
        <w:rPr>
          <w:rFonts w:hint="eastAsia" w:ascii="仿宋" w:hAnsi="仿宋" w:eastAsia="仿宋_GB2312" w:cs="Times New Roman"/>
          <w:kern w:val="0"/>
          <w:sz w:val="32"/>
          <w:szCs w:val="32"/>
          <w:lang w:val="en-US" w:eastAsia="zh-CN" w:bidi="ar-SA"/>
        </w:rPr>
        <w:t>重点支出保障有力，严格执行部门预算，着力优化财政支出结构，优先保障和满足全镇重要工作部署，做到统筹兼顾，重点支出得到较好保障。</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419" w:firstLineChars="131"/>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 w:hAnsi="仿宋" w:eastAsia="仿宋_GB2312" w:cs="Times New Roman"/>
          <w:kern w:val="0"/>
          <w:sz w:val="32"/>
          <w:szCs w:val="32"/>
          <w:lang w:val="en-US" w:eastAsia="zh-CN" w:bidi="ar-SA"/>
        </w:rPr>
        <w:t>行政支出合理优化，认真落实中央“八项规定”、《党政机关厉行节约反对浪费条例》和党委、政府关于严格控制行政管理经费支出的各项要求，从严控制一般性支出，加强“三公经费”管理，降低行政</w:t>
      </w:r>
      <w:bookmarkStart w:id="0" w:name="baidusnap1"/>
      <w:bookmarkEnd w:id="0"/>
      <w:r>
        <w:rPr>
          <w:rFonts w:hint="eastAsia" w:ascii="仿宋" w:hAnsi="仿宋" w:eastAsia="仿宋_GB2312" w:cs="Times New Roman"/>
          <w:kern w:val="0"/>
          <w:sz w:val="32"/>
          <w:szCs w:val="32"/>
          <w:lang w:val="en-US" w:eastAsia="zh-CN" w:bidi="ar-SA"/>
        </w:rPr>
        <w:t>运行成本，确保“三公经费”只减不增。</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九、</w:t>
      </w:r>
      <w:r>
        <w:rPr>
          <w:rFonts w:hint="eastAsia" w:ascii="仿宋_GB2312" w:hAnsi="仿宋_GB2312" w:eastAsia="仿宋_GB2312" w:cs="仿宋_GB2312"/>
          <w:i w:val="0"/>
          <w:iCs w:val="0"/>
          <w:caps w:val="0"/>
          <w:color w:val="auto"/>
          <w:spacing w:val="0"/>
          <w:sz w:val="32"/>
          <w:szCs w:val="32"/>
          <w:shd w:val="clear"/>
        </w:rPr>
        <w:t>其他需要说明的情况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无</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480" w:firstLineChars="200"/>
        <w:jc w:val="left"/>
        <w:textAlignment w:val="auto"/>
        <w:rPr>
          <w:rFonts w:hint="eastAsia"/>
        </w:rPr>
      </w:pPr>
    </w:p>
    <w:sectPr>
      <w:footerReference r:id="rId3" w:type="default"/>
      <w:pgSz w:w="11906" w:h="16838"/>
      <w:pgMar w:top="590" w:right="1800" w:bottom="59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662C"/>
    <w:multiLevelType w:val="singleLevel"/>
    <w:tmpl w:val="880E662C"/>
    <w:lvl w:ilvl="0" w:tentative="0">
      <w:start w:val="2"/>
      <w:numFmt w:val="chineseCounting"/>
      <w:suff w:val="nothing"/>
      <w:lvlText w:val="（%1）"/>
      <w:lvlJc w:val="left"/>
      <w:rPr>
        <w:rFonts w:hint="eastAsia"/>
      </w:rPr>
    </w:lvl>
  </w:abstractNum>
  <w:abstractNum w:abstractNumId="1">
    <w:nsid w:val="8D1822A9"/>
    <w:multiLevelType w:val="singleLevel"/>
    <w:tmpl w:val="8D1822A9"/>
    <w:lvl w:ilvl="0" w:tentative="0">
      <w:start w:val="1"/>
      <w:numFmt w:val="decimal"/>
      <w:suff w:val="nothing"/>
      <w:lvlText w:val="%1、"/>
      <w:lvlJc w:val="left"/>
    </w:lvl>
  </w:abstractNum>
  <w:abstractNum w:abstractNumId="2">
    <w:nsid w:val="147FCA84"/>
    <w:multiLevelType w:val="singleLevel"/>
    <w:tmpl w:val="147FCA84"/>
    <w:lvl w:ilvl="0" w:tentative="0">
      <w:start w:val="8"/>
      <w:numFmt w:val="chineseCounting"/>
      <w:suff w:val="nothing"/>
      <w:lvlText w:val="%1、"/>
      <w:lvlJc w:val="left"/>
      <w:rPr>
        <w:rFonts w:hint="eastAsia"/>
      </w:rPr>
    </w:lvl>
  </w:abstractNum>
  <w:abstractNum w:abstractNumId="3">
    <w:nsid w:val="1537E45A"/>
    <w:multiLevelType w:val="singleLevel"/>
    <w:tmpl w:val="1537E45A"/>
    <w:lvl w:ilvl="0" w:tentative="0">
      <w:start w:val="2"/>
      <w:numFmt w:val="decimal"/>
      <w:lvlText w:val="%1."/>
      <w:lvlJc w:val="left"/>
      <w:pPr>
        <w:tabs>
          <w:tab w:val="left" w:pos="312"/>
        </w:tabs>
      </w:pPr>
    </w:lvl>
  </w:abstractNum>
  <w:abstractNum w:abstractNumId="4">
    <w:nsid w:val="21AEAAF3"/>
    <w:multiLevelType w:val="singleLevel"/>
    <w:tmpl w:val="21AEAAF3"/>
    <w:lvl w:ilvl="0" w:tentative="0">
      <w:start w:val="2"/>
      <w:numFmt w:val="chineseCounting"/>
      <w:suff w:val="nothing"/>
      <w:lvlText w:val="（%1）"/>
      <w:lvlJc w:val="left"/>
      <w:rPr>
        <w:rFonts w:hint="eastAsia"/>
      </w:rPr>
    </w:lvl>
  </w:abstractNum>
  <w:abstractNum w:abstractNumId="5">
    <w:nsid w:val="437048E4"/>
    <w:multiLevelType w:val="singleLevel"/>
    <w:tmpl w:val="437048E4"/>
    <w:lvl w:ilvl="0" w:tentative="0">
      <w:start w:val="4"/>
      <w:numFmt w:val="chineseCounting"/>
      <w:suff w:val="nothing"/>
      <w:lvlText w:val="%1、"/>
      <w:lvlJc w:val="left"/>
      <w:rPr>
        <w:rFonts w:hint="eastAsia"/>
      </w:rPr>
    </w:lvl>
  </w:abstractNum>
  <w:abstractNum w:abstractNumId="6">
    <w:nsid w:val="600E73A7"/>
    <w:multiLevelType w:val="singleLevel"/>
    <w:tmpl w:val="600E73A7"/>
    <w:lvl w:ilvl="0" w:tentative="0">
      <w:start w:val="1"/>
      <w:numFmt w:val="decimal"/>
      <w:suff w:val="nothing"/>
      <w:lvlText w:val="%1、"/>
      <w:lvlJc w:val="left"/>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DM3OWUzOWZhM2M5NDkxZDJjOGZkYjI5MGRiODcifQ=="/>
    <w:docVar w:name="KSO_WPS_MARK_KEY" w:val="482829f4-473e-4396-96bd-caa9135d5319"/>
  </w:docVars>
  <w:rsids>
    <w:rsidRoot w:val="7245723A"/>
    <w:rsid w:val="010F7FF3"/>
    <w:rsid w:val="022E25FB"/>
    <w:rsid w:val="04B77E0D"/>
    <w:rsid w:val="054B35C3"/>
    <w:rsid w:val="129A3494"/>
    <w:rsid w:val="13CC1E41"/>
    <w:rsid w:val="1A2E5948"/>
    <w:rsid w:val="1AD853E0"/>
    <w:rsid w:val="20C504C5"/>
    <w:rsid w:val="20FD22A1"/>
    <w:rsid w:val="290D7B43"/>
    <w:rsid w:val="295E47A0"/>
    <w:rsid w:val="2CB315D0"/>
    <w:rsid w:val="2D8A262B"/>
    <w:rsid w:val="32214C3B"/>
    <w:rsid w:val="32823EE8"/>
    <w:rsid w:val="32F75DAA"/>
    <w:rsid w:val="35396712"/>
    <w:rsid w:val="35EB5C31"/>
    <w:rsid w:val="36E330BE"/>
    <w:rsid w:val="37E67BF4"/>
    <w:rsid w:val="388763FD"/>
    <w:rsid w:val="3DB12EEE"/>
    <w:rsid w:val="3E097DBF"/>
    <w:rsid w:val="3E6E61BD"/>
    <w:rsid w:val="3E953B97"/>
    <w:rsid w:val="40B808FD"/>
    <w:rsid w:val="484F02A2"/>
    <w:rsid w:val="48CA1C78"/>
    <w:rsid w:val="4A491FC0"/>
    <w:rsid w:val="4B683B54"/>
    <w:rsid w:val="4F8824C0"/>
    <w:rsid w:val="50212524"/>
    <w:rsid w:val="50BA0E8E"/>
    <w:rsid w:val="51A24DA2"/>
    <w:rsid w:val="564451BE"/>
    <w:rsid w:val="57D76DD3"/>
    <w:rsid w:val="59F24396"/>
    <w:rsid w:val="5A241579"/>
    <w:rsid w:val="5ABD68DC"/>
    <w:rsid w:val="5BBF159A"/>
    <w:rsid w:val="5C825851"/>
    <w:rsid w:val="60395667"/>
    <w:rsid w:val="63626220"/>
    <w:rsid w:val="63AC1A2A"/>
    <w:rsid w:val="6C107036"/>
    <w:rsid w:val="6CD30313"/>
    <w:rsid w:val="6F2F4B3F"/>
    <w:rsid w:val="6FAC3F29"/>
    <w:rsid w:val="701B67C5"/>
    <w:rsid w:val="7119519F"/>
    <w:rsid w:val="7245723A"/>
    <w:rsid w:val="73830C7C"/>
    <w:rsid w:val="77356731"/>
    <w:rsid w:val="78D637D9"/>
    <w:rsid w:val="7C084926"/>
    <w:rsid w:val="7E97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1"/>
    <w:rPr>
      <w:rFonts w:ascii="宋体" w:hAnsi="宋体" w:eastAsia="宋体" w:cs="宋体"/>
      <w:sz w:val="32"/>
      <w:szCs w:val="32"/>
    </w:rPr>
  </w:style>
  <w:style w:type="paragraph" w:customStyle="1" w:styleId="5">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FollowedHyperlink"/>
    <w:basedOn w:val="11"/>
    <w:qFormat/>
    <w:uiPriority w:val="0"/>
    <w:rPr>
      <w:color w:val="337AB7"/>
      <w:u w:val="none"/>
    </w:rPr>
  </w:style>
  <w:style w:type="character" w:styleId="14">
    <w:name w:val="Emphasis"/>
    <w:basedOn w:val="11"/>
    <w:qFormat/>
    <w:uiPriority w:val="0"/>
  </w:style>
  <w:style w:type="character" w:styleId="15">
    <w:name w:val="HTML Definition"/>
    <w:basedOn w:val="11"/>
    <w:qFormat/>
    <w:uiPriority w:val="0"/>
    <w:rPr>
      <w:i/>
      <w:iCs/>
    </w:rPr>
  </w:style>
  <w:style w:type="character" w:styleId="16">
    <w:name w:val="Hyperlink"/>
    <w:basedOn w:val="11"/>
    <w:qFormat/>
    <w:uiPriority w:val="0"/>
    <w:rPr>
      <w:color w:val="337AB7"/>
      <w:u w:val="none"/>
    </w:rPr>
  </w:style>
  <w:style w:type="character" w:styleId="17">
    <w:name w:val="HTML Code"/>
    <w:basedOn w:val="11"/>
    <w:qFormat/>
    <w:uiPriority w:val="0"/>
    <w:rPr>
      <w:rFonts w:hint="default" w:ascii="Consolas" w:hAnsi="Consolas" w:eastAsia="Consolas" w:cs="Consolas"/>
      <w:color w:val="C7254E"/>
      <w:sz w:val="21"/>
      <w:szCs w:val="21"/>
      <w:shd w:val="clear" w:fill="F9F2F4"/>
    </w:rPr>
  </w:style>
  <w:style w:type="character" w:styleId="18">
    <w:name w:val="HTML Keyboard"/>
    <w:basedOn w:val="11"/>
    <w:qFormat/>
    <w:uiPriority w:val="0"/>
    <w:rPr>
      <w:rFonts w:hint="default" w:ascii="Consolas" w:hAnsi="Consolas" w:eastAsia="Consolas" w:cs="Consolas"/>
      <w:color w:val="FFFFFF"/>
      <w:sz w:val="21"/>
      <w:szCs w:val="21"/>
      <w:shd w:val="clear" w:fill="333333"/>
    </w:rPr>
  </w:style>
  <w:style w:type="character" w:styleId="19">
    <w:name w:val="HTML Sample"/>
    <w:basedOn w:val="11"/>
    <w:qFormat/>
    <w:uiPriority w:val="0"/>
    <w:rPr>
      <w:rFonts w:ascii="Consolas" w:hAnsi="Consolas" w:eastAsia="Consolas" w:cs="Consolas"/>
      <w:sz w:val="21"/>
      <w:szCs w:val="21"/>
    </w:rPr>
  </w:style>
  <w:style w:type="character" w:customStyle="1" w:styleId="20">
    <w:name w:val="sp2"/>
    <w:basedOn w:val="11"/>
    <w:qFormat/>
    <w:uiPriority w:val="0"/>
  </w:style>
  <w:style w:type="character" w:customStyle="1" w:styleId="21">
    <w:name w:val="select2-selection__rendered"/>
    <w:basedOn w:val="11"/>
    <w:uiPriority w:val="0"/>
    <w:rPr>
      <w:sz w:val="18"/>
      <w:szCs w:val="18"/>
    </w:rPr>
  </w:style>
  <w:style w:type="character" w:customStyle="1" w:styleId="22">
    <w:name w:val="sp1"/>
    <w:basedOn w:val="11"/>
    <w:qFormat/>
    <w:uiPriority w:val="0"/>
  </w:style>
  <w:style w:type="character" w:customStyle="1" w:styleId="23">
    <w:name w:val="sp4"/>
    <w:basedOn w:val="11"/>
    <w:qFormat/>
    <w:uiPriority w:val="0"/>
  </w:style>
  <w:style w:type="character" w:customStyle="1" w:styleId="24">
    <w:name w:val="active20"/>
    <w:basedOn w:val="11"/>
    <w:qFormat/>
    <w:uiPriority w:val="0"/>
    <w:rPr>
      <w:shd w:val="clear" w:fill="20A0E4"/>
    </w:rPr>
  </w:style>
  <w:style w:type="character" w:customStyle="1" w:styleId="25">
    <w:name w:val="active21"/>
    <w:basedOn w:val="11"/>
    <w:qFormat/>
    <w:uiPriority w:val="0"/>
    <w:rPr>
      <w:color w:val="FFFFFF"/>
      <w:shd w:val="clear" w:fill="0069AE"/>
    </w:rPr>
  </w:style>
  <w:style w:type="character" w:customStyle="1" w:styleId="26">
    <w:name w:val="sp3"/>
    <w:basedOn w:val="11"/>
    <w:qFormat/>
    <w:uiPriority w:val="0"/>
  </w:style>
  <w:style w:type="character" w:customStyle="1" w:styleId="27">
    <w:name w:val="after2"/>
    <w:basedOn w:val="11"/>
    <w:qFormat/>
    <w:uiPriority w:val="0"/>
  </w:style>
  <w:style w:type="character" w:customStyle="1" w:styleId="28">
    <w:name w:val="time"/>
    <w:basedOn w:val="11"/>
    <w:qFormat/>
    <w:uiPriority w:val="0"/>
    <w:rPr>
      <w:rFonts w:ascii="Arial" w:hAnsi="Arial" w:cs="Arial"/>
      <w:color w:val="999999"/>
      <w:sz w:val="21"/>
      <w:szCs w:val="21"/>
    </w:rPr>
  </w:style>
  <w:style w:type="character" w:customStyle="1" w:styleId="29">
    <w:name w:val="sp5"/>
    <w:basedOn w:val="11"/>
    <w:qFormat/>
    <w:uiPriority w:val="0"/>
  </w:style>
  <w:style w:type="character" w:customStyle="1" w:styleId="30">
    <w:name w:val="sp7"/>
    <w:basedOn w:val="11"/>
    <w:qFormat/>
    <w:uiPriority w:val="0"/>
  </w:style>
  <w:style w:type="character" w:customStyle="1" w:styleId="31">
    <w:name w:val="sp6"/>
    <w:basedOn w:val="11"/>
    <w:qFormat/>
    <w:uiPriority w:val="0"/>
  </w:style>
  <w:style w:type="character" w:customStyle="1" w:styleId="32">
    <w:name w:val="s3"/>
    <w:basedOn w:val="11"/>
    <w:qFormat/>
    <w:uiPriority w:val="0"/>
  </w:style>
  <w:style w:type="character" w:customStyle="1" w:styleId="33">
    <w:name w:val="last2"/>
    <w:basedOn w:val="11"/>
    <w:qFormat/>
    <w:uiPriority w:val="0"/>
  </w:style>
  <w:style w:type="character" w:customStyle="1" w:styleId="34">
    <w:name w:val="last3"/>
    <w:basedOn w:val="11"/>
    <w:qFormat/>
    <w:uiPriority w:val="0"/>
  </w:style>
  <w:style w:type="character" w:customStyle="1" w:styleId="35">
    <w:name w:val="box6"/>
    <w:basedOn w:val="11"/>
    <w:qFormat/>
    <w:uiPriority w:val="0"/>
    <w:rPr>
      <w:rFonts w:ascii="微软雅黑" w:hAnsi="微软雅黑" w:eastAsia="微软雅黑" w:cs="微软雅黑"/>
      <w:sz w:val="21"/>
      <w:szCs w:val="21"/>
    </w:rPr>
  </w:style>
  <w:style w:type="character" w:customStyle="1" w:styleId="36">
    <w:name w:val="hover2"/>
    <w:basedOn w:val="11"/>
    <w:qFormat/>
    <w:uiPriority w:val="0"/>
    <w:rPr>
      <w:b/>
      <w:bCs/>
      <w:color w:val="FFFFFF"/>
    </w:rPr>
  </w:style>
  <w:style w:type="character" w:customStyle="1" w:styleId="37">
    <w:name w:val="hover3"/>
    <w:basedOn w:val="11"/>
    <w:qFormat/>
    <w:uiPriority w:val="0"/>
    <w:rPr>
      <w:color w:val="0068B7"/>
    </w:rPr>
  </w:style>
  <w:style w:type="character" w:customStyle="1" w:styleId="38">
    <w:name w:val="hover4"/>
    <w:basedOn w:val="11"/>
    <w:qFormat/>
    <w:uiPriority w:val="0"/>
    <w:rPr>
      <w:color w:val="000000"/>
      <w:shd w:val="clear" w:fill="FFFFFF"/>
    </w:rPr>
  </w:style>
  <w:style w:type="character" w:customStyle="1" w:styleId="39">
    <w:name w:val="next"/>
    <w:basedOn w:val="11"/>
    <w:qFormat/>
    <w:uiPriority w:val="0"/>
  </w:style>
  <w:style w:type="character" w:customStyle="1" w:styleId="40">
    <w:name w:val="prev"/>
    <w:basedOn w:val="11"/>
    <w:qFormat/>
    <w:uiPriority w:val="0"/>
  </w:style>
  <w:style w:type="character" w:customStyle="1" w:styleId="41">
    <w:name w:val="s2"/>
    <w:basedOn w:val="11"/>
    <w:qFormat/>
    <w:uiPriority w:val="0"/>
  </w:style>
  <w:style w:type="character" w:customStyle="1" w:styleId="42">
    <w:name w:val="ly"/>
    <w:basedOn w:val="11"/>
    <w:qFormat/>
    <w:uiPriority w:val="0"/>
    <w:rPr>
      <w:color w:val="999999"/>
      <w:sz w:val="21"/>
      <w:szCs w:val="21"/>
    </w:rPr>
  </w:style>
  <w:style w:type="character" w:customStyle="1" w:styleId="43">
    <w:name w:val="s1"/>
    <w:basedOn w:val="11"/>
    <w:qFormat/>
    <w:uiPriority w:val="0"/>
  </w:style>
  <w:style w:type="character" w:customStyle="1" w:styleId="44">
    <w:name w:val="s11"/>
    <w:basedOn w:val="11"/>
    <w:qFormat/>
    <w:uiPriority w:val="0"/>
  </w:style>
  <w:style w:type="character" w:customStyle="1" w:styleId="45">
    <w:name w:val="s4"/>
    <w:basedOn w:val="11"/>
    <w:uiPriority w:val="0"/>
  </w:style>
  <w:style w:type="character" w:customStyle="1" w:styleId="46">
    <w:name w:val="s5"/>
    <w:basedOn w:val="11"/>
    <w:qFormat/>
    <w:uiPriority w:val="0"/>
  </w:style>
  <w:style w:type="character" w:customStyle="1" w:styleId="47">
    <w:name w:val="wx-space"/>
    <w:basedOn w:val="11"/>
    <w:qFormat/>
    <w:uiPriority w:val="0"/>
  </w:style>
  <w:style w:type="character" w:customStyle="1" w:styleId="48">
    <w:name w:val="wx-space1"/>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4111</Words>
  <Characters>4384</Characters>
  <Lines>0</Lines>
  <Paragraphs>0</Paragraphs>
  <TotalTime>89</TotalTime>
  <ScaleCrop>false</ScaleCrop>
  <LinksUpToDate>false</LinksUpToDate>
  <CharactersWithSpaces>4639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Administrator</cp:lastModifiedBy>
  <cp:lastPrinted>2023-11-30T02:41:00Z</cp:lastPrinted>
  <dcterms:modified xsi:type="dcterms:W3CDTF">2024-10-28T02:54:16Z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E0026937DC874936A1ABAE1772454213_13</vt:lpwstr>
  </property>
</Properties>
</file>