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46C" w:rsidRDefault="0083546C" w:rsidP="0083546C">
      <w:pPr>
        <w:spacing w:line="1400" w:lineRule="exact"/>
        <w:jc w:val="center"/>
        <w:rPr>
          <w:rFonts w:ascii="方正大标宋简体" w:eastAsia="方正大标宋简体" w:hAnsi="方正大标宋简体" w:cs="方正大标宋简体"/>
          <w:color w:val="FF0000"/>
          <w:spacing w:val="-23"/>
          <w:w w:val="57"/>
          <w:sz w:val="126"/>
          <w:szCs w:val="126"/>
        </w:rPr>
      </w:pPr>
    </w:p>
    <w:p w:rsidR="0083546C" w:rsidRDefault="0083546C" w:rsidP="0083546C">
      <w:pPr>
        <w:spacing w:line="1400" w:lineRule="exact"/>
        <w:jc w:val="center"/>
        <w:rPr>
          <w:rFonts w:ascii="方正大标宋简体" w:eastAsia="方正大标宋简体" w:hAnsi="方正大标宋简体" w:cs="方正大标宋简体"/>
          <w:color w:val="FF0000"/>
          <w:spacing w:val="-23"/>
          <w:w w:val="57"/>
          <w:sz w:val="130"/>
          <w:szCs w:val="130"/>
        </w:rPr>
      </w:pPr>
      <w:r>
        <w:rPr>
          <w:rFonts w:ascii="方正大标宋简体" w:eastAsia="方正大标宋简体" w:hAnsi="方正大标宋简体" w:cs="方正大标宋简体" w:hint="eastAsia"/>
          <w:color w:val="FF0000"/>
          <w:spacing w:val="-23"/>
          <w:w w:val="57"/>
          <w:sz w:val="126"/>
          <w:szCs w:val="126"/>
        </w:rPr>
        <w:t>临武产业开发区管理委员会</w:t>
      </w:r>
    </w:p>
    <w:p w:rsidR="0083546C" w:rsidRDefault="0083546C" w:rsidP="0083546C">
      <w:pPr>
        <w:spacing w:line="3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3546C" w:rsidRDefault="005C2B24" w:rsidP="0083546C">
      <w:pPr>
        <w:spacing w:line="580" w:lineRule="exact"/>
        <w:rPr>
          <w:rFonts w:ascii="方正大标宋简体" w:eastAsia="方正大标宋简体" w:hAnsi="方正大标宋简体" w:cs="方正大标宋简体"/>
          <w:bCs/>
          <w:sz w:val="44"/>
          <w:szCs w:val="44"/>
        </w:rPr>
      </w:pPr>
      <w:r w:rsidRPr="005C2B24">
        <w:rPr>
          <w:sz w:val="11"/>
          <w:szCs w:val="11"/>
        </w:rPr>
        <w:pict>
          <v:line id="_x0000_s1027" style="position:absolute;left:0;text-align:left;z-index:251657216" from="-.1pt,15.7pt" to="450.6pt,16.4pt" o:gfxdata="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yfr/LSAAAABwEAAA8AAAAAAAAAAQAgAAAAIgAAAGRycy9kb3ducmV2LnhtbFBLAQIUABQAAAAI&#10;AIdO4kCTr5vG8wEAAL8DAAAOAAAAAAAAAAEAIAAAACEBAABkcnMvZTJvRG9jLnhtbFBLBQYAAAAA&#10;BgAGAFkBAACGBQAAAAA=&#10;" strokecolor="red" strokeweight=".5pt">
            <v:stroke joinstyle="miter"/>
          </v:line>
        </w:pict>
      </w:r>
      <w:r w:rsidRPr="005C2B24">
        <w:rPr>
          <w:w w:val="70"/>
          <w:sz w:val="130"/>
        </w:rPr>
        <w:pict>
          <v:line id="_x0000_s1026" style="position:absolute;left:0;text-align:left;z-index:251658240" from="-1.8pt,12.95pt" to="450.9pt,12.95pt" o:gfxdata="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8RAenX&#10;AAAACAEAAA8AAAAAAAAAAQAgAAAAIgAAAGRycy9kb3ducmV2LnhtbFBLAQIUABQAAAAIAIdO4kCy&#10;bc3j6AEAALIDAAAOAAAAAAAAAAEAIAAAACYBAABkcnMvZTJvRG9jLnhtbFBLBQYAAAAABgAGAFkB&#10;AACABQAAAAA=&#10;" strokecolor="red" strokeweight="2.25pt">
            <v:stroke joinstyle="miter"/>
          </v:line>
        </w:pict>
      </w:r>
    </w:p>
    <w:p w:rsidR="00E87B67" w:rsidRPr="00E11D82" w:rsidRDefault="00E87B67" w:rsidP="00E87B67">
      <w:pPr>
        <w:pStyle w:val="a7"/>
        <w:widowControl/>
        <w:spacing w:beforeAutospacing="0" w:afterAutospacing="0" w:line="384" w:lineRule="atLeast"/>
        <w:jc w:val="center"/>
        <w:rPr>
          <w:rFonts w:ascii="Times New Roman" w:eastAsia="方正小标宋简体" w:hAnsi="Times New Roman"/>
          <w:sz w:val="40"/>
          <w:szCs w:val="40"/>
        </w:rPr>
      </w:pPr>
      <w:r w:rsidRPr="00E11D82">
        <w:rPr>
          <w:rFonts w:ascii="Times New Roman" w:eastAsia="方正小标宋简体" w:hAnsi="Times New Roman"/>
          <w:sz w:val="40"/>
          <w:szCs w:val="40"/>
        </w:rPr>
        <w:t>2022</w:t>
      </w:r>
      <w:r w:rsidRPr="00E11D82">
        <w:rPr>
          <w:rFonts w:ascii="Times New Roman" w:eastAsia="方正小标宋简体" w:hAnsi="Times New Roman"/>
          <w:sz w:val="40"/>
          <w:szCs w:val="40"/>
        </w:rPr>
        <w:t>年</w:t>
      </w:r>
      <w:r w:rsidRPr="00E11D82">
        <w:rPr>
          <w:rFonts w:ascii="Times New Roman" w:eastAsia="方正小标宋简体" w:hAnsi="Times New Roman" w:hint="eastAsia"/>
          <w:sz w:val="40"/>
          <w:szCs w:val="40"/>
        </w:rPr>
        <w:t>园区</w:t>
      </w:r>
      <w:r w:rsidR="009345DA" w:rsidRPr="009345DA">
        <w:rPr>
          <w:rFonts w:ascii="Times New Roman" w:eastAsia="方正小标宋简体" w:hAnsi="Times New Roman" w:hint="eastAsia"/>
          <w:sz w:val="40"/>
          <w:szCs w:val="40"/>
        </w:rPr>
        <w:t>保障性住房维护管理</w:t>
      </w:r>
      <w:r w:rsidRPr="00E11D82">
        <w:rPr>
          <w:rFonts w:ascii="Times New Roman" w:eastAsia="方正小标宋简体" w:hAnsi="Times New Roman"/>
          <w:sz w:val="40"/>
          <w:szCs w:val="40"/>
        </w:rPr>
        <w:t>项目</w:t>
      </w:r>
    </w:p>
    <w:p w:rsidR="00E87B67" w:rsidRDefault="00E87B67" w:rsidP="00E87B67">
      <w:pPr>
        <w:pStyle w:val="a7"/>
        <w:widowControl/>
        <w:spacing w:beforeAutospacing="0" w:afterAutospacing="0" w:line="384" w:lineRule="atLeas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>支出绩效自评报告</w:t>
      </w:r>
    </w:p>
    <w:p w:rsidR="00E87B67" w:rsidRDefault="00E87B67" w:rsidP="00E87B67">
      <w:pPr>
        <w:spacing w:line="2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E87B67" w:rsidRPr="009831FB" w:rsidRDefault="00E87B67" w:rsidP="00E87B6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31FB">
        <w:rPr>
          <w:rFonts w:ascii="仿宋" w:eastAsia="仿宋" w:hAnsi="仿宋"/>
          <w:sz w:val="32"/>
          <w:szCs w:val="32"/>
        </w:rPr>
        <w:t>为全面实施预算绩效管理，进一步加强财政支出管理，强化部门支出责任，切实提高财政资金使用效益和管理水平，根据《中华人民共和国预算法》《中华人民共和国预算法实施条例》《中共中央 国务院关于全面实施预算绩效管理的意见》（中发〔2018〕34号）、《中共湖南省委办公厅 湖南省人民政府办公厅关于全面实施预算绩效管理的实施意见》（湘办发〔2019〕10号）及《关于做好2022年预算绩效管理工作的通知》（临财绩〔2022〕124号）等文件精神，我单位对2022年</w:t>
      </w:r>
      <w:r w:rsidR="009345DA">
        <w:rPr>
          <w:rFonts w:ascii="仿宋" w:eastAsia="仿宋" w:hAnsi="仿宋" w:hint="eastAsia"/>
          <w:sz w:val="32"/>
          <w:szCs w:val="32"/>
        </w:rPr>
        <w:t>保障性住房维护管理项目</w:t>
      </w:r>
      <w:r w:rsidRPr="009831FB">
        <w:rPr>
          <w:rFonts w:ascii="仿宋" w:eastAsia="仿宋" w:hAnsi="仿宋"/>
          <w:sz w:val="32"/>
          <w:szCs w:val="32"/>
        </w:rPr>
        <w:t>进行了专项绩效自评，现将绩效自评情况报告如下：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一、项目支出概况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（一）项目实施单位基本情况。</w:t>
      </w:r>
    </w:p>
    <w:p w:rsidR="00E87B67" w:rsidRPr="00EF35B6" w:rsidRDefault="00E87B67" w:rsidP="00E87B67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F35B6">
        <w:rPr>
          <w:rFonts w:ascii="仿宋" w:eastAsia="仿宋" w:hAnsi="仿宋" w:hint="eastAsia"/>
          <w:sz w:val="32"/>
          <w:szCs w:val="32"/>
        </w:rPr>
        <w:t>临武产业开发区管理委员会为郴州市人民政府派出机构，副处级，委托临武县人民政府管理，临武产业开发区党工委、管委会贯彻执行中央、省、市关于产业开发区的方针政策和决策部署，根据相关法律法规和市委、市政府授权（委托）履行组织领导、</w:t>
      </w:r>
      <w:r w:rsidRPr="00EF35B6">
        <w:rPr>
          <w:rFonts w:ascii="仿宋" w:eastAsia="仿宋" w:hAnsi="仿宋" w:hint="eastAsia"/>
          <w:sz w:val="32"/>
          <w:szCs w:val="32"/>
        </w:rPr>
        <w:lastRenderedPageBreak/>
        <w:t>发展规划、区域开发、产业发展、投资促进、协调服务等职能。在履行职责过程中坚持加强党的全面领导，认真落实国家关于促进开发区改革和创新发展的要求，切实优化营商环境，积极落实“三高四新”战略定位和使命任命。主要职责有：负责贯彻执行党和国家关于产业开发区的方针政策、法律法规和决策部署；负责研究拟订和组织实施临武产业开发区重大发展战略、发展规划和工作计划；按照临武县国土空间总体规划和产业发展规划要求及相关权限，负责统筹建设发展空间布局。负责拟订临武产业开发区发展规划、产业布局、产业政策、项目准入标准等重要事项并组织实施；负责临武产业开发区招商引资工作，组织对外经济技术合作与交流。负责临武产业开发区基础设施、公用事业、重大项目等管理相关工作；负责临武产业开发区优化营商环境工作，根据权限依法承担有关行政审批工作，履行行政审批服务职责。负责坚持深化“放管服”改革。负责构建临武产业开发区创新创业服务体系，协助企业做好人才引进和服务工作；负责园临武产业开发区的科技创新和高新技术产业管理和服务，开展有关科技创新和高新技术产业政策研究，构建技术创新服务体系。指导区内企业建立现代化企业制度，推进高新技术产业化、国际化等职责。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（二）项目资金基本情况包括项目资金基本性质、用途和主要内容、涉及范围等。</w:t>
      </w:r>
    </w:p>
    <w:p w:rsidR="00E87B67" w:rsidRPr="00227350" w:rsidRDefault="009345DA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kern w:val="2"/>
          <w:sz w:val="32"/>
          <w:szCs w:val="32"/>
        </w:rPr>
        <w:t>保障性住房维护管理</w:t>
      </w:r>
      <w:r w:rsidR="00E87B67" w:rsidRPr="00227350">
        <w:rPr>
          <w:rFonts w:ascii="仿宋" w:eastAsia="仿宋" w:hAnsi="仿宋" w:cstheme="minorBidi" w:hint="eastAsia"/>
          <w:kern w:val="2"/>
          <w:sz w:val="32"/>
          <w:szCs w:val="32"/>
        </w:rPr>
        <w:t>项目主要用于</w:t>
      </w:r>
      <w:r w:rsidRPr="009345DA">
        <w:rPr>
          <w:rFonts w:ascii="仿宋" w:eastAsia="仿宋" w:hAnsi="仿宋" w:cstheme="minorBidi" w:hint="eastAsia"/>
          <w:kern w:val="2"/>
          <w:sz w:val="32"/>
          <w:szCs w:val="32"/>
        </w:rPr>
        <w:t>辖区内的7栋保障性住房维护管理工作，</w:t>
      </w:r>
      <w:r w:rsidR="00E87B67" w:rsidRPr="00227350">
        <w:rPr>
          <w:rFonts w:ascii="仿宋" w:eastAsia="仿宋" w:hAnsi="仿宋" w:cstheme="minorBidi" w:hint="eastAsia"/>
          <w:kern w:val="2"/>
          <w:sz w:val="32"/>
          <w:szCs w:val="32"/>
        </w:rPr>
        <w:t>支持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园区</w:t>
      </w:r>
      <w:r w:rsidRPr="009345DA">
        <w:rPr>
          <w:rFonts w:ascii="仿宋" w:eastAsia="仿宋" w:hAnsi="仿宋" w:cstheme="minorBidi" w:hint="eastAsia"/>
          <w:kern w:val="2"/>
          <w:sz w:val="32"/>
          <w:szCs w:val="32"/>
        </w:rPr>
        <w:t>保障性住房服务来园区务工人员生活、居住、工作等方面，是切实保障园区劳动力稳定的一个重要工作。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lastRenderedPageBreak/>
        <w:t>项目资金基本性质为</w:t>
      </w:r>
      <w:r w:rsidR="00627F3F" w:rsidRPr="00627F3F">
        <w:rPr>
          <w:rFonts w:ascii="仿宋" w:eastAsia="仿宋" w:hAnsi="仿宋" w:cstheme="minorBidi"/>
          <w:kern w:val="2"/>
          <w:sz w:val="32"/>
          <w:szCs w:val="32"/>
        </w:rPr>
        <w:t>一般公共预算拨款</w:t>
      </w:r>
      <w:r w:rsidR="00627F3F" w:rsidRPr="00627F3F">
        <w:rPr>
          <w:rFonts w:ascii="仿宋" w:eastAsia="仿宋" w:hAnsi="仿宋" w:cstheme="minorBidi" w:hint="eastAsia"/>
          <w:kern w:val="2"/>
          <w:sz w:val="32"/>
          <w:szCs w:val="32"/>
        </w:rPr>
        <w:t>，主要用于园区范围内的</w:t>
      </w:r>
      <w:r w:rsidR="00627F3F" w:rsidRPr="009345DA">
        <w:rPr>
          <w:rFonts w:ascii="仿宋" w:eastAsia="仿宋" w:hAnsi="仿宋" w:cstheme="minorBidi" w:hint="eastAsia"/>
          <w:kern w:val="2"/>
          <w:sz w:val="32"/>
          <w:szCs w:val="32"/>
        </w:rPr>
        <w:t>7栋保障性住房</w:t>
      </w:r>
      <w:r w:rsidR="00627F3F">
        <w:rPr>
          <w:rFonts w:ascii="仿宋" w:eastAsia="仿宋" w:hAnsi="仿宋" w:cstheme="minorBidi" w:hint="eastAsia"/>
          <w:kern w:val="2"/>
          <w:sz w:val="32"/>
          <w:szCs w:val="32"/>
        </w:rPr>
        <w:t>硬件基础设施巡查、故障排查、维修、管护</w:t>
      </w:r>
      <w:r w:rsidR="00627F3F" w:rsidRPr="009345DA">
        <w:rPr>
          <w:rFonts w:ascii="仿宋" w:eastAsia="仿宋" w:hAnsi="仿宋" w:cstheme="minorBidi" w:hint="eastAsia"/>
          <w:kern w:val="2"/>
          <w:sz w:val="32"/>
          <w:szCs w:val="32"/>
        </w:rPr>
        <w:t>工作</w:t>
      </w:r>
      <w:r w:rsidR="00E87B67" w:rsidRPr="00227350"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（三）项目资金绩效目标，包括总体目标和年度目标。</w:t>
      </w:r>
    </w:p>
    <w:p w:rsidR="00E87B67" w:rsidRPr="00227350" w:rsidRDefault="009345DA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kern w:val="2"/>
          <w:sz w:val="32"/>
          <w:szCs w:val="32"/>
        </w:rPr>
        <w:t>保障性住房维护管理</w:t>
      </w:r>
      <w:r w:rsidR="00E87B67" w:rsidRPr="00227350">
        <w:rPr>
          <w:rFonts w:ascii="仿宋" w:eastAsia="仿宋" w:hAnsi="仿宋" w:cstheme="minorBidi"/>
          <w:kern w:val="2"/>
          <w:sz w:val="32"/>
          <w:szCs w:val="32"/>
        </w:rPr>
        <w:t>项目资金总体绩效目标</w:t>
      </w:r>
      <w:r w:rsidR="00E87B67" w:rsidRPr="00227350">
        <w:rPr>
          <w:rFonts w:ascii="仿宋" w:eastAsia="仿宋" w:hAnsi="仿宋" w:cstheme="minorBidi" w:hint="eastAsia"/>
          <w:kern w:val="2"/>
          <w:sz w:val="32"/>
          <w:szCs w:val="32"/>
        </w:rPr>
        <w:t>是</w:t>
      </w:r>
      <w:r w:rsidR="00627F3F" w:rsidRPr="00627F3F">
        <w:rPr>
          <w:rFonts w:ascii="仿宋" w:eastAsia="仿宋" w:hAnsi="仿宋" w:cstheme="minorBidi" w:hint="eastAsia"/>
          <w:kern w:val="2"/>
          <w:sz w:val="32"/>
          <w:szCs w:val="32"/>
        </w:rPr>
        <w:t>保障性住房能够正常使用和租赁，基础设施得到完善</w:t>
      </w:r>
      <w:r w:rsidR="00E87B67" w:rsidRPr="00227350">
        <w:rPr>
          <w:rFonts w:ascii="仿宋" w:eastAsia="仿宋" w:hAnsi="仿宋" w:cstheme="minorBidi" w:hint="eastAsia"/>
          <w:kern w:val="2"/>
          <w:sz w:val="32"/>
          <w:szCs w:val="32"/>
        </w:rPr>
        <w:t>，本年度目标是</w:t>
      </w:r>
      <w:r w:rsidR="00627F3F">
        <w:rPr>
          <w:rFonts w:ascii="仿宋" w:eastAsia="仿宋" w:hAnsi="仿宋" w:cstheme="minorBidi" w:hint="eastAsia"/>
          <w:kern w:val="2"/>
          <w:sz w:val="32"/>
          <w:szCs w:val="32"/>
        </w:rPr>
        <w:t>服务园区保障性住房住户600人以上，</w:t>
      </w:r>
      <w:r w:rsidR="00E0523B">
        <w:rPr>
          <w:rFonts w:ascii="仿宋" w:eastAsia="仿宋" w:hAnsi="仿宋" w:cstheme="minorBidi" w:hint="eastAsia"/>
          <w:kern w:val="2"/>
          <w:sz w:val="32"/>
          <w:szCs w:val="32"/>
        </w:rPr>
        <w:t>维护保障性住房数量7栋</w:t>
      </w:r>
      <w:r w:rsidR="00E87B67" w:rsidRPr="00227350">
        <w:rPr>
          <w:rFonts w:ascii="仿宋" w:eastAsia="仿宋" w:hAnsi="仿宋" w:cstheme="minorBidi" w:hint="eastAsia"/>
          <w:kern w:val="2"/>
          <w:sz w:val="32"/>
          <w:szCs w:val="32"/>
        </w:rPr>
        <w:t>，</w:t>
      </w:r>
      <w:r w:rsidR="00627F3F" w:rsidRPr="00627F3F">
        <w:rPr>
          <w:rFonts w:ascii="仿宋" w:eastAsia="仿宋" w:hAnsi="仿宋" w:cstheme="minorBidi" w:hint="eastAsia"/>
          <w:kern w:val="2"/>
          <w:sz w:val="32"/>
          <w:szCs w:val="32"/>
        </w:rPr>
        <w:t>保障性住房租户</w:t>
      </w:r>
      <w:r w:rsidR="00E87B67" w:rsidRPr="00227350">
        <w:rPr>
          <w:rFonts w:ascii="仿宋" w:eastAsia="仿宋" w:hAnsi="仿宋" w:cstheme="minorBidi" w:hint="eastAsia"/>
          <w:kern w:val="2"/>
          <w:sz w:val="32"/>
          <w:szCs w:val="32"/>
        </w:rPr>
        <w:t>满意度95%以上</w:t>
      </w:r>
      <w:r w:rsidR="00627F3F">
        <w:rPr>
          <w:rFonts w:ascii="仿宋" w:eastAsia="仿宋" w:hAnsi="仿宋" w:cstheme="minorBidi" w:hint="eastAsia"/>
          <w:kern w:val="2"/>
          <w:sz w:val="32"/>
          <w:szCs w:val="32"/>
        </w:rPr>
        <w:t>，投诉少于5起</w:t>
      </w:r>
      <w:r w:rsidR="00E87B67" w:rsidRPr="00227350"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二、项目资金使用及管理情况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（一）项目资金及自筹资金的安排落实、总投入等情况。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2022年全年</w:t>
      </w:r>
      <w:r w:rsidR="009345DA">
        <w:rPr>
          <w:rFonts w:ascii="仿宋" w:eastAsia="仿宋" w:hAnsi="仿宋" w:cstheme="minorBidi" w:hint="eastAsia"/>
          <w:kern w:val="2"/>
          <w:sz w:val="32"/>
          <w:szCs w:val="32"/>
        </w:rPr>
        <w:t>保障性住房维护管理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资金安排</w:t>
      </w:r>
      <w:r w:rsidR="00E0523B" w:rsidRPr="00E0523B">
        <w:rPr>
          <w:rFonts w:ascii="仿宋" w:eastAsia="仿宋" w:hAnsi="仿宋" w:cstheme="minorBidi"/>
          <w:kern w:val="2"/>
          <w:sz w:val="32"/>
          <w:szCs w:val="32"/>
        </w:rPr>
        <w:t>154.2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万元，其中</w:t>
      </w:r>
      <w:r w:rsidRPr="00227350">
        <w:rPr>
          <w:rFonts w:ascii="仿宋" w:eastAsia="仿宋" w:hAnsi="仿宋" w:cstheme="minorBidi"/>
          <w:kern w:val="2"/>
          <w:sz w:val="32"/>
          <w:szCs w:val="32"/>
        </w:rPr>
        <w:t>一般公共预算拨款</w:t>
      </w:r>
      <w:r w:rsidR="00E0523B" w:rsidRPr="00E0523B">
        <w:rPr>
          <w:rFonts w:ascii="仿宋" w:eastAsia="仿宋" w:hAnsi="仿宋" w:cstheme="minorBidi"/>
          <w:kern w:val="2"/>
          <w:sz w:val="32"/>
          <w:szCs w:val="32"/>
        </w:rPr>
        <w:t>154.2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万元，总投入</w:t>
      </w:r>
      <w:r w:rsidR="00E0523B" w:rsidRPr="00E0523B">
        <w:rPr>
          <w:rFonts w:ascii="仿宋" w:eastAsia="仿宋" w:hAnsi="仿宋" w:cstheme="minorBidi"/>
          <w:kern w:val="2"/>
          <w:sz w:val="32"/>
          <w:szCs w:val="32"/>
        </w:rPr>
        <w:t>154.2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万元。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（二）项目资金实际使用情况。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2022年全年</w:t>
      </w:r>
      <w:r w:rsidR="009345DA">
        <w:rPr>
          <w:rFonts w:ascii="仿宋" w:eastAsia="仿宋" w:hAnsi="仿宋" w:cstheme="minorBidi" w:hint="eastAsia"/>
          <w:kern w:val="2"/>
          <w:sz w:val="32"/>
          <w:szCs w:val="32"/>
        </w:rPr>
        <w:t>保障性住房维护管理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资金实际使用</w:t>
      </w:r>
      <w:r w:rsidR="00E0523B" w:rsidRPr="00E0523B">
        <w:rPr>
          <w:rFonts w:ascii="仿宋" w:eastAsia="仿宋" w:hAnsi="仿宋" w:cstheme="minorBidi"/>
          <w:kern w:val="2"/>
          <w:sz w:val="32"/>
          <w:szCs w:val="32"/>
        </w:rPr>
        <w:t>154.2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万元，共计</w:t>
      </w:r>
      <w:r w:rsidR="00E0523B">
        <w:rPr>
          <w:rFonts w:ascii="仿宋" w:eastAsia="仿宋" w:hAnsi="仿宋" w:cstheme="minorBidi" w:hint="eastAsia"/>
          <w:kern w:val="2"/>
          <w:sz w:val="32"/>
          <w:szCs w:val="32"/>
        </w:rPr>
        <w:t>维护</w:t>
      </w:r>
      <w:r w:rsidR="00E0523B" w:rsidRPr="00E0523B">
        <w:rPr>
          <w:rFonts w:ascii="仿宋" w:eastAsia="仿宋" w:hAnsi="仿宋" w:cstheme="minorBidi" w:hint="eastAsia"/>
          <w:kern w:val="2"/>
          <w:sz w:val="32"/>
          <w:szCs w:val="32"/>
        </w:rPr>
        <w:t>保障性住房</w:t>
      </w:r>
      <w:r w:rsidR="00E0523B">
        <w:rPr>
          <w:rFonts w:ascii="仿宋" w:eastAsia="仿宋" w:hAnsi="仿宋" w:cstheme="minorBidi" w:hint="eastAsia"/>
          <w:kern w:val="2"/>
          <w:sz w:val="32"/>
          <w:szCs w:val="32"/>
        </w:rPr>
        <w:t>7栋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，</w:t>
      </w:r>
      <w:r w:rsidR="00E0523B">
        <w:rPr>
          <w:rFonts w:ascii="仿宋" w:eastAsia="仿宋" w:hAnsi="仿宋" w:cstheme="minorBidi" w:hint="eastAsia"/>
          <w:kern w:val="2"/>
          <w:sz w:val="32"/>
          <w:szCs w:val="32"/>
        </w:rPr>
        <w:t>服务园区保障性住房住户733人，节约住户住房开支300元以上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（三）项目资金管理情况分析，主要包括管理制度、办法的制订及执行情况。</w:t>
      </w:r>
    </w:p>
    <w:p w:rsidR="00E87B67" w:rsidRPr="00227350" w:rsidRDefault="009345DA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kern w:val="2"/>
          <w:sz w:val="32"/>
          <w:szCs w:val="32"/>
        </w:rPr>
        <w:t>保障性住房维护管理</w:t>
      </w:r>
      <w:r w:rsidR="00E0523B">
        <w:rPr>
          <w:rFonts w:ascii="仿宋" w:eastAsia="仿宋" w:hAnsi="仿宋" w:cstheme="minorBidi" w:hint="eastAsia"/>
          <w:kern w:val="2"/>
          <w:sz w:val="32"/>
          <w:szCs w:val="32"/>
        </w:rPr>
        <w:t>项目资金</w:t>
      </w:r>
      <w:r w:rsidR="00E87B67" w:rsidRPr="00227350">
        <w:rPr>
          <w:rFonts w:ascii="仿宋" w:eastAsia="仿宋" w:hAnsi="仿宋" w:cstheme="minorBidi" w:hint="eastAsia"/>
          <w:kern w:val="2"/>
          <w:sz w:val="32"/>
          <w:szCs w:val="32"/>
        </w:rPr>
        <w:t>管理方面严格按照</w:t>
      </w:r>
      <w:r w:rsidR="00E0523B">
        <w:rPr>
          <w:rFonts w:ascii="仿宋" w:eastAsia="仿宋" w:hAnsi="仿宋" w:cstheme="minorBidi" w:hint="eastAsia"/>
          <w:kern w:val="2"/>
          <w:sz w:val="32"/>
          <w:szCs w:val="32"/>
        </w:rPr>
        <w:t>园区制定的项目资金管理</w:t>
      </w:r>
      <w:r w:rsidR="00E87B67" w:rsidRPr="00227350">
        <w:rPr>
          <w:rFonts w:ascii="仿宋" w:eastAsia="仿宋" w:hAnsi="仿宋" w:cstheme="minorBidi" w:hint="eastAsia"/>
          <w:kern w:val="2"/>
          <w:sz w:val="32"/>
          <w:szCs w:val="32"/>
        </w:rPr>
        <w:t>规定进行管理、使用，切实发挥资金</w:t>
      </w:r>
      <w:r w:rsidR="00E0523B">
        <w:rPr>
          <w:rFonts w:ascii="仿宋" w:eastAsia="仿宋" w:hAnsi="仿宋" w:cstheme="minorBidi" w:hint="eastAsia"/>
          <w:kern w:val="2"/>
          <w:sz w:val="32"/>
          <w:szCs w:val="32"/>
        </w:rPr>
        <w:t>最大效益，确保保障性住房各种硬件基础设施问题得到及时消除，做好水电费及时收取、缴纳，不让住户受到非正常停水、停电对生产生活</w:t>
      </w:r>
      <w:r w:rsidR="00684286">
        <w:rPr>
          <w:rFonts w:ascii="仿宋" w:eastAsia="仿宋" w:hAnsi="仿宋" w:cstheme="minorBidi" w:hint="eastAsia"/>
          <w:kern w:val="2"/>
          <w:sz w:val="32"/>
          <w:szCs w:val="32"/>
        </w:rPr>
        <w:t>的</w:t>
      </w:r>
      <w:r w:rsidR="00E0523B">
        <w:rPr>
          <w:rFonts w:ascii="仿宋" w:eastAsia="仿宋" w:hAnsi="仿宋" w:cstheme="minorBidi" w:hint="eastAsia"/>
          <w:kern w:val="2"/>
          <w:sz w:val="32"/>
          <w:szCs w:val="32"/>
        </w:rPr>
        <w:t>干扰。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三、项目支出组织实施情况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lastRenderedPageBreak/>
        <w:t>（一）资金使用管理情况，主要包括项目资金及项目管理制度建设、日常检查监督管理等情况。</w:t>
      </w:r>
    </w:p>
    <w:p w:rsidR="00E87B67" w:rsidRPr="00227350" w:rsidRDefault="009345DA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kern w:val="2"/>
          <w:sz w:val="32"/>
          <w:szCs w:val="32"/>
        </w:rPr>
        <w:t>保障性住房维护管理</w:t>
      </w:r>
      <w:r w:rsidR="00E87B67" w:rsidRPr="00227350">
        <w:rPr>
          <w:rFonts w:ascii="仿宋" w:eastAsia="仿宋" w:hAnsi="仿宋" w:cstheme="minorBidi" w:hint="eastAsia"/>
          <w:kern w:val="2"/>
          <w:sz w:val="32"/>
          <w:szCs w:val="32"/>
        </w:rPr>
        <w:t>资金使用管理，严格按照三重一大制度进行管理使用，建立完善的内部控制和外部监督制度对资金的使用监督管理、风险预警及处置工作，做到资金安全管控。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（二）项目组织实施情况，主要包括项目招投标、调整、竣工验收等情况。</w:t>
      </w:r>
    </w:p>
    <w:p w:rsidR="00E87B67" w:rsidRPr="00227350" w:rsidRDefault="009345DA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kern w:val="2"/>
          <w:sz w:val="32"/>
          <w:szCs w:val="32"/>
        </w:rPr>
        <w:t>保障性住房维护管理</w:t>
      </w:r>
      <w:r w:rsidR="00E87B67" w:rsidRPr="00227350">
        <w:rPr>
          <w:rFonts w:ascii="仿宋" w:eastAsia="仿宋" w:hAnsi="仿宋" w:cstheme="minorBidi" w:hint="eastAsia"/>
          <w:kern w:val="2"/>
          <w:sz w:val="32"/>
          <w:szCs w:val="32"/>
        </w:rPr>
        <w:t>项目由园区</w:t>
      </w:r>
      <w:r w:rsidR="00684286">
        <w:rPr>
          <w:rFonts w:ascii="仿宋" w:eastAsia="仿宋" w:hAnsi="仿宋" w:cstheme="minorBidi" w:hint="eastAsia"/>
          <w:kern w:val="2"/>
          <w:sz w:val="32"/>
          <w:szCs w:val="32"/>
        </w:rPr>
        <w:t>综合服务中心</w:t>
      </w:r>
      <w:r w:rsidR="00E87B67" w:rsidRPr="00227350">
        <w:rPr>
          <w:rFonts w:ascii="仿宋" w:eastAsia="仿宋" w:hAnsi="仿宋" w:cstheme="minorBidi" w:hint="eastAsia"/>
          <w:kern w:val="2"/>
          <w:sz w:val="32"/>
          <w:szCs w:val="32"/>
        </w:rPr>
        <w:t>负责组织实施，通过</w:t>
      </w:r>
      <w:r w:rsidR="00684286">
        <w:rPr>
          <w:rFonts w:ascii="仿宋" w:eastAsia="仿宋" w:hAnsi="仿宋" w:cstheme="minorBidi" w:hint="eastAsia"/>
          <w:kern w:val="2"/>
          <w:sz w:val="32"/>
          <w:szCs w:val="32"/>
        </w:rPr>
        <w:t>日常巡查管理，听取住户的反馈意见，对保障性住房硬件设施故障进行查看，并分析故障处理难易程度，对小问题进行及时消除，对大故障及时上报园区党工委，并经会议讨论</w:t>
      </w:r>
      <w:r w:rsidR="00E87B67" w:rsidRPr="00227350">
        <w:rPr>
          <w:rFonts w:ascii="仿宋" w:eastAsia="仿宋" w:hAnsi="仿宋" w:cstheme="minorBidi" w:hint="eastAsia"/>
          <w:kern w:val="2"/>
          <w:sz w:val="32"/>
          <w:szCs w:val="32"/>
        </w:rPr>
        <w:t>研究</w:t>
      </w:r>
      <w:r w:rsidR="00684286">
        <w:rPr>
          <w:rFonts w:ascii="仿宋" w:eastAsia="仿宋" w:hAnsi="仿宋" w:cstheme="minorBidi" w:hint="eastAsia"/>
          <w:kern w:val="2"/>
          <w:sz w:val="32"/>
          <w:szCs w:val="32"/>
        </w:rPr>
        <w:t>拿出切实可行解决方案，按照方案严格、及时进行故障处理工作。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四、项目支出绩效情况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（一）项目支出决策情况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2022年</w:t>
      </w:r>
      <w:r w:rsidR="009345DA">
        <w:rPr>
          <w:rFonts w:ascii="仿宋" w:eastAsia="仿宋" w:hAnsi="仿宋" w:cstheme="minorBidi" w:hint="eastAsia"/>
          <w:kern w:val="2"/>
          <w:sz w:val="32"/>
          <w:szCs w:val="32"/>
        </w:rPr>
        <w:t>保障性住房维护管理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资金支出决策由园区党工委会议通过，</w:t>
      </w:r>
      <w:r w:rsidR="00541466">
        <w:rPr>
          <w:rFonts w:ascii="仿宋" w:eastAsia="仿宋" w:hAnsi="仿宋" w:cstheme="minorBidi" w:hint="eastAsia"/>
          <w:kern w:val="2"/>
          <w:sz w:val="32"/>
          <w:szCs w:val="32"/>
        </w:rPr>
        <w:t>金额较大的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再报请县委、县政府提出意见，再参照提出意见进行修改，最终进行支出管理。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（二）项目支出过程情况</w:t>
      </w:r>
    </w:p>
    <w:p w:rsidR="00E87B67" w:rsidRPr="00227350" w:rsidRDefault="009345DA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kern w:val="2"/>
          <w:sz w:val="32"/>
          <w:szCs w:val="32"/>
        </w:rPr>
        <w:t>保障性住房维护管理</w:t>
      </w:r>
      <w:r w:rsidR="00E87B67" w:rsidRPr="00227350">
        <w:rPr>
          <w:rFonts w:ascii="仿宋" w:eastAsia="仿宋" w:hAnsi="仿宋" w:cstheme="minorBidi" w:hint="eastAsia"/>
          <w:kern w:val="2"/>
          <w:sz w:val="32"/>
          <w:szCs w:val="32"/>
        </w:rPr>
        <w:t>资金支出过程通过加强财政资金事中监管，将监管职责前移，能够及时发现并解决问题，为财政资金安全、规范、高效运行打下坚实的保障。2022年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保障性住房维护管理</w:t>
      </w:r>
      <w:r w:rsidR="00E87B67" w:rsidRPr="00227350">
        <w:rPr>
          <w:rFonts w:ascii="仿宋" w:eastAsia="仿宋" w:hAnsi="仿宋" w:cstheme="minorBidi" w:hint="eastAsia"/>
          <w:kern w:val="2"/>
          <w:sz w:val="32"/>
          <w:szCs w:val="32"/>
        </w:rPr>
        <w:t>项目支出过程，严格参照项目预定目标进行监控，对未达使用目标的</w:t>
      </w:r>
      <w:r w:rsidR="00541466">
        <w:rPr>
          <w:rFonts w:ascii="仿宋" w:eastAsia="仿宋" w:hAnsi="仿宋" w:cstheme="minorBidi" w:hint="eastAsia"/>
          <w:kern w:val="2"/>
          <w:sz w:val="32"/>
          <w:szCs w:val="32"/>
        </w:rPr>
        <w:t>支出</w:t>
      </w:r>
      <w:r w:rsidR="00E87B67" w:rsidRPr="00227350">
        <w:rPr>
          <w:rFonts w:ascii="仿宋" w:eastAsia="仿宋" w:hAnsi="仿宋" w:cstheme="minorBidi" w:hint="eastAsia"/>
          <w:kern w:val="2"/>
          <w:sz w:val="32"/>
          <w:szCs w:val="32"/>
        </w:rPr>
        <w:t>，查找问题、困难点，</w:t>
      </w:r>
      <w:r w:rsidR="00541466">
        <w:rPr>
          <w:rFonts w:ascii="仿宋" w:eastAsia="仿宋" w:hAnsi="仿宋" w:cstheme="minorBidi" w:hint="eastAsia"/>
          <w:kern w:val="2"/>
          <w:sz w:val="32"/>
          <w:szCs w:val="32"/>
        </w:rPr>
        <w:t>分析原因，并作出整改</w:t>
      </w:r>
      <w:r w:rsidR="00E87B67" w:rsidRPr="00227350"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（三）项目支出产出情况</w:t>
      </w:r>
    </w:p>
    <w:p w:rsidR="00541466" w:rsidRPr="00227350" w:rsidRDefault="00E87B67" w:rsidP="00541466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lastRenderedPageBreak/>
        <w:t>2022年</w:t>
      </w:r>
      <w:r w:rsidR="009345DA">
        <w:rPr>
          <w:rFonts w:ascii="仿宋" w:eastAsia="仿宋" w:hAnsi="仿宋" w:cstheme="minorBidi" w:hint="eastAsia"/>
          <w:kern w:val="2"/>
          <w:sz w:val="32"/>
          <w:szCs w:val="32"/>
        </w:rPr>
        <w:t>保障性住房维护管理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项目，</w:t>
      </w:r>
      <w:r w:rsidR="00541466">
        <w:rPr>
          <w:rFonts w:ascii="仿宋" w:eastAsia="仿宋" w:hAnsi="仿宋" w:cstheme="minorBidi" w:hint="eastAsia"/>
          <w:kern w:val="2"/>
          <w:sz w:val="32"/>
          <w:szCs w:val="32"/>
        </w:rPr>
        <w:t>服务了园区保障性住房住户733人，维护保障性住房数量7栋</w:t>
      </w:r>
      <w:r w:rsidR="00541466" w:rsidRPr="00227350"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（四）项目支出效益情况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2022年</w:t>
      </w:r>
      <w:r w:rsidR="009345DA">
        <w:rPr>
          <w:rFonts w:ascii="仿宋" w:eastAsia="仿宋" w:hAnsi="仿宋" w:cstheme="minorBidi" w:hint="eastAsia"/>
          <w:kern w:val="2"/>
          <w:sz w:val="32"/>
          <w:szCs w:val="32"/>
        </w:rPr>
        <w:t>保障性住房维护管理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项目的实施，</w:t>
      </w:r>
      <w:r w:rsidR="00E82E61">
        <w:rPr>
          <w:rFonts w:ascii="仿宋" w:eastAsia="仿宋" w:hAnsi="仿宋" w:cstheme="minorBidi" w:hint="eastAsia"/>
          <w:kern w:val="2"/>
          <w:sz w:val="32"/>
          <w:szCs w:val="32"/>
        </w:rPr>
        <w:t>节约住户住房支出300元每人，维修维护工作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带动</w:t>
      </w:r>
      <w:r w:rsidR="00E82E61">
        <w:rPr>
          <w:rFonts w:ascii="仿宋" w:eastAsia="仿宋" w:hAnsi="仿宋" w:cstheme="minorBidi" w:hint="eastAsia"/>
          <w:kern w:val="2"/>
          <w:sz w:val="32"/>
          <w:szCs w:val="32"/>
        </w:rPr>
        <w:t>地方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经济发展</w:t>
      </w:r>
      <w:r w:rsidR="00E82E61">
        <w:rPr>
          <w:rFonts w:ascii="仿宋" w:eastAsia="仿宋" w:hAnsi="仿宋" w:cstheme="minorBidi" w:hint="eastAsia"/>
          <w:kern w:val="2"/>
          <w:sz w:val="32"/>
          <w:szCs w:val="32"/>
        </w:rPr>
        <w:t>100万元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，</w:t>
      </w:r>
      <w:r w:rsidR="00E82E61">
        <w:rPr>
          <w:rFonts w:ascii="仿宋" w:eastAsia="仿宋" w:hAnsi="仿宋" w:cstheme="minorBidi" w:hint="eastAsia"/>
          <w:kern w:val="2"/>
          <w:sz w:val="32"/>
          <w:szCs w:val="32"/>
        </w:rPr>
        <w:t>住户房租收取率100%，</w:t>
      </w:r>
      <w:r w:rsidR="00E82E61" w:rsidRPr="00E82E61">
        <w:rPr>
          <w:rFonts w:ascii="仿宋" w:eastAsia="仿宋" w:hAnsi="仿宋" w:cstheme="minorBidi" w:hint="eastAsia"/>
          <w:kern w:val="2"/>
          <w:sz w:val="32"/>
          <w:szCs w:val="32"/>
        </w:rPr>
        <w:t>保障性住房租户满意度</w:t>
      </w:r>
      <w:r w:rsidR="00E82E61">
        <w:rPr>
          <w:rFonts w:ascii="仿宋" w:eastAsia="仿宋" w:hAnsi="仿宋" w:cstheme="minorBidi" w:hint="eastAsia"/>
          <w:kern w:val="2"/>
          <w:sz w:val="32"/>
          <w:szCs w:val="32"/>
        </w:rPr>
        <w:t>96%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五、主要经验做法、存在的问题及原因分析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2022年园区通过实施</w:t>
      </w:r>
      <w:r w:rsidR="0077788D">
        <w:rPr>
          <w:rFonts w:ascii="仿宋" w:eastAsia="仿宋" w:hAnsi="仿宋" w:cstheme="minorBidi" w:hint="eastAsia"/>
          <w:kern w:val="2"/>
          <w:sz w:val="32"/>
          <w:szCs w:val="32"/>
        </w:rPr>
        <w:t>保障性住房维护管理项目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，取得了较理想的成效，最主要是园区</w:t>
      </w:r>
      <w:r w:rsidR="00225460">
        <w:rPr>
          <w:rFonts w:ascii="仿宋" w:eastAsia="仿宋" w:hAnsi="仿宋" w:cstheme="minorBidi" w:hint="eastAsia"/>
          <w:kern w:val="2"/>
          <w:sz w:val="32"/>
          <w:szCs w:val="32"/>
        </w:rPr>
        <w:t>严格实行项目</w:t>
      </w:r>
      <w:r w:rsidR="0077788D">
        <w:rPr>
          <w:rFonts w:ascii="仿宋" w:eastAsia="仿宋" w:hAnsi="仿宋" w:cstheme="minorBidi" w:hint="eastAsia"/>
          <w:kern w:val="2"/>
          <w:sz w:val="32"/>
          <w:szCs w:val="32"/>
        </w:rPr>
        <w:t>过程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管理，</w:t>
      </w:r>
      <w:r w:rsidR="00225460">
        <w:rPr>
          <w:rFonts w:ascii="仿宋" w:eastAsia="仿宋" w:hAnsi="仿宋" w:cstheme="minorBidi" w:hint="eastAsia"/>
          <w:kern w:val="2"/>
          <w:sz w:val="32"/>
          <w:szCs w:val="32"/>
        </w:rPr>
        <w:t>对使用不规范的资金进行督导、整改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。存在的问题是项目资金拨付时间较长，通过问题查找，发现</w:t>
      </w:r>
      <w:r w:rsidR="003F665F">
        <w:rPr>
          <w:rFonts w:ascii="仿宋" w:eastAsia="仿宋" w:hAnsi="仿宋" w:cstheme="minorBidi" w:hint="eastAsia"/>
          <w:kern w:val="2"/>
          <w:sz w:val="32"/>
          <w:szCs w:val="32"/>
        </w:rPr>
        <w:t>与</w:t>
      </w:r>
      <w:r w:rsidR="00225460">
        <w:rPr>
          <w:rFonts w:ascii="仿宋" w:eastAsia="仿宋" w:hAnsi="仿宋" w:cstheme="minorBidi" w:hint="eastAsia"/>
          <w:kern w:val="2"/>
          <w:sz w:val="32"/>
          <w:szCs w:val="32"/>
        </w:rPr>
        <w:t>财政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资金</w:t>
      </w:r>
      <w:r w:rsidR="003F665F">
        <w:rPr>
          <w:rFonts w:ascii="仿宋" w:eastAsia="仿宋" w:hAnsi="仿宋" w:cstheme="minorBidi" w:hint="eastAsia"/>
          <w:kern w:val="2"/>
          <w:sz w:val="32"/>
          <w:szCs w:val="32"/>
        </w:rPr>
        <w:t>调度有关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，已经向</w:t>
      </w:r>
      <w:r w:rsidR="003F665F">
        <w:rPr>
          <w:rFonts w:ascii="仿宋" w:eastAsia="仿宋" w:hAnsi="仿宋" w:cstheme="minorBidi" w:hint="eastAsia"/>
          <w:kern w:val="2"/>
          <w:sz w:val="32"/>
          <w:szCs w:val="32"/>
        </w:rPr>
        <w:t>财政局进行了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沟通，</w:t>
      </w:r>
      <w:r w:rsidR="003F665F">
        <w:rPr>
          <w:rFonts w:ascii="仿宋" w:eastAsia="仿宋" w:hAnsi="仿宋" w:cstheme="minorBidi" w:hint="eastAsia"/>
          <w:kern w:val="2"/>
          <w:sz w:val="32"/>
          <w:szCs w:val="32"/>
        </w:rPr>
        <w:t>全力保障园区保障性住房维护管理项目的资金支付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六、有关建议</w:t>
      </w:r>
    </w:p>
    <w:p w:rsidR="00E87B67" w:rsidRPr="00227350" w:rsidRDefault="003F665F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kern w:val="2"/>
          <w:sz w:val="32"/>
          <w:szCs w:val="32"/>
        </w:rPr>
        <w:t>无</w:t>
      </w:r>
      <w:r w:rsidR="00E87B67" w:rsidRPr="00227350"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七、其他需要说明的问题</w:t>
      </w:r>
    </w:p>
    <w:p w:rsidR="00E87B67" w:rsidRPr="00227350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无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E87B67" w:rsidRPr="00307573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</w:p>
    <w:p w:rsidR="00E87B67" w:rsidRPr="00307573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</w:p>
    <w:p w:rsidR="00E87B67" w:rsidRPr="00307573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</w:p>
    <w:p w:rsidR="00E87B67" w:rsidRPr="00307573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</w:p>
    <w:p w:rsidR="00E87B67" w:rsidRPr="00307573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</w:p>
    <w:p w:rsidR="00E87B67" w:rsidRPr="00307573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</w:p>
    <w:p w:rsidR="00E87B67" w:rsidRPr="00307573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</w:p>
    <w:p w:rsidR="00E87B67" w:rsidRDefault="00E87B67" w:rsidP="00E87B67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</w:p>
    <w:p w:rsidR="00E87B67" w:rsidRDefault="00E87B67" w:rsidP="00E87B67">
      <w:pPr>
        <w:pStyle w:val="a7"/>
        <w:spacing w:beforeAutospacing="0" w:afterAutospacing="0" w:line="440" w:lineRule="exact"/>
        <w:rPr>
          <w:rFonts w:ascii="Times New Roman" w:eastAsia="仿宋_GB2312" w:hAnsi="Times New Roman"/>
          <w:sz w:val="32"/>
          <w:szCs w:val="32"/>
        </w:rPr>
      </w:pPr>
    </w:p>
    <w:p w:rsidR="00293AC3" w:rsidRDefault="00A47227">
      <w:pPr>
        <w:pStyle w:val="a7"/>
        <w:spacing w:beforeAutospacing="0" w:afterAutospacing="0" w:line="440" w:lineRule="exact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/>
          <w:sz w:val="32"/>
          <w:szCs w:val="32"/>
        </w:rPr>
        <w:t>2-1</w:t>
      </w:r>
    </w:p>
    <w:p w:rsidR="00293AC3" w:rsidRDefault="00A47227">
      <w:pPr>
        <w:pStyle w:val="a7"/>
        <w:widowControl/>
        <w:spacing w:beforeAutospacing="0" w:afterAutospacing="0" w:line="384" w:lineRule="atLeas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>项目支出绩效自评表</w:t>
      </w:r>
    </w:p>
    <w:tbl>
      <w:tblPr>
        <w:tblpPr w:leftFromText="180" w:rightFromText="180" w:vertAnchor="text" w:horzAnchor="page" w:tblpXSpec="center" w:tblpY="477"/>
        <w:tblOverlap w:val="never"/>
        <w:tblW w:w="9786" w:type="dxa"/>
        <w:jc w:val="center"/>
        <w:tblBorders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"/>
        <w:gridCol w:w="992"/>
        <w:gridCol w:w="381"/>
        <w:gridCol w:w="1644"/>
        <w:gridCol w:w="1217"/>
        <w:gridCol w:w="1476"/>
        <w:gridCol w:w="908"/>
        <w:gridCol w:w="510"/>
        <w:gridCol w:w="324"/>
        <w:gridCol w:w="668"/>
        <w:gridCol w:w="1134"/>
      </w:tblGrid>
      <w:tr w:rsidR="00293AC3" w:rsidTr="00E3459C">
        <w:trPr>
          <w:trHeight w:val="459"/>
          <w:jc w:val="center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项目支出名称</w:t>
            </w:r>
          </w:p>
        </w:tc>
        <w:tc>
          <w:tcPr>
            <w:tcW w:w="8262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4D423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保障性住房维护管理经费</w:t>
            </w:r>
          </w:p>
        </w:tc>
      </w:tr>
      <w:tr w:rsidR="00293AC3" w:rsidTr="00E3459C">
        <w:trPr>
          <w:trHeight w:val="515"/>
          <w:jc w:val="center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主管部门</w:t>
            </w:r>
          </w:p>
        </w:tc>
        <w:tc>
          <w:tcPr>
            <w:tcW w:w="324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91173E" w:rsidP="0091173E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临武产业开发区管理委员会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实施单位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91173E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临武产业开发区管理委员会</w:t>
            </w:r>
          </w:p>
        </w:tc>
      </w:tr>
      <w:tr w:rsidR="00293AC3" w:rsidTr="00E3459C">
        <w:trPr>
          <w:trHeight w:val="538"/>
          <w:jc w:val="center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项目资金</w:t>
            </w:r>
          </w:p>
          <w:p w:rsidR="00293AC3" w:rsidRDefault="00A47227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（万元）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4D423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/>
                <w:sz w:val="22"/>
                <w:szCs w:val="22"/>
              </w:rPr>
              <w:t>154.2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全年预算数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全年执行数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预算执行率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分值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得分</w:t>
            </w:r>
          </w:p>
        </w:tc>
      </w:tr>
      <w:tr w:rsidR="00293AC3" w:rsidTr="00E3459C">
        <w:trPr>
          <w:trHeight w:val="515"/>
          <w:jc w:val="center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年度资金总额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4D423B" w:rsidP="0091173E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/>
                <w:sz w:val="22"/>
                <w:szCs w:val="22"/>
              </w:rPr>
              <w:t>154.2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4D423B" w:rsidP="0091173E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/>
                <w:sz w:val="22"/>
                <w:szCs w:val="22"/>
              </w:rPr>
              <w:t>154.2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4D423B" w:rsidP="0091173E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/>
                <w:sz w:val="22"/>
                <w:szCs w:val="22"/>
              </w:rPr>
              <w:t>154.2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4D423B" w:rsidP="0091173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100</w:t>
            </w:r>
            <w:r w:rsidR="0091173E" w:rsidRPr="0091173E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%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91173E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4D423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</w:tr>
      <w:tr w:rsidR="00293AC3" w:rsidTr="00E3459C">
        <w:trPr>
          <w:trHeight w:val="572"/>
          <w:jc w:val="center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其中：一般公共预算拨款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4D423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/>
                <w:sz w:val="22"/>
                <w:szCs w:val="22"/>
              </w:rPr>
              <w:t>154.2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4D423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100</w:t>
            </w:r>
            <w:r w:rsidR="005C4F35" w:rsidRPr="0091173E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%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DE47B5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4D423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</w:tr>
      <w:tr w:rsidR="00293AC3" w:rsidTr="00E3459C">
        <w:trPr>
          <w:trHeight w:val="474"/>
          <w:jc w:val="center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其他资金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293AC3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293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293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293AC3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293AC3" w:rsidTr="00E3459C">
        <w:trPr>
          <w:trHeight w:val="460"/>
          <w:jc w:val="center"/>
        </w:trPr>
        <w:tc>
          <w:tcPr>
            <w:tcW w:w="15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总体目标完成</w:t>
            </w:r>
          </w:p>
          <w:p w:rsidR="00293AC3" w:rsidRDefault="00A47227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情况</w:t>
            </w: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总体目标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全年实际完成情况</w:t>
            </w:r>
          </w:p>
        </w:tc>
      </w:tr>
      <w:tr w:rsidR="00293AC3" w:rsidTr="00E3459C">
        <w:trPr>
          <w:trHeight w:val="885"/>
          <w:jc w:val="center"/>
        </w:trPr>
        <w:tc>
          <w:tcPr>
            <w:tcW w:w="152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293AC3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4D423B" w:rsidP="004D423B">
            <w:pPr>
              <w:pStyle w:val="a7"/>
              <w:spacing w:beforeAutospacing="0" w:afterAutospacing="0" w:line="384" w:lineRule="atLeast"/>
              <w:ind w:rightChars="117" w:right="246" w:firstLineChars="82" w:firstLine="18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保障性住房能够正常使用和租赁，基础设施得到完善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4D423B" w:rsidP="004D423B">
            <w:pPr>
              <w:ind w:leftChars="67" w:left="141" w:rightChars="125" w:right="263" w:firstLineChars="16" w:firstLine="35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完成园区管辖范围内的公租房、廉租房的检查和初步维修工作</w:t>
            </w:r>
          </w:p>
        </w:tc>
      </w:tr>
      <w:tr w:rsidR="00293AC3" w:rsidTr="00E3459C">
        <w:trPr>
          <w:trHeight w:val="411"/>
          <w:jc w:val="center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绩</w:t>
            </w:r>
          </w:p>
          <w:p w:rsidR="00293AC3" w:rsidRDefault="00293AC3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效</w:t>
            </w:r>
          </w:p>
          <w:p w:rsidR="00293AC3" w:rsidRDefault="00293AC3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指</w:t>
            </w:r>
          </w:p>
          <w:p w:rsidR="00293AC3" w:rsidRDefault="00293AC3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标</w:t>
            </w:r>
          </w:p>
          <w:p w:rsidR="00293AC3" w:rsidRDefault="00293AC3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一级指标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二级指标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三级指标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年度指标值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实际完成值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C3" w:rsidRDefault="00A47227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得分</w:t>
            </w:r>
          </w:p>
        </w:tc>
      </w:tr>
      <w:tr w:rsidR="009F4741" w:rsidTr="00E3459C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产出</w:t>
            </w:r>
          </w:p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指标</w:t>
            </w:r>
          </w:p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（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50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分）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数量指标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维护保障性住房数量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7</w:t>
            </w: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7</w:t>
            </w: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8</w:t>
            </w:r>
          </w:p>
        </w:tc>
      </w:tr>
      <w:tr w:rsidR="009F4741" w:rsidTr="00C27E7A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Pr="0076455A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服务保障性住房租户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Pr="0076455A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600</w:t>
            </w: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733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8</w:t>
            </w:r>
          </w:p>
        </w:tc>
      </w:tr>
      <w:tr w:rsidR="009F4741" w:rsidTr="00E3459C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质量指标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保障性住房维护率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Pr="00E3459C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76455A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76455A">
              <w:rPr>
                <w:rFonts w:ascii="Times New Roman" w:eastAsia="宋体" w:hAnsi="Times New Roman" w:hint="eastAsia"/>
                <w:sz w:val="22"/>
                <w:szCs w:val="22"/>
              </w:rPr>
              <w:t>95%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Pr="00E3459C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100%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8</w:t>
            </w:r>
          </w:p>
        </w:tc>
      </w:tr>
      <w:tr w:rsidR="009F4741" w:rsidTr="008569DF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Pr="0076455A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保障性住房租金收取率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Pr="00E3459C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100%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Pr="00E3459C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100%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8</w:t>
            </w:r>
          </w:p>
        </w:tc>
      </w:tr>
      <w:tr w:rsidR="009F4741" w:rsidTr="004D423B">
        <w:trPr>
          <w:trHeight w:val="935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时效指标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2022</w:t>
            </w: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年</w:t>
            </w: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10</w:t>
            </w: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月前大维修完成进度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95%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100%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9</w:t>
            </w:r>
          </w:p>
        </w:tc>
      </w:tr>
      <w:tr w:rsidR="009F4741" w:rsidTr="00E3459C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成本指标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66167C">
              <w:rPr>
                <w:rFonts w:ascii="Times New Roman" w:eastAsia="宋体" w:hAnsi="Times New Roman" w:hint="eastAsia"/>
                <w:sz w:val="22"/>
                <w:szCs w:val="22"/>
              </w:rPr>
              <w:t>成本控制额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Pr="00E3459C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≤</w:t>
            </w:r>
            <w:r w:rsidRPr="004D423B">
              <w:rPr>
                <w:rFonts w:ascii="Times New Roman" w:eastAsia="宋体" w:hAnsi="Times New Roman"/>
                <w:sz w:val="22"/>
                <w:szCs w:val="22"/>
              </w:rPr>
              <w:t>154.2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万元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Pr="00E3459C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/>
                <w:sz w:val="22"/>
                <w:szCs w:val="22"/>
              </w:rPr>
              <w:t>154.2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万元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9</w:t>
            </w:r>
          </w:p>
        </w:tc>
      </w:tr>
      <w:tr w:rsidR="009F4741" w:rsidTr="008B7CE3">
        <w:trPr>
          <w:trHeight w:val="1152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效益指标</w:t>
            </w:r>
          </w:p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经济效益指标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维修维护工作带动当地经济增量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100</w:t>
            </w: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万元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100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万元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351387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351387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</w:t>
            </w:r>
          </w:p>
        </w:tc>
      </w:tr>
      <w:tr w:rsidR="009F4741" w:rsidTr="00E3459C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社会效益指标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服务保障性住房租户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≥</w:t>
            </w:r>
            <w:r w:rsidRPr="004D423B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600</w:t>
            </w:r>
            <w:r w:rsidRPr="004D423B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733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351387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351387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</w:t>
            </w:r>
          </w:p>
        </w:tc>
      </w:tr>
      <w:tr w:rsidR="009F4741" w:rsidTr="00FA48C6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Pr="00E3459C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节约住户住</w:t>
            </w: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lastRenderedPageBreak/>
              <w:t>房开支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Pr="00E3459C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cs="Times New Roman" w:hint="eastAsia"/>
                <w:sz w:val="22"/>
                <w:szCs w:val="22"/>
              </w:rPr>
              <w:lastRenderedPageBreak/>
              <w:t>≥</w:t>
            </w:r>
            <w:r w:rsidRPr="004D423B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300</w:t>
            </w:r>
            <w:r w:rsidRPr="004D423B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元</w:t>
            </w:r>
            <w:r w:rsidRPr="004D423B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/</w:t>
            </w:r>
            <w:r w:rsidRPr="004D423B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300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351387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351387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</w:t>
            </w:r>
          </w:p>
        </w:tc>
      </w:tr>
      <w:tr w:rsidR="009F4741" w:rsidTr="004D423B">
        <w:trPr>
          <w:trHeight w:val="564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生态效益指标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9F4741" w:rsidTr="00E3459C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可持续影响指标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保障性住房剩余使用年限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50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50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351387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351387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</w:t>
            </w:r>
          </w:p>
        </w:tc>
      </w:tr>
      <w:tr w:rsidR="009F4741" w:rsidTr="00DA59C2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保障性住房对园区形象提升影响时间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50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50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351387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351387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</w:t>
            </w:r>
          </w:p>
        </w:tc>
      </w:tr>
      <w:tr w:rsidR="009F4741" w:rsidTr="00E3459C">
        <w:trPr>
          <w:trHeight w:val="550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满意度指标</w:t>
            </w:r>
          </w:p>
          <w:p w:rsidR="009F4741" w:rsidRDefault="009F4741" w:rsidP="009F4741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（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10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分）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服务对象满意度</w:t>
            </w:r>
          </w:p>
          <w:p w:rsidR="009F4741" w:rsidRDefault="009F4741" w:rsidP="009F4741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保障性住房租户满意度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95%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96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5</w:t>
            </w:r>
          </w:p>
        </w:tc>
      </w:tr>
      <w:tr w:rsidR="009F4741" w:rsidTr="00F12871">
        <w:trPr>
          <w:trHeight w:val="550"/>
          <w:jc w:val="center"/>
        </w:trPr>
        <w:tc>
          <w:tcPr>
            <w:tcW w:w="53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4D423B">
              <w:rPr>
                <w:rFonts w:ascii="Times New Roman" w:eastAsia="宋体" w:hAnsi="Times New Roman" w:hint="eastAsia"/>
                <w:sz w:val="22"/>
                <w:szCs w:val="22"/>
              </w:rPr>
              <w:t>保障性住房租户投诉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≤</w:t>
            </w: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5</w:t>
            </w: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起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5</w:t>
            </w:r>
          </w:p>
        </w:tc>
      </w:tr>
      <w:tr w:rsidR="009F4741" w:rsidTr="00E3459C">
        <w:trPr>
          <w:trHeight w:val="280"/>
          <w:jc w:val="center"/>
        </w:trPr>
        <w:tc>
          <w:tcPr>
            <w:tcW w:w="3549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综合评定等级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总</w:t>
            </w:r>
            <w:r>
              <w:rPr>
                <w:rFonts w:ascii="Times New Roman" w:eastAsia="宋体" w:hAnsi="Times New Roman"/>
                <w:sz w:val="22"/>
                <w:szCs w:val="22"/>
              </w:rPr>
              <w:t xml:space="preserve">  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100</w:t>
            </w:r>
          </w:p>
        </w:tc>
      </w:tr>
      <w:tr w:rsidR="009F4741" w:rsidTr="00E3459C">
        <w:trPr>
          <w:trHeight w:val="419"/>
          <w:jc w:val="center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说明及建议</w:t>
            </w:r>
          </w:p>
        </w:tc>
        <w:tc>
          <w:tcPr>
            <w:tcW w:w="423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下年度专项资金保留或取消建议意见</w:t>
            </w:r>
          </w:p>
        </w:tc>
        <w:tc>
          <w:tcPr>
            <w:tcW w:w="5020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保留</w:t>
            </w:r>
          </w:p>
        </w:tc>
      </w:tr>
      <w:tr w:rsidR="009F4741" w:rsidTr="00E3459C">
        <w:trPr>
          <w:trHeight w:val="431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偏差原因及分析</w:t>
            </w:r>
          </w:p>
        </w:tc>
        <w:tc>
          <w:tcPr>
            <w:tcW w:w="5020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改进措施</w:t>
            </w:r>
          </w:p>
        </w:tc>
      </w:tr>
      <w:tr w:rsidR="009F4741" w:rsidTr="00E3459C">
        <w:trPr>
          <w:trHeight w:val="443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无</w:t>
            </w:r>
          </w:p>
        </w:tc>
        <w:tc>
          <w:tcPr>
            <w:tcW w:w="5020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4741" w:rsidRDefault="009F4741" w:rsidP="009F4741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无</w:t>
            </w:r>
          </w:p>
        </w:tc>
      </w:tr>
    </w:tbl>
    <w:p w:rsidR="00293AC3" w:rsidRDefault="00A47227">
      <w:pPr>
        <w:pStyle w:val="a7"/>
        <w:widowControl/>
        <w:spacing w:beforeAutospacing="0" w:afterAutospacing="0" w:line="384" w:lineRule="atLeast"/>
        <w:jc w:val="center"/>
        <w:rPr>
          <w:rFonts w:ascii="Times New Roman" w:eastAsia="宋体" w:hAnsi="Times New Roman"/>
          <w:sz w:val="22"/>
          <w:szCs w:val="22"/>
        </w:rPr>
      </w:pPr>
      <w:r>
        <w:rPr>
          <w:rFonts w:ascii="Times New Roman" w:eastAsia="宋体" w:hAnsi="Times New Roman"/>
          <w:sz w:val="22"/>
          <w:szCs w:val="22"/>
        </w:rPr>
        <w:t>（</w:t>
      </w:r>
      <w:r w:rsidR="003C70AD">
        <w:rPr>
          <w:rFonts w:ascii="Times New Roman" w:eastAsia="宋体" w:hAnsi="Times New Roman" w:hint="eastAsia"/>
          <w:sz w:val="22"/>
          <w:szCs w:val="22"/>
        </w:rPr>
        <w:t>2022</w:t>
      </w:r>
      <w:r>
        <w:rPr>
          <w:rFonts w:ascii="Times New Roman" w:eastAsia="宋体" w:hAnsi="Times New Roman"/>
          <w:sz w:val="22"/>
          <w:szCs w:val="22"/>
        </w:rPr>
        <w:t>年度）</w:t>
      </w:r>
    </w:p>
    <w:p w:rsidR="00283342" w:rsidRDefault="00283342" w:rsidP="00283342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eastAsia="宋体" w:hAnsi="Times New Roman"/>
          <w:sz w:val="22"/>
          <w:szCs w:val="22"/>
        </w:rPr>
      </w:pPr>
    </w:p>
    <w:p w:rsidR="00293AC3" w:rsidRDefault="000D74DD" w:rsidP="00283342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eastAsia="宋体" w:hAnsi="Times New Roman"/>
          <w:sz w:val="22"/>
          <w:szCs w:val="22"/>
        </w:rPr>
      </w:pPr>
      <w:r>
        <w:rPr>
          <w:rFonts w:ascii="Times New Roman" w:eastAsia="宋体" w:hAnsi="Times New Roman" w:hint="eastAsia"/>
          <w:sz w:val="22"/>
          <w:szCs w:val="22"/>
        </w:rPr>
        <w:t xml:space="preserve"> </w:t>
      </w: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eastAsia="宋体" w:hAnsi="Times New Roman"/>
          <w:sz w:val="22"/>
          <w:szCs w:val="22"/>
        </w:rPr>
      </w:pP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eastAsia="宋体" w:hAnsi="Times New Roman"/>
          <w:sz w:val="22"/>
          <w:szCs w:val="22"/>
        </w:rPr>
      </w:pP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eastAsia="宋体" w:hAnsi="Times New Roman"/>
          <w:sz w:val="22"/>
          <w:szCs w:val="22"/>
        </w:rPr>
      </w:pP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eastAsia="宋体" w:hAnsi="Times New Roman"/>
          <w:sz w:val="22"/>
          <w:szCs w:val="22"/>
        </w:rPr>
      </w:pP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eastAsia="宋体" w:hAnsi="Times New Roman"/>
          <w:sz w:val="22"/>
          <w:szCs w:val="22"/>
        </w:rPr>
      </w:pP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eastAsia="宋体" w:hAnsi="Times New Roman"/>
          <w:sz w:val="22"/>
          <w:szCs w:val="22"/>
        </w:rPr>
      </w:pP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eastAsia="宋体" w:hAnsi="Times New Roman"/>
          <w:sz w:val="22"/>
          <w:szCs w:val="22"/>
        </w:rPr>
      </w:pP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eastAsia="宋体" w:hAnsi="Times New Roman"/>
          <w:sz w:val="22"/>
          <w:szCs w:val="22"/>
        </w:rPr>
      </w:pP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eastAsia="宋体" w:hAnsi="Times New Roman"/>
          <w:sz w:val="22"/>
          <w:szCs w:val="22"/>
        </w:rPr>
      </w:pP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eastAsia="宋体" w:hAnsi="Times New Roman"/>
          <w:sz w:val="22"/>
          <w:szCs w:val="22"/>
        </w:rPr>
      </w:pP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eastAsia="宋体" w:hAnsi="Times New Roman"/>
          <w:sz w:val="22"/>
          <w:szCs w:val="22"/>
        </w:rPr>
      </w:pP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eastAsia="宋体" w:hAnsi="Times New Roman"/>
          <w:sz w:val="22"/>
          <w:szCs w:val="22"/>
        </w:rPr>
      </w:pP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eastAsia="宋体" w:hAnsi="Times New Roman"/>
          <w:sz w:val="22"/>
          <w:szCs w:val="22"/>
        </w:rPr>
      </w:pP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eastAsia="宋体" w:hAnsi="Times New Roman"/>
          <w:sz w:val="22"/>
          <w:szCs w:val="22"/>
        </w:rPr>
      </w:pP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eastAsia="宋体" w:hAnsi="Times New Roman"/>
          <w:sz w:val="22"/>
          <w:szCs w:val="22"/>
        </w:rPr>
      </w:pPr>
    </w:p>
    <w:p w:rsidR="003C14C2" w:rsidRDefault="003C14C2" w:rsidP="003C14C2">
      <w:pPr>
        <w:spacing w:line="1400" w:lineRule="exact"/>
        <w:jc w:val="center"/>
        <w:rPr>
          <w:rFonts w:ascii="方正大标宋简体" w:eastAsia="方正大标宋简体" w:hAnsi="方正大标宋简体" w:cs="方正大标宋简体"/>
          <w:color w:val="FF0000"/>
          <w:spacing w:val="-23"/>
          <w:w w:val="57"/>
          <w:sz w:val="130"/>
          <w:szCs w:val="130"/>
        </w:rPr>
      </w:pPr>
      <w:r>
        <w:rPr>
          <w:rFonts w:ascii="方正大标宋简体" w:eastAsia="方正大标宋简体" w:hAnsi="方正大标宋简体" w:cs="方正大标宋简体" w:hint="eastAsia"/>
          <w:color w:val="FF0000"/>
          <w:spacing w:val="-23"/>
          <w:w w:val="57"/>
          <w:sz w:val="126"/>
          <w:szCs w:val="126"/>
        </w:rPr>
        <w:lastRenderedPageBreak/>
        <w:t>临武产业开发区管理委员会</w:t>
      </w:r>
    </w:p>
    <w:p w:rsidR="003C14C2" w:rsidRDefault="003C14C2" w:rsidP="003C14C2">
      <w:pPr>
        <w:spacing w:line="3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C14C2" w:rsidRDefault="005C2B24" w:rsidP="003C14C2">
      <w:pPr>
        <w:spacing w:line="580" w:lineRule="exact"/>
        <w:rPr>
          <w:rFonts w:ascii="方正大标宋简体" w:eastAsia="方正大标宋简体" w:hAnsi="方正大标宋简体" w:cs="方正大标宋简体"/>
          <w:bCs/>
          <w:sz w:val="44"/>
          <w:szCs w:val="44"/>
        </w:rPr>
      </w:pPr>
      <w:r w:rsidRPr="005C2B24">
        <w:rPr>
          <w:sz w:val="11"/>
          <w:szCs w:val="11"/>
        </w:rPr>
        <w:pict>
          <v:line id="_x0000_s1028" style="position:absolute;left:0;text-align:left;z-index:251660288" from="-.1pt,15.7pt" to="450.6pt,16.4pt" o:gfxdata="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yfr/LSAAAABwEAAA8AAAAAAAAAAQAgAAAAIgAAAGRycy9kb3ducmV2LnhtbFBLAQIUABQAAAAI&#10;AIdO4kCTr5vG8wEAAL8DAAAOAAAAAAAAAAEAIAAAACEBAABkcnMvZTJvRG9jLnhtbFBLBQYAAAAA&#10;BgAGAFkBAACGBQAAAAA=&#10;" strokecolor="red" strokeweight=".5pt">
            <v:stroke joinstyle="miter"/>
          </v:line>
        </w:pict>
      </w:r>
      <w:r w:rsidRPr="005C2B24">
        <w:rPr>
          <w:w w:val="70"/>
          <w:sz w:val="130"/>
        </w:rPr>
        <w:pict>
          <v:line id="_x0000_s1029" style="position:absolute;left:0;text-align:left;z-index:251661312" from="-1.8pt,12.95pt" to="450.9pt,12.95pt" o:gfxdata="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8RAenX&#10;AAAACAEAAA8AAAAAAAAAAQAgAAAAIgAAAGRycy9kb3ducmV2LnhtbFBLAQIUABQAAAAIAIdO4kCy&#10;bc3j6AEAALIDAAAOAAAAAAAAAAEAIAAAACYBAABkcnMvZTJvRG9jLnhtbFBLBQYAAAAABgAGAFkB&#10;AACABQAAAAA=&#10;" strokecolor="red" strokeweight="2.25pt">
            <v:stroke joinstyle="miter"/>
          </v:line>
        </w:pict>
      </w:r>
    </w:p>
    <w:p w:rsidR="003C14C2" w:rsidRPr="00E11D82" w:rsidRDefault="003C14C2" w:rsidP="003C14C2">
      <w:pPr>
        <w:pStyle w:val="a7"/>
        <w:widowControl/>
        <w:spacing w:beforeAutospacing="0" w:afterAutospacing="0" w:line="384" w:lineRule="atLeas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 w:hint="eastAsia"/>
          <w:sz w:val="40"/>
          <w:szCs w:val="40"/>
        </w:rPr>
        <w:t>2022</w:t>
      </w:r>
      <w:r>
        <w:rPr>
          <w:rFonts w:ascii="Times New Roman" w:eastAsia="方正小标宋简体" w:hAnsi="Times New Roman" w:hint="eastAsia"/>
          <w:sz w:val="40"/>
          <w:szCs w:val="40"/>
        </w:rPr>
        <w:t>年</w:t>
      </w:r>
      <w:r w:rsidRPr="007909D0">
        <w:rPr>
          <w:rFonts w:ascii="Times New Roman" w:eastAsia="方正小标宋简体" w:hAnsi="Times New Roman" w:hint="eastAsia"/>
          <w:sz w:val="40"/>
          <w:szCs w:val="40"/>
        </w:rPr>
        <w:t>储备用地征收、报批</w:t>
      </w:r>
      <w:r w:rsidRPr="00E11D82">
        <w:rPr>
          <w:rFonts w:ascii="Times New Roman" w:eastAsia="方正小标宋简体" w:hAnsi="Times New Roman"/>
          <w:sz w:val="40"/>
          <w:szCs w:val="40"/>
        </w:rPr>
        <w:t>项目</w:t>
      </w:r>
    </w:p>
    <w:p w:rsidR="003C14C2" w:rsidRDefault="003C14C2" w:rsidP="003C14C2">
      <w:pPr>
        <w:pStyle w:val="a7"/>
        <w:widowControl/>
        <w:spacing w:beforeAutospacing="0" w:afterAutospacing="0" w:line="384" w:lineRule="atLeas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>支出绩效自评报告</w:t>
      </w:r>
    </w:p>
    <w:p w:rsidR="003C14C2" w:rsidRDefault="003C14C2" w:rsidP="003C14C2">
      <w:pPr>
        <w:spacing w:line="2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3C14C2" w:rsidRPr="009831FB" w:rsidRDefault="003C14C2" w:rsidP="003C14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31FB">
        <w:rPr>
          <w:rFonts w:ascii="仿宋" w:eastAsia="仿宋" w:hAnsi="仿宋"/>
          <w:sz w:val="32"/>
          <w:szCs w:val="32"/>
        </w:rPr>
        <w:t>为全面实施预算绩效管理，进一步加强财政支出管理，强化部门支出责任，切实提高财政资金使用效益和管理水平，根据《中华人民共和国预算法》《中华人民共和国预算法实施条例》《中共中央 国务院关于全面实施预算绩效管理的意见》（中发〔2018〕34号）、《中共湖南省委办公厅 湖南省人民政府办公厅关于全面实施预算绩效管理的实施意见》（湘办发〔2019〕10号）及《关于做好2022年预算绩效管理工作的通知》（临财绩〔2022〕124号）等文件精神，我单位对</w:t>
      </w:r>
      <w:r w:rsidRPr="00AC1330">
        <w:rPr>
          <w:rFonts w:ascii="仿宋" w:eastAsia="仿宋" w:hAnsi="仿宋" w:hint="eastAsia"/>
          <w:sz w:val="32"/>
          <w:szCs w:val="32"/>
        </w:rPr>
        <w:t>2022年储备用地征收、报批</w:t>
      </w:r>
      <w:r w:rsidRPr="009831FB">
        <w:rPr>
          <w:rFonts w:ascii="仿宋" w:eastAsia="仿宋" w:hAnsi="仿宋" w:hint="eastAsia"/>
          <w:sz w:val="32"/>
          <w:szCs w:val="32"/>
        </w:rPr>
        <w:t>资金</w:t>
      </w:r>
      <w:r w:rsidRPr="009831FB">
        <w:rPr>
          <w:rFonts w:ascii="仿宋" w:eastAsia="仿宋" w:hAnsi="仿宋"/>
          <w:sz w:val="32"/>
          <w:szCs w:val="32"/>
        </w:rPr>
        <w:t>进行了专项绩效自评，现将绩效自评情况报告如下：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/>
          <w:kern w:val="2"/>
          <w:sz w:val="32"/>
          <w:szCs w:val="32"/>
        </w:rPr>
        <w:t>一、项目支出概况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/>
          <w:kern w:val="2"/>
          <w:sz w:val="32"/>
          <w:szCs w:val="32"/>
        </w:rPr>
        <w:t>（一）项目实施单位基本情况。</w:t>
      </w:r>
    </w:p>
    <w:p w:rsidR="003C14C2" w:rsidRPr="00EF35B6" w:rsidRDefault="003C14C2" w:rsidP="003C14C2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F35B6">
        <w:rPr>
          <w:rFonts w:ascii="仿宋" w:eastAsia="仿宋" w:hAnsi="仿宋" w:hint="eastAsia"/>
          <w:sz w:val="32"/>
          <w:szCs w:val="32"/>
        </w:rPr>
        <w:t>临武产业开发区管理委员会为郴州市人民政府派出机构，副处级，委托临武县人民政府管理，临武产业开发区党工委、管委会贯彻执行中央、省、市关于产业开发区的方针政策和决策部署，根据相关法律法规和市委、市政府授权（委托）履行组织领导、发展规划、区域开发、产业发展、投资促进、协调服务等职能。在履行职责过程中坚持加强党的全面领导，认真落实国家关于促进开发区改革和创新发展的要求，切实优化营商环境，积极落实</w:t>
      </w:r>
      <w:r w:rsidRPr="00EF35B6">
        <w:rPr>
          <w:rFonts w:ascii="仿宋" w:eastAsia="仿宋" w:hAnsi="仿宋" w:hint="eastAsia"/>
          <w:sz w:val="32"/>
          <w:szCs w:val="32"/>
        </w:rPr>
        <w:lastRenderedPageBreak/>
        <w:t>“三高四新”战略定位和使命任命。主要职责有：负责贯彻执行党和国家关于产业开发区的方针政策、法律法规和决策部署；负责研究拟订和组织实施临武产业开发区重大发展战略、发展规划和工作计划；按照临武县国土空间总体规划和产业发展规划要求及相关权限，负责统筹建设发展空间布局。负责拟订临武产业开发区发展规划、产业布局、产业政策、项目准入标准等重要事项并组织实施；负责临武产业开发区招商引资工作，组织对外经济技术合作与交流。负责临武产业开发区基础设施、公用事业、重大项目等管理相关工作；负责临武产业开发区优化营商环境工作，根据权限依法承担有关行政审批工作，履行行政审批服务职责。负责坚持深化“放管服”改革。负责构建临武产业开发区创新创业服务体系，协助企业做好人才引进和服务工作；负责园临武产业开发区的科技创新和高新技术产业管理和服务，开展有关科技创新和高新技术产业政策研究，构建技术创新服务体系。指导区内企业建立现代化企业制度，推进高新技术产业化、国际化等职责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/>
          <w:kern w:val="2"/>
          <w:sz w:val="32"/>
          <w:szCs w:val="32"/>
        </w:rPr>
        <w:t>（二）项目资金基本情况包括项目资金基本性质、用途和主要内容、涉及范围等。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储备用地征收、报批项目主要用于园区规划范围内的储备用地土地征收补偿、房屋征收补偿、迁坟补偿、青苗及地上附着物补偿、土地平整及建设用地土地报批各种费用，资金基本性质为政府性基金收入，使用范围为园区规划范围内建设用地各项费用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/>
          <w:kern w:val="2"/>
          <w:sz w:val="32"/>
          <w:szCs w:val="32"/>
        </w:rPr>
        <w:t>（三）项目资金绩效目标，包括总体目标和年度目标。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lastRenderedPageBreak/>
        <w:t>储备用地征收、报批项目</w:t>
      </w:r>
      <w:r w:rsidRPr="004F5753">
        <w:rPr>
          <w:rFonts w:ascii="仿宋" w:eastAsia="仿宋" w:hAnsi="仿宋" w:cstheme="minorBidi"/>
          <w:kern w:val="2"/>
          <w:sz w:val="32"/>
          <w:szCs w:val="32"/>
        </w:rPr>
        <w:t>资金总体绩效目标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是园区规划范围内土地得以收储、开发、使用，本年度目标是储备用地征地面积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30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0亩以上，土地平整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30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0亩以上，土地征收补偿款、迁坟补偿、青苗及地上附着物补偿款支付95%以上，征地相关工作带动就业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40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人以上，满足园区2022年用地需求，被征地农户满意度95%以上，相关投诉少于5起。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/>
          <w:kern w:val="2"/>
          <w:sz w:val="32"/>
          <w:szCs w:val="32"/>
        </w:rPr>
        <w:t>二、项目资金使用及管理情况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/>
          <w:kern w:val="2"/>
          <w:sz w:val="32"/>
          <w:szCs w:val="32"/>
        </w:rPr>
        <w:t>（一）项目资金及自筹资金的安排落实、总投入等情况。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2022年全年储备用地征收、报批资金安排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4387.38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万元，其中政府性基金</w:t>
      </w:r>
      <w:r w:rsidRPr="004F5753">
        <w:rPr>
          <w:rFonts w:ascii="仿宋" w:eastAsia="仿宋" w:hAnsi="仿宋" w:cstheme="minorBidi"/>
          <w:kern w:val="2"/>
          <w:sz w:val="32"/>
          <w:szCs w:val="32"/>
        </w:rPr>
        <w:t>拨款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4387.38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万元，总投入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4387.38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万元。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/>
          <w:kern w:val="2"/>
          <w:sz w:val="32"/>
          <w:szCs w:val="32"/>
        </w:rPr>
        <w:t>（二）项目资金实际使用情况。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2022年全年储备用地征收、报批资金实际使用</w:t>
      </w:r>
      <w:r w:rsidRPr="00A17852">
        <w:rPr>
          <w:rFonts w:ascii="仿宋" w:eastAsia="仿宋" w:hAnsi="仿宋" w:cstheme="minorBidi" w:hint="eastAsia"/>
          <w:kern w:val="2"/>
          <w:sz w:val="32"/>
          <w:szCs w:val="32"/>
        </w:rPr>
        <w:t>4387.38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万元，共计扶持收储、平整300亩储备用地。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/>
          <w:kern w:val="2"/>
          <w:sz w:val="32"/>
          <w:szCs w:val="32"/>
        </w:rPr>
        <w:t>（三）项目资金管理情况分析，主要包括管理制度、办法的制订及执行情况。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储备用地征收、报批资金管理方面严格按照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省、市、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县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出台的相关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文件等规定进行管理、使用，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严格按照文件规定的土地征收、房屋征收、青苗及地上附着物补偿标准进行丈量、计算补偿款，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切实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做好收储土地的平整、管理工作，按照制定的规划时间节点及时做好建设用地土地报批工作。征地工作涉及群众利益，园区为此特别加强了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储备用地征收、报批资金管理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制度的执行监管，切实做到将失误消灭在资金支付之前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/>
          <w:kern w:val="2"/>
          <w:sz w:val="32"/>
          <w:szCs w:val="32"/>
        </w:rPr>
        <w:t>三、项目支出组织实施情况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/>
          <w:kern w:val="2"/>
          <w:sz w:val="32"/>
          <w:szCs w:val="32"/>
        </w:rPr>
        <w:lastRenderedPageBreak/>
        <w:t>（一）资金使用管理情况，主要包括项目资金及项目管理制度建设、日常检查监督管理等情况。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储备用地征收、报批资金使用管理，严格按照三重一大制度进行管理使用，建立完善的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内部控制和外部监督制度对资金的使用监督管理、风险预警及处置工作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，做到资金安全管控。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/>
          <w:kern w:val="2"/>
          <w:sz w:val="32"/>
          <w:szCs w:val="32"/>
        </w:rPr>
        <w:t>（二）项目组织实施情况，主要包括项目招投标、调整、竣工验收等情况。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储备用地征收、报批项目由园区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开发建设局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负责组织实施，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储备用地征收工作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通过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园区工作人员与乡镇人民政府、县自然资源局、相关村委干部群众相互配合，指认边界，土地测量、计算、纠纷调解、协议签订，再通过审批程序对农户进行资金补偿，土地报批工作主要由开发建设局协同县自然资源局、县税务局等相关单位进行实施，按照上级土地报批规定及程序，充分测算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，园区党工委会议研究通过，提起县委、县政府批复，最终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进行资金支付、手续办理等工作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/>
          <w:kern w:val="2"/>
          <w:sz w:val="32"/>
          <w:szCs w:val="32"/>
        </w:rPr>
        <w:t>四、项目支出绩效情况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/>
          <w:kern w:val="2"/>
          <w:sz w:val="32"/>
          <w:szCs w:val="32"/>
        </w:rPr>
        <w:t>（一）项目支出决策情况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2022年储备用地征收、报批资金支出决策由园区党工委会议初步通过，再报请县委、县政府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批复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，最终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进行资金支付、手续办理等工作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/>
          <w:kern w:val="2"/>
          <w:sz w:val="32"/>
          <w:szCs w:val="32"/>
        </w:rPr>
        <w:t>（二）项目支出过程情况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储备用地征收、报批资金支出过程通过加强财政资金事中监管，将监管职责前移，能够及时发现并解决问题，为财政资金安全、规范、高效运行打下坚实的保障。2022年储备用地征收、报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lastRenderedPageBreak/>
        <w:t>批项目支出过程，严格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相关支付标准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进行监控，对未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按标准支付的资金进行追回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，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并分析原因，对相关人员进行警戒，督促做好以后资金核对、支付工作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/>
          <w:kern w:val="2"/>
          <w:sz w:val="32"/>
          <w:szCs w:val="32"/>
        </w:rPr>
        <w:t>（三）项目支出产出情况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2022年储备用地征收、报批项目，共计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收储了储备用地300亩，支付了相关土地征收补偿款、迁坟补偿、青苗及地上附着物补偿款，平整了储备用地300亩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/>
          <w:kern w:val="2"/>
          <w:sz w:val="32"/>
          <w:szCs w:val="32"/>
        </w:rPr>
        <w:t>（四）项目支出效益情况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2022年储备用地征收、报批项目的实施，带动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了被征地区域的经济发展，园区土地征收工作带动了相关就业人员42人，园区建设用地报批完成300亩。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/>
          <w:kern w:val="2"/>
          <w:sz w:val="32"/>
          <w:szCs w:val="32"/>
        </w:rPr>
        <w:t>五、主要经验做法、存在的问题及原因分析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2022年园区通过实施储备用地征收、报批项目，取得了较理想的成效，最主要是园区坚持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按照文件规定补偿标准对资金进行监管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。存在的问题是项目资金拨付到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农户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的时间较长，通过问题查找，发现资金审批程序较繁琐，已经向县政府沟通，优化资金审批各环节。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/>
          <w:kern w:val="2"/>
          <w:sz w:val="32"/>
          <w:szCs w:val="32"/>
        </w:rPr>
        <w:t>六、有关建议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kern w:val="2"/>
          <w:sz w:val="32"/>
          <w:szCs w:val="32"/>
        </w:rPr>
        <w:t>无</w:t>
      </w: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/>
          <w:kern w:val="2"/>
          <w:sz w:val="32"/>
          <w:szCs w:val="32"/>
        </w:rPr>
        <w:t>七、其他需要说明的问题</w:t>
      </w:r>
    </w:p>
    <w:p w:rsidR="003C14C2" w:rsidRPr="004F5753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4F5753">
        <w:rPr>
          <w:rFonts w:ascii="仿宋" w:eastAsia="仿宋" w:hAnsi="仿宋" w:cstheme="minorBidi" w:hint="eastAsia"/>
          <w:kern w:val="2"/>
          <w:sz w:val="32"/>
          <w:szCs w:val="32"/>
        </w:rPr>
        <w:t>无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3C14C2" w:rsidRDefault="003C14C2" w:rsidP="003C14C2">
      <w:pPr>
        <w:pStyle w:val="a7"/>
        <w:spacing w:beforeAutospacing="0" w:afterAutospacing="0" w:line="440" w:lineRule="exact"/>
        <w:rPr>
          <w:rFonts w:ascii="Times New Roman" w:eastAsia="仿宋_GB2312" w:hAnsi="Times New Roman"/>
          <w:sz w:val="32"/>
          <w:szCs w:val="32"/>
        </w:rPr>
      </w:pPr>
    </w:p>
    <w:p w:rsidR="003C14C2" w:rsidRDefault="003C14C2" w:rsidP="003C14C2">
      <w:pPr>
        <w:pStyle w:val="a7"/>
        <w:spacing w:beforeAutospacing="0" w:afterAutospacing="0" w:line="440" w:lineRule="exact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2-1</w:t>
      </w:r>
    </w:p>
    <w:p w:rsidR="003C14C2" w:rsidRDefault="003C14C2" w:rsidP="003C14C2">
      <w:pPr>
        <w:pStyle w:val="a7"/>
        <w:widowControl/>
        <w:spacing w:beforeAutospacing="0" w:afterAutospacing="0" w:line="384" w:lineRule="atLeas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>项目支出绩效自评表</w:t>
      </w:r>
    </w:p>
    <w:tbl>
      <w:tblPr>
        <w:tblpPr w:leftFromText="180" w:rightFromText="180" w:vertAnchor="text" w:horzAnchor="page" w:tblpXSpec="center" w:tblpY="477"/>
        <w:tblOverlap w:val="never"/>
        <w:tblW w:w="9786" w:type="dxa"/>
        <w:jc w:val="center"/>
        <w:tblBorders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"/>
        <w:gridCol w:w="992"/>
        <w:gridCol w:w="381"/>
        <w:gridCol w:w="1644"/>
        <w:gridCol w:w="1217"/>
        <w:gridCol w:w="1476"/>
        <w:gridCol w:w="908"/>
        <w:gridCol w:w="510"/>
        <w:gridCol w:w="324"/>
        <w:gridCol w:w="668"/>
        <w:gridCol w:w="1134"/>
      </w:tblGrid>
      <w:tr w:rsidR="003C14C2" w:rsidTr="00BA520B">
        <w:trPr>
          <w:trHeight w:val="459"/>
          <w:jc w:val="center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项目支出名称</w:t>
            </w:r>
          </w:p>
        </w:tc>
        <w:tc>
          <w:tcPr>
            <w:tcW w:w="8262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5C4F35">
              <w:rPr>
                <w:rFonts w:ascii="Times New Roman" w:eastAsia="宋体" w:hAnsi="Times New Roman" w:hint="eastAsia"/>
                <w:sz w:val="22"/>
                <w:szCs w:val="22"/>
              </w:rPr>
              <w:t>储备用地征收、报批经费</w:t>
            </w:r>
          </w:p>
        </w:tc>
      </w:tr>
      <w:tr w:rsidR="003C14C2" w:rsidTr="00BA520B">
        <w:trPr>
          <w:trHeight w:val="515"/>
          <w:jc w:val="center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lastRenderedPageBreak/>
              <w:t>主管部门</w:t>
            </w:r>
          </w:p>
        </w:tc>
        <w:tc>
          <w:tcPr>
            <w:tcW w:w="324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临武产业开发区管理委员会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实施单位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临武产业开发区管理委员会</w:t>
            </w:r>
          </w:p>
        </w:tc>
      </w:tr>
      <w:tr w:rsidR="003C14C2" w:rsidTr="00BA520B">
        <w:trPr>
          <w:trHeight w:val="538"/>
          <w:jc w:val="center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项目资金</w:t>
            </w:r>
          </w:p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（万元）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4387.38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全年预算数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全年执行数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预算执行率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分值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得分</w:t>
            </w:r>
          </w:p>
        </w:tc>
      </w:tr>
      <w:tr w:rsidR="003C14C2" w:rsidTr="00BA520B">
        <w:trPr>
          <w:trHeight w:val="515"/>
          <w:jc w:val="center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年度资金总额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4387.38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4387.38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4387.38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100</w:t>
            </w:r>
            <w:r w:rsidRPr="0091173E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%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</w:tr>
      <w:tr w:rsidR="003C14C2" w:rsidTr="00BA520B">
        <w:trPr>
          <w:trHeight w:val="572"/>
          <w:jc w:val="center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其中：一般公共预算拨款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4387.38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100</w:t>
            </w:r>
            <w:r w:rsidRPr="0091173E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%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</w:tr>
      <w:tr w:rsidR="003C14C2" w:rsidTr="00BA520B">
        <w:trPr>
          <w:trHeight w:val="474"/>
          <w:jc w:val="center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其他资金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C14C2" w:rsidTr="00BA520B">
        <w:trPr>
          <w:trHeight w:val="460"/>
          <w:jc w:val="center"/>
        </w:trPr>
        <w:tc>
          <w:tcPr>
            <w:tcW w:w="15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总体目标完成</w:t>
            </w:r>
          </w:p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情况</w:t>
            </w: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总体目标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全年实际完成情况</w:t>
            </w:r>
          </w:p>
        </w:tc>
      </w:tr>
      <w:tr w:rsidR="003C14C2" w:rsidTr="00BA520B">
        <w:trPr>
          <w:trHeight w:val="885"/>
          <w:jc w:val="center"/>
        </w:trPr>
        <w:tc>
          <w:tcPr>
            <w:tcW w:w="152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ind w:rightChars="117" w:right="246" w:firstLineChars="82" w:firstLine="18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5C4F35">
              <w:rPr>
                <w:rFonts w:ascii="Times New Roman" w:eastAsia="宋体" w:hAnsi="Times New Roman" w:hint="eastAsia"/>
                <w:sz w:val="22"/>
                <w:szCs w:val="22"/>
              </w:rPr>
              <w:t>园区规划范围内土地得以收储、开发、使用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ind w:leftChars="67" w:left="141" w:rightChars="125" w:right="263" w:firstLineChars="16" w:firstLine="35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完成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300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亩储备用地迁坟、土地征收、青苗等补偿工作，完成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2022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年第一、第四批次建设用地土地报批工作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绩</w:t>
            </w:r>
          </w:p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效</w:t>
            </w:r>
          </w:p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指</w:t>
            </w:r>
          </w:p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标</w:t>
            </w:r>
          </w:p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一级指标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二级指标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三级指标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年度指标值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实际完成值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得分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产出</w:t>
            </w:r>
          </w:p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指标</w:t>
            </w:r>
          </w:p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（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50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分）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数量指标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76455A">
              <w:rPr>
                <w:rFonts w:ascii="Times New Roman" w:eastAsia="宋体" w:hAnsi="Times New Roman" w:hint="eastAsia"/>
                <w:sz w:val="22"/>
                <w:szCs w:val="22"/>
              </w:rPr>
              <w:t>储备土地征收数量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76455A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30</w:t>
            </w:r>
            <w:r w:rsidRPr="0076455A">
              <w:rPr>
                <w:rFonts w:ascii="Times New Roman" w:eastAsia="宋体" w:hAnsi="Times New Roman" w:hint="eastAsia"/>
                <w:sz w:val="22"/>
                <w:szCs w:val="22"/>
              </w:rPr>
              <w:t>0</w:t>
            </w:r>
            <w:r w:rsidRPr="0076455A">
              <w:rPr>
                <w:rFonts w:ascii="Times New Roman" w:eastAsia="宋体" w:hAnsi="Times New Roman" w:hint="eastAsia"/>
                <w:sz w:val="22"/>
                <w:szCs w:val="22"/>
              </w:rPr>
              <w:t>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300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亩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7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Pr="0076455A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76455A">
              <w:rPr>
                <w:rFonts w:ascii="Times New Roman" w:eastAsia="宋体" w:hAnsi="Times New Roman" w:hint="eastAsia"/>
                <w:sz w:val="22"/>
                <w:szCs w:val="22"/>
              </w:rPr>
              <w:t>储备土地平整亩数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Pr="0076455A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76455A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30</w:t>
            </w:r>
            <w:r w:rsidRPr="0076455A">
              <w:rPr>
                <w:rFonts w:ascii="Times New Roman" w:eastAsia="宋体" w:hAnsi="Times New Roman" w:hint="eastAsia"/>
                <w:sz w:val="22"/>
                <w:szCs w:val="22"/>
              </w:rPr>
              <w:t>0</w:t>
            </w:r>
            <w:r w:rsidRPr="0076455A">
              <w:rPr>
                <w:rFonts w:ascii="Times New Roman" w:eastAsia="宋体" w:hAnsi="Times New Roman" w:hint="eastAsia"/>
                <w:sz w:val="22"/>
                <w:szCs w:val="22"/>
              </w:rPr>
              <w:t>亩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300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亩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7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质量指标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76455A">
              <w:rPr>
                <w:rFonts w:ascii="Times New Roman" w:eastAsia="宋体" w:hAnsi="Times New Roman" w:hint="eastAsia"/>
                <w:sz w:val="22"/>
                <w:szCs w:val="22"/>
              </w:rPr>
              <w:t>储备土地征收完成度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Pr="00E3459C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76455A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76455A">
              <w:rPr>
                <w:rFonts w:ascii="Times New Roman" w:eastAsia="宋体" w:hAnsi="Times New Roman" w:hint="eastAsia"/>
                <w:sz w:val="22"/>
                <w:szCs w:val="22"/>
              </w:rPr>
              <w:t>95%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Pr="00E3459C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100%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7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Pr="0076455A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储备土地平整完成度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Pr="00E3459C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76455A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76455A">
              <w:rPr>
                <w:rFonts w:ascii="Times New Roman" w:eastAsia="宋体" w:hAnsi="Times New Roman" w:hint="eastAsia"/>
                <w:sz w:val="22"/>
                <w:szCs w:val="22"/>
              </w:rPr>
              <w:t>95%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Pr="00E3459C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100%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7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时效指标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2022</w:t>
            </w: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年</w:t>
            </w: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10</w:t>
            </w: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月前完成土地征收进度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95%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100%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7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2022</w:t>
            </w: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年</w:t>
            </w: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11</w:t>
            </w: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月前完成土地平整进度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95%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100%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7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成本指标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66167C">
              <w:rPr>
                <w:rFonts w:ascii="Times New Roman" w:eastAsia="宋体" w:hAnsi="Times New Roman" w:hint="eastAsia"/>
                <w:sz w:val="22"/>
                <w:szCs w:val="22"/>
              </w:rPr>
              <w:t>成本控制额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Pr="00E3459C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≤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4387.38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万元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Pr="00E3459C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4387.38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万元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8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效益指标</w:t>
            </w:r>
          </w:p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经济效益指标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土地征收补偿资金到位率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95%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100%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4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Pr="00E3459C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青苗补偿资金到位率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95%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100%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4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社会效益指标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被征土地清表就业人数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≥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  <w:r w:rsidRPr="00B25AEA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11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4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Pr="00E3459C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土地平整就</w:t>
            </w: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lastRenderedPageBreak/>
              <w:t>业人数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Pr="00E3459C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cs="Times New Roman" w:hint="eastAsia"/>
                <w:sz w:val="22"/>
                <w:szCs w:val="22"/>
              </w:rPr>
              <w:lastRenderedPageBreak/>
              <w:t>≥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3</w:t>
            </w:r>
            <w:r w:rsidRPr="00B25AEA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0</w:t>
            </w:r>
            <w:r w:rsidRPr="00B25AEA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31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4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生态效益指标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水土保持率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≥</w:t>
            </w:r>
            <w:r w:rsidRPr="00B25AEA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95%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100%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4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Pr="00B25AEA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土地平整地块施工噪音扰民次数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Pr="00B25AEA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≤</w:t>
            </w:r>
            <w:r w:rsidRPr="00B25AEA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2</w:t>
            </w:r>
            <w:r w:rsidRPr="00B25AEA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次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4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可持续影响指标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农户补偿资金收益影响时间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50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50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3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土地开发对当地形象提升影响时间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50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50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3</w:t>
            </w:r>
          </w:p>
        </w:tc>
      </w:tr>
      <w:tr w:rsidR="003C14C2" w:rsidTr="00BA520B">
        <w:trPr>
          <w:trHeight w:val="550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满意度指标</w:t>
            </w:r>
          </w:p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（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10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分）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服务对象满意度</w:t>
            </w:r>
          </w:p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被征地农户满意度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95%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97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5</w:t>
            </w:r>
          </w:p>
        </w:tc>
      </w:tr>
      <w:tr w:rsidR="003C14C2" w:rsidTr="00BA520B">
        <w:trPr>
          <w:trHeight w:val="550"/>
          <w:jc w:val="center"/>
        </w:trPr>
        <w:tc>
          <w:tcPr>
            <w:tcW w:w="53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土地开发相关投诉次数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≤</w:t>
            </w: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5</w:t>
            </w:r>
            <w:r w:rsidRPr="00B25AEA">
              <w:rPr>
                <w:rFonts w:ascii="Times New Roman" w:eastAsia="宋体" w:hAnsi="Times New Roman" w:hint="eastAsia"/>
                <w:sz w:val="22"/>
                <w:szCs w:val="22"/>
              </w:rPr>
              <w:t>起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起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5</w:t>
            </w:r>
          </w:p>
        </w:tc>
      </w:tr>
      <w:tr w:rsidR="003C14C2" w:rsidTr="00BA520B">
        <w:trPr>
          <w:trHeight w:val="280"/>
          <w:jc w:val="center"/>
        </w:trPr>
        <w:tc>
          <w:tcPr>
            <w:tcW w:w="3549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综合评定等级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总</w:t>
            </w:r>
            <w:r>
              <w:rPr>
                <w:rFonts w:ascii="Times New Roman" w:eastAsia="宋体" w:hAnsi="Times New Roman"/>
                <w:sz w:val="22"/>
                <w:szCs w:val="22"/>
              </w:rPr>
              <w:t xml:space="preserve">  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100</w:t>
            </w:r>
          </w:p>
        </w:tc>
      </w:tr>
      <w:tr w:rsidR="003C14C2" w:rsidTr="00BA520B">
        <w:trPr>
          <w:trHeight w:val="419"/>
          <w:jc w:val="center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说明及建议</w:t>
            </w:r>
          </w:p>
        </w:tc>
        <w:tc>
          <w:tcPr>
            <w:tcW w:w="423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下年度专项资金保留或取消建议意见</w:t>
            </w:r>
          </w:p>
        </w:tc>
        <w:tc>
          <w:tcPr>
            <w:tcW w:w="5020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保留</w:t>
            </w:r>
          </w:p>
        </w:tc>
      </w:tr>
      <w:tr w:rsidR="003C14C2" w:rsidTr="00BA520B">
        <w:trPr>
          <w:trHeight w:val="431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偏差原因及分析</w:t>
            </w:r>
          </w:p>
        </w:tc>
        <w:tc>
          <w:tcPr>
            <w:tcW w:w="5020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改进措施</w:t>
            </w:r>
          </w:p>
        </w:tc>
      </w:tr>
      <w:tr w:rsidR="003C14C2" w:rsidTr="00BA520B">
        <w:trPr>
          <w:trHeight w:val="443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无</w:t>
            </w:r>
          </w:p>
        </w:tc>
        <w:tc>
          <w:tcPr>
            <w:tcW w:w="5020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无</w:t>
            </w:r>
          </w:p>
        </w:tc>
      </w:tr>
    </w:tbl>
    <w:p w:rsidR="003C14C2" w:rsidRDefault="003C14C2" w:rsidP="003C14C2">
      <w:pPr>
        <w:pStyle w:val="a7"/>
        <w:widowControl/>
        <w:spacing w:beforeAutospacing="0" w:afterAutospacing="0" w:line="384" w:lineRule="atLeast"/>
        <w:jc w:val="center"/>
        <w:rPr>
          <w:rFonts w:ascii="Times New Roman" w:eastAsia="宋体" w:hAnsi="Times New Roman"/>
          <w:sz w:val="22"/>
          <w:szCs w:val="22"/>
        </w:rPr>
      </w:pPr>
      <w:r>
        <w:rPr>
          <w:rFonts w:ascii="Times New Roman" w:eastAsia="宋体" w:hAnsi="Times New Roman"/>
          <w:sz w:val="22"/>
          <w:szCs w:val="22"/>
        </w:rPr>
        <w:t>（</w:t>
      </w:r>
      <w:r>
        <w:rPr>
          <w:rFonts w:ascii="Times New Roman" w:eastAsia="宋体" w:hAnsi="Times New Roman" w:hint="eastAsia"/>
          <w:sz w:val="22"/>
          <w:szCs w:val="22"/>
        </w:rPr>
        <w:t>2022</w:t>
      </w:r>
      <w:r>
        <w:rPr>
          <w:rFonts w:ascii="Times New Roman" w:eastAsia="宋体" w:hAnsi="Times New Roman"/>
          <w:sz w:val="22"/>
          <w:szCs w:val="22"/>
        </w:rPr>
        <w:t>年度）</w:t>
      </w: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eastAsia="宋体" w:hAnsi="Times New Roman"/>
          <w:sz w:val="22"/>
          <w:szCs w:val="22"/>
        </w:rPr>
      </w:pPr>
    </w:p>
    <w:p w:rsidR="003C14C2" w:rsidRDefault="000D74DD" w:rsidP="000D74DD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hAnsi="Times New Roman"/>
        </w:rPr>
      </w:pPr>
      <w:r>
        <w:rPr>
          <w:rFonts w:ascii="Times New Roman" w:eastAsia="宋体" w:hAnsi="Times New Roman" w:hint="eastAsia"/>
          <w:sz w:val="22"/>
          <w:szCs w:val="22"/>
        </w:rPr>
        <w:t xml:space="preserve"> </w:t>
      </w: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left="65" w:hangingChars="322" w:hanging="773"/>
        <w:rPr>
          <w:rFonts w:ascii="Times New Roman" w:hAnsi="Times New Roman"/>
        </w:rPr>
      </w:pP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left="65" w:hangingChars="322" w:hanging="773"/>
        <w:rPr>
          <w:rFonts w:ascii="Times New Roman" w:hAnsi="Times New Roman"/>
        </w:rPr>
      </w:pP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left="65" w:hangingChars="322" w:hanging="773"/>
        <w:rPr>
          <w:rFonts w:ascii="Times New Roman" w:hAnsi="Times New Roman"/>
        </w:rPr>
      </w:pP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left="65" w:hangingChars="322" w:hanging="773"/>
        <w:rPr>
          <w:rFonts w:ascii="Times New Roman" w:hAnsi="Times New Roman"/>
        </w:rPr>
      </w:pP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left="65" w:hangingChars="322" w:hanging="773"/>
        <w:rPr>
          <w:rFonts w:ascii="Times New Roman" w:hAnsi="Times New Roman"/>
        </w:rPr>
      </w:pP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left="65" w:hangingChars="322" w:hanging="773"/>
        <w:rPr>
          <w:rFonts w:ascii="Times New Roman" w:hAnsi="Times New Roman"/>
        </w:rPr>
      </w:pP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left="65" w:hangingChars="322" w:hanging="773"/>
        <w:rPr>
          <w:rFonts w:ascii="Times New Roman" w:hAnsi="Times New Roman"/>
        </w:rPr>
      </w:pPr>
    </w:p>
    <w:p w:rsidR="003C14C2" w:rsidRDefault="003C14C2" w:rsidP="003C14C2">
      <w:pPr>
        <w:spacing w:line="1400" w:lineRule="exact"/>
        <w:jc w:val="center"/>
        <w:rPr>
          <w:rFonts w:ascii="方正大标宋简体" w:eastAsia="方正大标宋简体" w:hAnsi="方正大标宋简体" w:cs="方正大标宋简体"/>
          <w:color w:val="FF0000"/>
          <w:spacing w:val="-23"/>
          <w:w w:val="57"/>
          <w:sz w:val="126"/>
          <w:szCs w:val="126"/>
        </w:rPr>
      </w:pPr>
    </w:p>
    <w:p w:rsidR="003C14C2" w:rsidRDefault="003C14C2" w:rsidP="003C14C2">
      <w:pPr>
        <w:spacing w:line="1400" w:lineRule="exact"/>
        <w:jc w:val="center"/>
        <w:rPr>
          <w:rFonts w:ascii="方正大标宋简体" w:eastAsia="方正大标宋简体" w:hAnsi="方正大标宋简体" w:cs="方正大标宋简体"/>
          <w:color w:val="FF0000"/>
          <w:spacing w:val="-23"/>
          <w:w w:val="57"/>
          <w:sz w:val="130"/>
          <w:szCs w:val="130"/>
        </w:rPr>
      </w:pPr>
      <w:r>
        <w:rPr>
          <w:rFonts w:ascii="方正大标宋简体" w:eastAsia="方正大标宋简体" w:hAnsi="方正大标宋简体" w:cs="方正大标宋简体" w:hint="eastAsia"/>
          <w:color w:val="FF0000"/>
          <w:spacing w:val="-23"/>
          <w:w w:val="57"/>
          <w:sz w:val="126"/>
          <w:szCs w:val="126"/>
        </w:rPr>
        <w:lastRenderedPageBreak/>
        <w:t>临武产业开发区管理委员会</w:t>
      </w:r>
    </w:p>
    <w:p w:rsidR="003C14C2" w:rsidRDefault="003C14C2" w:rsidP="003C14C2">
      <w:pPr>
        <w:spacing w:line="3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C14C2" w:rsidRDefault="005C2B24" w:rsidP="003C14C2">
      <w:pPr>
        <w:spacing w:line="580" w:lineRule="exact"/>
        <w:rPr>
          <w:rFonts w:ascii="方正大标宋简体" w:eastAsia="方正大标宋简体" w:hAnsi="方正大标宋简体" w:cs="方正大标宋简体"/>
          <w:bCs/>
          <w:sz w:val="44"/>
          <w:szCs w:val="44"/>
        </w:rPr>
      </w:pPr>
      <w:r w:rsidRPr="005C2B24">
        <w:rPr>
          <w:sz w:val="11"/>
          <w:szCs w:val="11"/>
        </w:rPr>
        <w:pict>
          <v:line id="_x0000_s1030" style="position:absolute;left:0;text-align:left;z-index:251663360" from="-.1pt,15.7pt" to="450.6pt,16.4pt" o:gfxdata="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yfr/LSAAAABwEAAA8AAAAAAAAAAQAgAAAAIgAAAGRycy9kb3ducmV2LnhtbFBLAQIUABQAAAAI&#10;AIdO4kCTr5vG8wEAAL8DAAAOAAAAAAAAAAEAIAAAACEBAABkcnMvZTJvRG9jLnhtbFBLBQYAAAAA&#10;BgAGAFkBAACGBQAAAAA=&#10;" strokecolor="red" strokeweight=".5pt">
            <v:stroke joinstyle="miter"/>
          </v:line>
        </w:pict>
      </w:r>
      <w:r w:rsidRPr="005C2B24">
        <w:rPr>
          <w:w w:val="70"/>
          <w:sz w:val="130"/>
        </w:rPr>
        <w:pict>
          <v:line id="_x0000_s1031" style="position:absolute;left:0;text-align:left;z-index:251664384" from="-1.8pt,12.95pt" to="450.9pt,12.95pt" o:gfxdata="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8RAenX&#10;AAAACAEAAA8AAAAAAAAAAQAgAAAAIgAAAGRycy9kb3ducmV2LnhtbFBLAQIUABQAAAAIAIdO4kCy&#10;bc3j6AEAALIDAAAOAAAAAAAAAAEAIAAAACYBAABkcnMvZTJvRG9jLnhtbFBLBQYAAAAABgAGAFkB&#10;AACABQAAAAA=&#10;" strokecolor="red" strokeweight="2.25pt">
            <v:stroke joinstyle="miter"/>
          </v:line>
        </w:pict>
      </w:r>
    </w:p>
    <w:p w:rsidR="003C14C2" w:rsidRPr="00E11D82" w:rsidRDefault="003C14C2" w:rsidP="003C14C2">
      <w:pPr>
        <w:pStyle w:val="a7"/>
        <w:widowControl/>
        <w:spacing w:beforeAutospacing="0" w:afterAutospacing="0" w:line="384" w:lineRule="atLeast"/>
        <w:jc w:val="center"/>
        <w:rPr>
          <w:rFonts w:ascii="Times New Roman" w:eastAsia="方正小标宋简体" w:hAnsi="Times New Roman"/>
          <w:sz w:val="40"/>
          <w:szCs w:val="40"/>
        </w:rPr>
      </w:pPr>
      <w:r w:rsidRPr="00E11D82">
        <w:rPr>
          <w:rFonts w:ascii="Times New Roman" w:eastAsia="方正小标宋简体" w:hAnsi="Times New Roman"/>
          <w:sz w:val="40"/>
          <w:szCs w:val="40"/>
        </w:rPr>
        <w:t>2022</w:t>
      </w:r>
      <w:r w:rsidRPr="00E11D82">
        <w:rPr>
          <w:rFonts w:ascii="Times New Roman" w:eastAsia="方正小标宋简体" w:hAnsi="Times New Roman"/>
          <w:sz w:val="40"/>
          <w:szCs w:val="40"/>
        </w:rPr>
        <w:t>年</w:t>
      </w:r>
      <w:r w:rsidRPr="00E11D82">
        <w:rPr>
          <w:rFonts w:ascii="Times New Roman" w:eastAsia="方正小标宋简体" w:hAnsi="Times New Roman" w:hint="eastAsia"/>
          <w:sz w:val="40"/>
          <w:szCs w:val="40"/>
        </w:rPr>
        <w:t>园区产业引导扶持</w:t>
      </w:r>
      <w:r w:rsidRPr="00E11D82">
        <w:rPr>
          <w:rFonts w:ascii="Times New Roman" w:eastAsia="方正小标宋简体" w:hAnsi="Times New Roman"/>
          <w:sz w:val="40"/>
          <w:szCs w:val="40"/>
        </w:rPr>
        <w:t>项目</w:t>
      </w:r>
    </w:p>
    <w:p w:rsidR="003C14C2" w:rsidRDefault="003C14C2" w:rsidP="003C14C2">
      <w:pPr>
        <w:pStyle w:val="a7"/>
        <w:widowControl/>
        <w:spacing w:beforeAutospacing="0" w:afterAutospacing="0" w:line="384" w:lineRule="atLeas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>支出绩效自评报告</w:t>
      </w:r>
    </w:p>
    <w:p w:rsidR="003C14C2" w:rsidRDefault="003C14C2" w:rsidP="003C14C2">
      <w:pPr>
        <w:spacing w:line="2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3C14C2" w:rsidRPr="009831FB" w:rsidRDefault="003C14C2" w:rsidP="003C14C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31FB">
        <w:rPr>
          <w:rFonts w:ascii="仿宋" w:eastAsia="仿宋" w:hAnsi="仿宋"/>
          <w:sz w:val="32"/>
          <w:szCs w:val="32"/>
        </w:rPr>
        <w:t>为全面实施预算绩效管理，进一步加强财政支出管理，强化部门支出责任，切实提高财政资金使用效益和管理水平，根据《中华人民共和国预算法》《中华人民共和国预算法实施条例》《中共中央 国务院关于全面实施预算绩效管理的意见》（中发〔2018〕34号）、《中共湖南省委办公厅 湖南省人民政府办公厅关于全面实施预算绩效管理的实施意见》（湘办发〔2019〕10号）及《关于做好2022年预算绩效管理工作的通知》（临财绩〔2022〕124号）等文件精神，我单位对2022年</w:t>
      </w:r>
      <w:r w:rsidRPr="009831FB">
        <w:rPr>
          <w:rFonts w:ascii="仿宋" w:eastAsia="仿宋" w:hAnsi="仿宋" w:hint="eastAsia"/>
          <w:sz w:val="32"/>
          <w:szCs w:val="32"/>
        </w:rPr>
        <w:t>园区产业引导扶持资金</w:t>
      </w:r>
      <w:r w:rsidRPr="009831FB">
        <w:rPr>
          <w:rFonts w:ascii="仿宋" w:eastAsia="仿宋" w:hAnsi="仿宋"/>
          <w:sz w:val="32"/>
          <w:szCs w:val="32"/>
        </w:rPr>
        <w:t>进行了专项绩效自评，现将绩效自评情况报告如下：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一、项目支出概况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（一）项目实施单位基本情况。</w:t>
      </w:r>
    </w:p>
    <w:p w:rsidR="003C14C2" w:rsidRPr="00EF35B6" w:rsidRDefault="003C14C2" w:rsidP="003C14C2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F35B6">
        <w:rPr>
          <w:rFonts w:ascii="仿宋" w:eastAsia="仿宋" w:hAnsi="仿宋" w:hint="eastAsia"/>
          <w:sz w:val="32"/>
          <w:szCs w:val="32"/>
        </w:rPr>
        <w:t>临武产业开发区管理委员会为郴州市人民政府派出机构，副处级，委托临武县人民政府管理，临武产业开发区党工委、管委会贯彻执行中央、省、市关于产业开发区的方针政策和决策部署，根据相关法律法规和市委、市政府授权（委托）履行组织领导、发展规划、区域开发、产业发展、投资促进、协调服务等职能。在履行职责过程中坚持加强党的全面领导，认真落实国家关于促进开发区改革和创新发展的要求，切实优化营商环境，积极落实</w:t>
      </w:r>
      <w:r w:rsidRPr="00EF35B6">
        <w:rPr>
          <w:rFonts w:ascii="仿宋" w:eastAsia="仿宋" w:hAnsi="仿宋" w:hint="eastAsia"/>
          <w:sz w:val="32"/>
          <w:szCs w:val="32"/>
        </w:rPr>
        <w:lastRenderedPageBreak/>
        <w:t>“三高四新”战略定位和使命任命。主要职责有：负责贯彻执行党和国家关于产业开发区的方针政策、法律法规和决策部署；负责研究拟订和组织实施临武产业开发区重大发展战略、发展规划和工作计划；按照临武县国土空间总体规划和产业发展规划要求及相关权限，负责统筹建设发展空间布局。负责拟订临武产业开发区发展规划、产业布局、产业政策、项目准入标准等重要事项并组织实施；负责临武产业开发区招商引资工作，组织对外经济技术合作与交流。负责临武产业开发区基础设施、公用事业、重大项目等管理相关工作；负责临武产业开发区优化营商环境工作，根据权限依法承担有关行政审批工作，履行行政审批服务职责。负责坚持深化“放管服”改革。负责构建临武产业开发区创新创业服务体系，协助企业做好人才引进和服务工作；负责园临武产业开发区的科技创新和高新技术产业管理和服务，开展有关科技创新和高新技术产业政策研究，构建技术创新服务体系。指导区内企业建立现代化企业制度，推进高新技术产业化、国际化等职责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（二）项目资金基本情况包括项目资金基本性质、用途和主要内容、涉及范围等。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园区产业引导扶持项目主要用于支持临武产业开发区企业发展项目，</w:t>
      </w:r>
      <w:r w:rsidRPr="00227350">
        <w:rPr>
          <w:rFonts w:ascii="仿宋" w:eastAsia="仿宋" w:hAnsi="仿宋" w:cstheme="minorBidi"/>
          <w:kern w:val="2"/>
          <w:sz w:val="32"/>
          <w:szCs w:val="32"/>
        </w:rPr>
        <w:t>培育骨干企业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，支持企业开展高新技术研发应用、技术装备升级改造、数字化建设、传播渠道建设、公共技术服务平台建设，上市融资、市场拓展、联合重组和探索多种经营等以及支持重大产业项目建设。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（三）项目资金绩效目标，包括总体目标和年度目标。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lastRenderedPageBreak/>
        <w:t>园区产业引导扶持</w:t>
      </w:r>
      <w:r w:rsidRPr="00227350">
        <w:rPr>
          <w:rFonts w:ascii="仿宋" w:eastAsia="仿宋" w:hAnsi="仿宋" w:cstheme="minorBidi"/>
          <w:kern w:val="2"/>
          <w:sz w:val="32"/>
          <w:szCs w:val="32"/>
        </w:rPr>
        <w:t>项目资金总体绩效目标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是通过园区产业引导扶持，使园区企业产业得到升级，完成园区长远产业规划，本年度目标是扶持企业数量到达22家以上，扶持企业为规模以上企业，通过园区产业引导扶持</w:t>
      </w:r>
      <w:r w:rsidRPr="00227350">
        <w:rPr>
          <w:rFonts w:ascii="仿宋" w:eastAsia="仿宋" w:hAnsi="仿宋" w:cstheme="minorBidi"/>
          <w:kern w:val="2"/>
          <w:sz w:val="32"/>
          <w:szCs w:val="32"/>
        </w:rPr>
        <w:t>项目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使园区企业淘汰落后生产设备及工艺，使园区整体产业转型升级得到有效推进，促进园区新增就业人数超300人以上，入园企业及园区务工者满意度95%以上。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二、项目资金使用及管理情况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（一）项目资金及自筹资金的安排落实、总投入等情况。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2022年全年园区产业引导扶持资金安排18520万元，其中</w:t>
      </w:r>
      <w:r w:rsidRPr="00227350">
        <w:rPr>
          <w:rFonts w:ascii="仿宋" w:eastAsia="仿宋" w:hAnsi="仿宋" w:cstheme="minorBidi"/>
          <w:kern w:val="2"/>
          <w:sz w:val="32"/>
          <w:szCs w:val="32"/>
        </w:rPr>
        <w:t>一般公共预算拨款</w:t>
      </w: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18520万元，总投入18520万元。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（二）项目资金实际使用情况。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2022年全年园区产业引导扶持资金实际使用18520万元，共计扶持23家园区企业，每家企业都达到规模以上，项目投入后，企业生产效益得到了显著提升。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（三）项目资金管理情况分析，主要包括管理制度、办法的制订及执行情况。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园区产业引导扶持资金管理方面严格按照县政府出台的临政发【2021】5号文件等规定进行管理、使用，切实发挥资金的引导、带动和放大作用，促进区域产业转型加快发展，吸引区内外社会资本进入园区，对外开放以及符合本园区产业发展规划的领域，构建财政资金与金融资源、社会资本之间的系统联动机制，为全园区经济持续健康发展注入新的活力和动力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三、项目支出组织实施情况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lastRenderedPageBreak/>
        <w:t>（一）资金使用管理情况，主要包括项目资金及项目管理制度建设、日常检查监督管理等情况。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园区产业引导扶持资金使用管理，严格按照三重一大制度进行管理使用，建立完善的内部控制和外部监督制度对资金的使用监督管理、风险预警及处置工作，并建立产业引导项目约束退出机制，做到资金安全管控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（二）项目组织实施情况，主要包括项目招投标、调整、竣工验收等情况。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园区产业引导扶持项目由园区经济合作局负责组织实施，通过前期调研、企业提出申请，综合研判，提交产业引导方案草案，园区党工委会议研究通过，提起县委、县政府批复，最终参照方案执行产业引导项目进行扶持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四、项目支出绩效情况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（一）项目支出决策情况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2022年园区产业引导扶持资金支出决策由园区党工委会议初步通过，再报请县委、县政府提出意见，再参照提出意见进行修改，最终进行支出管理。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（二）项目支出过程情况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园区产业引导扶持资金支出过程通过加强财政资金事中监管，将监管职责前移，能够及时发现并解决问题，为财政资金安全、规范、高效运行打下坚实的保障。2022年园区产业引导扶持项目支出过程，严格参照产业扶持项目预定目标进行监控，对未达使用目标的产业扶持项目，暂停下批次资金支付，并查找问题、困难点，与企业共同解决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lastRenderedPageBreak/>
        <w:t>（三）项目支出产出情况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2022年园区产业引导扶持项目，共计扶持了23个企业项目，23个企业项目均达到了规模以上。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（四）项目支出效益情况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2022年园区产业引导扶持项目的实施，带动园区经济飞速发展，扶持的23家企业，每家企业带动经济发展3000万元以上，总共带动新增就业人口300人，总就业人口2340人。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五、主要经验做法、存在的问题及原因分析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2022年园区通过实施产业引导扶持项目，取得了较理想的成效，最主要是园区坚持落实协议管理，加强项目监管，加强审计评审，严守验收标准。存在的问题是项目资金拨付到企业的时间较长，通过问题查找，发现资金审批程序较繁琐，已经向县政府沟通，优化资金审批各环节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六、有关建议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园区建议继续加大产业引导资金规模，打造临武产业园特色，壮大园区产业集群，努力造就区域虹吸效应吸引区内外社会资本进入园区。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/>
          <w:kern w:val="2"/>
          <w:sz w:val="32"/>
          <w:szCs w:val="32"/>
        </w:rPr>
        <w:t>七、其他需要说明的问题</w:t>
      </w:r>
    </w:p>
    <w:p w:rsidR="003C14C2" w:rsidRPr="00227350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theme="minorBidi"/>
          <w:kern w:val="2"/>
          <w:sz w:val="32"/>
          <w:szCs w:val="32"/>
        </w:rPr>
      </w:pPr>
      <w:r w:rsidRPr="00227350">
        <w:rPr>
          <w:rFonts w:ascii="仿宋" w:eastAsia="仿宋" w:hAnsi="仿宋" w:cstheme="minorBidi" w:hint="eastAsia"/>
          <w:kern w:val="2"/>
          <w:sz w:val="32"/>
          <w:szCs w:val="32"/>
        </w:rPr>
        <w:t>无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。</w:t>
      </w:r>
    </w:p>
    <w:p w:rsidR="003C14C2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C14C2" w:rsidRPr="009831FB" w:rsidRDefault="003C14C2" w:rsidP="003C14C2">
      <w:pPr>
        <w:pStyle w:val="a7"/>
        <w:widowControl/>
        <w:spacing w:beforeAutospacing="0" w:afterAutospacing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C14C2" w:rsidRDefault="003C14C2" w:rsidP="003C14C2">
      <w:pPr>
        <w:pStyle w:val="a7"/>
        <w:spacing w:beforeAutospacing="0" w:afterAutospacing="0" w:line="440" w:lineRule="exact"/>
        <w:rPr>
          <w:rFonts w:ascii="Times New Roman" w:eastAsia="仿宋_GB2312" w:hAnsi="Times New Roman"/>
          <w:sz w:val="32"/>
          <w:szCs w:val="32"/>
        </w:rPr>
      </w:pPr>
    </w:p>
    <w:p w:rsidR="003C14C2" w:rsidRDefault="003C14C2" w:rsidP="003C14C2">
      <w:pPr>
        <w:pStyle w:val="a7"/>
        <w:spacing w:beforeAutospacing="0" w:afterAutospacing="0" w:line="440" w:lineRule="exact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2-1</w:t>
      </w:r>
    </w:p>
    <w:p w:rsidR="003C14C2" w:rsidRDefault="003C14C2" w:rsidP="003C14C2">
      <w:pPr>
        <w:pStyle w:val="a7"/>
        <w:widowControl/>
        <w:spacing w:beforeAutospacing="0" w:afterAutospacing="0" w:line="384" w:lineRule="atLeas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>项目支出绩效自评表</w:t>
      </w:r>
    </w:p>
    <w:tbl>
      <w:tblPr>
        <w:tblpPr w:leftFromText="180" w:rightFromText="180" w:vertAnchor="text" w:horzAnchor="page" w:tblpXSpec="center" w:tblpY="477"/>
        <w:tblOverlap w:val="never"/>
        <w:tblW w:w="9786" w:type="dxa"/>
        <w:jc w:val="center"/>
        <w:tblBorders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"/>
        <w:gridCol w:w="992"/>
        <w:gridCol w:w="381"/>
        <w:gridCol w:w="1644"/>
        <w:gridCol w:w="1217"/>
        <w:gridCol w:w="1476"/>
        <w:gridCol w:w="908"/>
        <w:gridCol w:w="510"/>
        <w:gridCol w:w="324"/>
        <w:gridCol w:w="668"/>
        <w:gridCol w:w="1134"/>
      </w:tblGrid>
      <w:tr w:rsidR="003C14C2" w:rsidTr="00BA520B">
        <w:trPr>
          <w:trHeight w:val="459"/>
          <w:jc w:val="center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项目支出名称</w:t>
            </w:r>
          </w:p>
        </w:tc>
        <w:tc>
          <w:tcPr>
            <w:tcW w:w="8262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3C70AD">
              <w:rPr>
                <w:rFonts w:ascii="Times New Roman" w:eastAsia="宋体" w:hAnsi="Times New Roman" w:hint="eastAsia"/>
                <w:sz w:val="22"/>
                <w:szCs w:val="22"/>
              </w:rPr>
              <w:t>园区产业引导扶持资金</w:t>
            </w:r>
          </w:p>
        </w:tc>
      </w:tr>
      <w:tr w:rsidR="003C14C2" w:rsidTr="00BA520B">
        <w:trPr>
          <w:trHeight w:val="515"/>
          <w:jc w:val="center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lastRenderedPageBreak/>
              <w:t>主管部门</w:t>
            </w:r>
          </w:p>
        </w:tc>
        <w:tc>
          <w:tcPr>
            <w:tcW w:w="324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临武产业开发区管理委员会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实施单位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临武产业开发区管理委员会</w:t>
            </w:r>
          </w:p>
        </w:tc>
      </w:tr>
      <w:tr w:rsidR="003C14C2" w:rsidTr="00BA520B">
        <w:trPr>
          <w:trHeight w:val="538"/>
          <w:jc w:val="center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项目资金</w:t>
            </w:r>
          </w:p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（万元）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18520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全年预算数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全年执行数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预算执行率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分值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得分</w:t>
            </w:r>
          </w:p>
        </w:tc>
      </w:tr>
      <w:tr w:rsidR="003C14C2" w:rsidTr="00BA520B">
        <w:trPr>
          <w:trHeight w:val="515"/>
          <w:jc w:val="center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年度资金总额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18520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18520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18520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</w:t>
            </w:r>
            <w:r w:rsidRPr="0091173E"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00%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</w:tr>
      <w:tr w:rsidR="003C14C2" w:rsidTr="00BA520B">
        <w:trPr>
          <w:trHeight w:val="572"/>
          <w:jc w:val="center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其中：一般公共预算拨款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18520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100%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</w:tr>
      <w:tr w:rsidR="003C14C2" w:rsidTr="00BA520B">
        <w:trPr>
          <w:trHeight w:val="474"/>
          <w:jc w:val="center"/>
        </w:trPr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其他资金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-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C14C2" w:rsidTr="00BA520B">
        <w:trPr>
          <w:trHeight w:val="460"/>
          <w:jc w:val="center"/>
        </w:trPr>
        <w:tc>
          <w:tcPr>
            <w:tcW w:w="15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总体目标完成</w:t>
            </w:r>
          </w:p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情况</w:t>
            </w: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总体目标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全年实际完成情况</w:t>
            </w:r>
          </w:p>
        </w:tc>
      </w:tr>
      <w:tr w:rsidR="003C14C2" w:rsidTr="00BA520B">
        <w:trPr>
          <w:trHeight w:val="885"/>
          <w:jc w:val="center"/>
        </w:trPr>
        <w:tc>
          <w:tcPr>
            <w:tcW w:w="152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471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ind w:rightChars="117" w:right="246" w:firstLineChars="82" w:firstLine="18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DE47B5">
              <w:rPr>
                <w:rFonts w:ascii="Times New Roman" w:eastAsia="宋体" w:hAnsi="Times New Roman" w:hint="eastAsia"/>
                <w:sz w:val="22"/>
                <w:szCs w:val="22"/>
              </w:rPr>
              <w:t>通过园区产业引导扶持，使园区企业产业得到升级，完成园区长远产业规划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ind w:rightChars="125" w:right="263" w:firstLineChars="81" w:firstLine="178"/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2022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年对园区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23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家企业进行产业引导扶持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绩</w:t>
            </w:r>
          </w:p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效</w:t>
            </w:r>
          </w:p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指</w:t>
            </w:r>
          </w:p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标</w:t>
            </w:r>
          </w:p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一级指标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二级指标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三级指标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年度指标值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实际完成值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得分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产出</w:t>
            </w:r>
          </w:p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指标</w:t>
            </w:r>
          </w:p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（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50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分）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数量指标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66167C">
              <w:rPr>
                <w:rFonts w:ascii="Times New Roman" w:eastAsia="宋体" w:hAnsi="Times New Roman" w:hint="eastAsia"/>
                <w:sz w:val="22"/>
                <w:szCs w:val="22"/>
              </w:rPr>
              <w:t>企业数量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22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质量指标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66167C">
              <w:rPr>
                <w:rFonts w:ascii="Times New Roman" w:eastAsia="宋体" w:hAnsi="Times New Roman" w:hint="eastAsia"/>
                <w:sz w:val="22"/>
                <w:szCs w:val="22"/>
              </w:rPr>
              <w:t>企业规模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Pr="00E3459C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2000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万元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Pr="00E3459C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2000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万元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时效指标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66167C">
              <w:rPr>
                <w:rFonts w:ascii="Times New Roman" w:eastAsia="宋体" w:hAnsi="Times New Roman" w:hint="eastAsia"/>
                <w:sz w:val="22"/>
                <w:szCs w:val="22"/>
              </w:rPr>
              <w:t>上半年扶持企业数量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66167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66167C">
              <w:rPr>
                <w:rFonts w:ascii="Times New Roman" w:eastAsia="宋体" w:hAnsi="Times New Roman" w:hint="eastAsia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1</w:t>
            </w:r>
            <w:r w:rsidRPr="0066167C">
              <w:rPr>
                <w:rFonts w:ascii="Times New Roman" w:eastAsia="宋体" w:hAnsi="Times New Roman" w:hint="eastAsia"/>
                <w:sz w:val="22"/>
                <w:szCs w:val="22"/>
              </w:rPr>
              <w:t>家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11</w:t>
            </w:r>
            <w:r w:rsidRPr="0066167C">
              <w:rPr>
                <w:rFonts w:ascii="Times New Roman" w:eastAsia="宋体" w:hAnsi="Times New Roman" w:hint="eastAsia"/>
                <w:sz w:val="22"/>
                <w:szCs w:val="22"/>
              </w:rPr>
              <w:t>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66167C">
              <w:rPr>
                <w:rFonts w:ascii="Times New Roman" w:eastAsia="宋体" w:hAnsi="Times New Roman" w:hint="eastAsia"/>
                <w:sz w:val="22"/>
                <w:szCs w:val="22"/>
              </w:rPr>
              <w:t>下半年扶持企业数量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66167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66167C">
              <w:rPr>
                <w:rFonts w:ascii="Times New Roman" w:eastAsia="宋体" w:hAnsi="Times New Roman" w:hint="eastAsia"/>
                <w:sz w:val="22"/>
                <w:szCs w:val="22"/>
              </w:rPr>
              <w:t>1</w:t>
            </w:r>
            <w:r>
              <w:rPr>
                <w:rFonts w:ascii="Times New Roman" w:eastAsia="宋体" w:hAnsi="Times New Roman" w:hint="eastAsia"/>
                <w:sz w:val="22"/>
                <w:szCs w:val="22"/>
              </w:rPr>
              <w:t>1</w:t>
            </w:r>
            <w:r w:rsidRPr="0066167C">
              <w:rPr>
                <w:rFonts w:ascii="Times New Roman" w:eastAsia="宋体" w:hAnsi="Times New Roman" w:hint="eastAsia"/>
                <w:sz w:val="22"/>
                <w:szCs w:val="22"/>
              </w:rPr>
              <w:t>家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12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成本指标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66167C">
              <w:rPr>
                <w:rFonts w:ascii="Times New Roman" w:eastAsia="宋体" w:hAnsi="Times New Roman" w:hint="eastAsia"/>
                <w:sz w:val="22"/>
                <w:szCs w:val="22"/>
              </w:rPr>
              <w:t>成本控制额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Pr="00E3459C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≤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18520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万元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Pr="00E3459C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18520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万元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10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效益指标</w:t>
            </w:r>
          </w:p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经济效益指标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每家企业投资额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6000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万元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/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家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6000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万元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/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Pr="00E3459C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企业每家带动区域经济增加量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3000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万元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/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家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3000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万元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/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社会效益指标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带动当地就业人数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300</w:t>
            </w:r>
            <w:r w:rsidRPr="00E3459C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人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2340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生态效益指标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可持续影响指标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对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当地经济增长影响时间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50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50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</w:t>
            </w:r>
          </w:p>
        </w:tc>
      </w:tr>
      <w:tr w:rsidR="003C14C2" w:rsidTr="00BA520B">
        <w:trPr>
          <w:trHeight w:val="411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napToGrid w:val="0"/>
              <w:spacing w:beforeAutospacing="0" w:afterAutospacing="0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对当地形象提升影响时间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50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50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6</w:t>
            </w:r>
          </w:p>
        </w:tc>
      </w:tr>
      <w:tr w:rsidR="003C14C2" w:rsidTr="00BA520B">
        <w:trPr>
          <w:trHeight w:val="550"/>
          <w:jc w:val="center"/>
        </w:trPr>
        <w:tc>
          <w:tcPr>
            <w:tcW w:w="53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满意度指标</w:t>
            </w:r>
          </w:p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（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10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分）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服务对象满意度</w:t>
            </w:r>
          </w:p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在企业务工人员满意度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95%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97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5</w:t>
            </w:r>
          </w:p>
        </w:tc>
      </w:tr>
      <w:tr w:rsidR="003C14C2" w:rsidTr="00BA520B">
        <w:trPr>
          <w:trHeight w:val="550"/>
          <w:jc w:val="center"/>
        </w:trPr>
        <w:tc>
          <w:tcPr>
            <w:tcW w:w="53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企业对园区工作满意度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≥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95%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99</w:t>
            </w:r>
            <w:r w:rsidRPr="00E3459C">
              <w:rPr>
                <w:rFonts w:ascii="Times New Roman" w:eastAsia="宋体" w:hAnsi="Times New Roman" w:hint="eastAsia"/>
                <w:sz w:val="22"/>
                <w:szCs w:val="22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</w:rPr>
              <w:t>5</w:t>
            </w:r>
          </w:p>
        </w:tc>
      </w:tr>
      <w:tr w:rsidR="003C14C2" w:rsidTr="00BA520B">
        <w:trPr>
          <w:trHeight w:val="280"/>
          <w:jc w:val="center"/>
        </w:trPr>
        <w:tc>
          <w:tcPr>
            <w:tcW w:w="3549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综合评定等级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总</w:t>
            </w:r>
            <w:r>
              <w:rPr>
                <w:rFonts w:ascii="Times New Roman" w:eastAsia="宋体" w:hAnsi="Times New Roman"/>
                <w:sz w:val="22"/>
                <w:szCs w:val="22"/>
              </w:rPr>
              <w:t xml:space="preserve">  </w:t>
            </w:r>
            <w:r>
              <w:rPr>
                <w:rFonts w:ascii="Times New Roman" w:eastAsia="宋体" w:hAnsi="Times New Roman"/>
                <w:sz w:val="22"/>
                <w:szCs w:val="22"/>
              </w:rPr>
              <w:t>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100</w:t>
            </w:r>
          </w:p>
        </w:tc>
      </w:tr>
      <w:tr w:rsidR="003C14C2" w:rsidTr="00BA520B">
        <w:trPr>
          <w:trHeight w:val="419"/>
          <w:jc w:val="center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00" w:lineRule="exac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说明及建议</w:t>
            </w:r>
          </w:p>
        </w:tc>
        <w:tc>
          <w:tcPr>
            <w:tcW w:w="423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下年度专项资金保留或取消建议意见</w:t>
            </w:r>
          </w:p>
        </w:tc>
        <w:tc>
          <w:tcPr>
            <w:tcW w:w="5020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保留</w:t>
            </w:r>
          </w:p>
        </w:tc>
      </w:tr>
      <w:tr w:rsidR="003C14C2" w:rsidTr="00BA520B">
        <w:trPr>
          <w:trHeight w:val="431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偏差原因及分析</w:t>
            </w:r>
          </w:p>
        </w:tc>
        <w:tc>
          <w:tcPr>
            <w:tcW w:w="5020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/>
                <w:sz w:val="22"/>
                <w:szCs w:val="22"/>
              </w:rPr>
              <w:t>改进措施</w:t>
            </w:r>
          </w:p>
        </w:tc>
      </w:tr>
      <w:tr w:rsidR="003C14C2" w:rsidTr="00BA520B">
        <w:trPr>
          <w:trHeight w:val="443"/>
          <w:jc w:val="center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无</w:t>
            </w:r>
          </w:p>
        </w:tc>
        <w:tc>
          <w:tcPr>
            <w:tcW w:w="5020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14C2" w:rsidRDefault="003C14C2" w:rsidP="00BA520B">
            <w:pPr>
              <w:pStyle w:val="a7"/>
              <w:spacing w:beforeAutospacing="0" w:afterAutospacing="0" w:line="384" w:lineRule="atLeast"/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sz w:val="22"/>
                <w:szCs w:val="22"/>
              </w:rPr>
              <w:t>无</w:t>
            </w:r>
          </w:p>
        </w:tc>
      </w:tr>
    </w:tbl>
    <w:p w:rsidR="003C14C2" w:rsidRDefault="003C14C2" w:rsidP="003C14C2">
      <w:pPr>
        <w:pStyle w:val="a7"/>
        <w:widowControl/>
        <w:spacing w:beforeAutospacing="0" w:afterAutospacing="0" w:line="384" w:lineRule="atLeast"/>
        <w:jc w:val="center"/>
        <w:rPr>
          <w:rFonts w:ascii="Times New Roman" w:eastAsia="宋体" w:hAnsi="Times New Roman"/>
          <w:sz w:val="22"/>
          <w:szCs w:val="22"/>
        </w:rPr>
      </w:pPr>
      <w:r>
        <w:rPr>
          <w:rFonts w:ascii="Times New Roman" w:eastAsia="宋体" w:hAnsi="Times New Roman"/>
          <w:sz w:val="22"/>
          <w:szCs w:val="22"/>
        </w:rPr>
        <w:t>（</w:t>
      </w:r>
      <w:r>
        <w:rPr>
          <w:rFonts w:ascii="Times New Roman" w:eastAsia="宋体" w:hAnsi="Times New Roman" w:hint="eastAsia"/>
          <w:sz w:val="22"/>
          <w:szCs w:val="22"/>
        </w:rPr>
        <w:t>2022</w:t>
      </w:r>
      <w:r>
        <w:rPr>
          <w:rFonts w:ascii="Times New Roman" w:eastAsia="宋体" w:hAnsi="Times New Roman"/>
          <w:sz w:val="22"/>
          <w:szCs w:val="22"/>
        </w:rPr>
        <w:t>年度）</w:t>
      </w: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eastAsia="宋体" w:hAnsi="Times New Roman"/>
          <w:sz w:val="22"/>
          <w:szCs w:val="22"/>
        </w:rPr>
      </w:pPr>
    </w:p>
    <w:p w:rsidR="003C14C2" w:rsidRDefault="000D74DD" w:rsidP="000D74DD">
      <w:pPr>
        <w:pStyle w:val="a7"/>
        <w:widowControl/>
        <w:spacing w:beforeAutospacing="0" w:afterAutospacing="0" w:line="384" w:lineRule="atLeast"/>
        <w:ind w:leftChars="-337" w:hangingChars="322" w:hanging="708"/>
        <w:rPr>
          <w:rFonts w:ascii="Times New Roman" w:hAnsi="Times New Roman"/>
        </w:rPr>
      </w:pPr>
      <w:r>
        <w:rPr>
          <w:rFonts w:ascii="Times New Roman" w:eastAsia="宋体" w:hAnsi="Times New Roman" w:hint="eastAsia"/>
          <w:sz w:val="22"/>
          <w:szCs w:val="22"/>
        </w:rPr>
        <w:t xml:space="preserve"> </w:t>
      </w:r>
    </w:p>
    <w:p w:rsidR="003C14C2" w:rsidRDefault="003C14C2" w:rsidP="003C14C2">
      <w:pPr>
        <w:pStyle w:val="a7"/>
        <w:widowControl/>
        <w:spacing w:beforeAutospacing="0" w:afterAutospacing="0" w:line="384" w:lineRule="atLeast"/>
        <w:ind w:leftChars="-337" w:left="65" w:hangingChars="322" w:hanging="773"/>
        <w:rPr>
          <w:rFonts w:ascii="Times New Roman" w:hAnsi="Times New Roman"/>
        </w:rPr>
      </w:pPr>
    </w:p>
    <w:sectPr w:rsidR="003C14C2" w:rsidSect="00283342">
      <w:pgSz w:w="11906" w:h="16838"/>
      <w:pgMar w:top="1440" w:right="1133" w:bottom="1440" w:left="1800" w:header="851" w:footer="992" w:gutter="0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DFA" w:rsidRDefault="00043DFA">
      <w:r>
        <w:separator/>
      </w:r>
    </w:p>
  </w:endnote>
  <w:endnote w:type="continuationSeparator" w:id="0">
    <w:p w:rsidR="00043DFA" w:rsidRDefault="00043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DFA" w:rsidRDefault="00043DFA">
      <w:r>
        <w:separator/>
      </w:r>
    </w:p>
  </w:footnote>
  <w:footnote w:type="continuationSeparator" w:id="0">
    <w:p w:rsidR="00043DFA" w:rsidRDefault="00043D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Q5MTcyNGI3ZTkxMjg0ZDYzNGI0YmI0NDc2Mzg0ZmUifQ=="/>
  </w:docVars>
  <w:rsids>
    <w:rsidRoot w:val="7245723A"/>
    <w:rsid w:val="00043DFA"/>
    <w:rsid w:val="000A55A0"/>
    <w:rsid w:val="000D74DD"/>
    <w:rsid w:val="001A6FE3"/>
    <w:rsid w:val="00225460"/>
    <w:rsid w:val="00244AD4"/>
    <w:rsid w:val="00263C4E"/>
    <w:rsid w:val="0026683A"/>
    <w:rsid w:val="00283342"/>
    <w:rsid w:val="00293AC3"/>
    <w:rsid w:val="002C6DF9"/>
    <w:rsid w:val="002D0E95"/>
    <w:rsid w:val="00307573"/>
    <w:rsid w:val="003368BB"/>
    <w:rsid w:val="00351387"/>
    <w:rsid w:val="003C14C2"/>
    <w:rsid w:val="003C1797"/>
    <w:rsid w:val="003C70AD"/>
    <w:rsid w:val="003E302C"/>
    <w:rsid w:val="003F665F"/>
    <w:rsid w:val="00440F16"/>
    <w:rsid w:val="004D423B"/>
    <w:rsid w:val="0050492B"/>
    <w:rsid w:val="00512E99"/>
    <w:rsid w:val="00541466"/>
    <w:rsid w:val="005C2B24"/>
    <w:rsid w:val="005C4F35"/>
    <w:rsid w:val="00627F3F"/>
    <w:rsid w:val="0065503A"/>
    <w:rsid w:val="0066167C"/>
    <w:rsid w:val="00683D4D"/>
    <w:rsid w:val="00684286"/>
    <w:rsid w:val="007230D2"/>
    <w:rsid w:val="0076455A"/>
    <w:rsid w:val="0077788D"/>
    <w:rsid w:val="007D47E6"/>
    <w:rsid w:val="007F6C13"/>
    <w:rsid w:val="0083546C"/>
    <w:rsid w:val="00864CC6"/>
    <w:rsid w:val="00903CCF"/>
    <w:rsid w:val="0091173E"/>
    <w:rsid w:val="009345DA"/>
    <w:rsid w:val="00962B56"/>
    <w:rsid w:val="009F4741"/>
    <w:rsid w:val="00A318E5"/>
    <w:rsid w:val="00A47227"/>
    <w:rsid w:val="00B25AEA"/>
    <w:rsid w:val="00B802EF"/>
    <w:rsid w:val="00B8515C"/>
    <w:rsid w:val="00BC1D9C"/>
    <w:rsid w:val="00C43AD8"/>
    <w:rsid w:val="00CA11F7"/>
    <w:rsid w:val="00CA419B"/>
    <w:rsid w:val="00D05F21"/>
    <w:rsid w:val="00DB4E0F"/>
    <w:rsid w:val="00DE47B5"/>
    <w:rsid w:val="00E0523B"/>
    <w:rsid w:val="00E3459C"/>
    <w:rsid w:val="00E515E6"/>
    <w:rsid w:val="00E52489"/>
    <w:rsid w:val="00E82E61"/>
    <w:rsid w:val="00E87B67"/>
    <w:rsid w:val="00EC2F79"/>
    <w:rsid w:val="00ED642E"/>
    <w:rsid w:val="00EE1D37"/>
    <w:rsid w:val="00EF5B6C"/>
    <w:rsid w:val="00F70925"/>
    <w:rsid w:val="00FB05DE"/>
    <w:rsid w:val="010F7FF3"/>
    <w:rsid w:val="022E25FB"/>
    <w:rsid w:val="04B77E0D"/>
    <w:rsid w:val="054B35C3"/>
    <w:rsid w:val="099715CA"/>
    <w:rsid w:val="1A2E5948"/>
    <w:rsid w:val="1A607907"/>
    <w:rsid w:val="20C504C5"/>
    <w:rsid w:val="290D7B43"/>
    <w:rsid w:val="32214C3B"/>
    <w:rsid w:val="32823EE8"/>
    <w:rsid w:val="32F75DAA"/>
    <w:rsid w:val="35396712"/>
    <w:rsid w:val="35EB5C31"/>
    <w:rsid w:val="3DB12EEE"/>
    <w:rsid w:val="3E097DBF"/>
    <w:rsid w:val="3E6E61BD"/>
    <w:rsid w:val="40B808FD"/>
    <w:rsid w:val="484F02A2"/>
    <w:rsid w:val="48CA1C78"/>
    <w:rsid w:val="4A491FC0"/>
    <w:rsid w:val="4B683B54"/>
    <w:rsid w:val="50212524"/>
    <w:rsid w:val="50BA0E8E"/>
    <w:rsid w:val="51A24DA2"/>
    <w:rsid w:val="5430267A"/>
    <w:rsid w:val="564451BE"/>
    <w:rsid w:val="57D76DD3"/>
    <w:rsid w:val="59EA1BD8"/>
    <w:rsid w:val="59F24396"/>
    <w:rsid w:val="5ABD68DC"/>
    <w:rsid w:val="5C825851"/>
    <w:rsid w:val="60395667"/>
    <w:rsid w:val="63626220"/>
    <w:rsid w:val="6CD30313"/>
    <w:rsid w:val="701B67C5"/>
    <w:rsid w:val="7245723A"/>
    <w:rsid w:val="73830C7C"/>
    <w:rsid w:val="77356731"/>
    <w:rsid w:val="78D637D9"/>
    <w:rsid w:val="7E97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D64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"/>
    <w:uiPriority w:val="1"/>
    <w:qFormat/>
    <w:rsid w:val="00ED642E"/>
    <w:rPr>
      <w:rFonts w:ascii="宋体" w:eastAsia="宋体" w:hAnsi="宋体" w:cs="宋体"/>
      <w:sz w:val="32"/>
      <w:szCs w:val="32"/>
    </w:rPr>
  </w:style>
  <w:style w:type="paragraph" w:customStyle="1" w:styleId="1">
    <w:name w:val="正文首行缩进1"/>
    <w:basedOn w:val="a"/>
    <w:next w:val="a"/>
    <w:qFormat/>
    <w:rsid w:val="00ED642E"/>
    <w:pPr>
      <w:spacing w:after="120"/>
      <w:ind w:firstLineChars="100" w:firstLine="420"/>
    </w:pPr>
    <w:rPr>
      <w:rFonts w:hint="eastAsia"/>
      <w:szCs w:val="20"/>
    </w:rPr>
  </w:style>
  <w:style w:type="paragraph" w:styleId="a4">
    <w:name w:val="Normal Indent"/>
    <w:basedOn w:val="a"/>
    <w:qFormat/>
    <w:rsid w:val="00ED642E"/>
    <w:pPr>
      <w:ind w:firstLineChars="200" w:firstLine="420"/>
    </w:pPr>
    <w:rPr>
      <w:rFonts w:ascii="Times New Roman" w:hAnsi="Times New Roman"/>
    </w:rPr>
  </w:style>
  <w:style w:type="paragraph" w:styleId="a5">
    <w:name w:val="footer"/>
    <w:basedOn w:val="a"/>
    <w:qFormat/>
    <w:rsid w:val="00ED642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ED642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ED6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7">
    <w:name w:val="Normal (Web)"/>
    <w:basedOn w:val="a"/>
    <w:qFormat/>
    <w:rsid w:val="00ED642E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"/>
    <w:uiPriority w:val="1"/>
    <w:qFormat/>
    <w:rPr>
      <w:rFonts w:ascii="宋体" w:eastAsia="宋体" w:hAnsi="宋体" w:cs="宋体"/>
      <w:sz w:val="32"/>
      <w:szCs w:val="32"/>
    </w:rPr>
  </w:style>
  <w:style w:type="paragraph" w:customStyle="1" w:styleId="1">
    <w:name w:val="正文首行缩进1"/>
    <w:basedOn w:val="a"/>
    <w:next w:val="a"/>
    <w:qFormat/>
    <w:pPr>
      <w:spacing w:after="120"/>
      <w:ind w:firstLineChars="100" w:firstLine="420"/>
    </w:pPr>
    <w:rPr>
      <w:rFonts w:hint="eastAsia"/>
      <w:szCs w:val="20"/>
    </w:rPr>
  </w:style>
  <w:style w:type="paragraph" w:styleId="a4">
    <w:name w:val="Normal Indent"/>
    <w:basedOn w:val="a"/>
    <w:qFormat/>
    <w:pPr>
      <w:ind w:firstLineChars="200" w:firstLine="420"/>
    </w:pPr>
    <w:rPr>
      <w:rFonts w:ascii="Times New Roman" w:hAnsi="Times New Roma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DB8EB5-E0E6-4CFB-BE3A-629391D7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21</Pages>
  <Words>1569</Words>
  <Characters>8948</Characters>
  <Application>Microsoft Office Word</Application>
  <DocSecurity>0</DocSecurity>
  <Lines>74</Lines>
  <Paragraphs>20</Paragraphs>
  <ScaleCrop>false</ScaleCrop>
  <Company/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cp:lastPrinted>2023-06-15T01:04:00Z</cp:lastPrinted>
  <dcterms:created xsi:type="dcterms:W3CDTF">2023-06-05T02:31:00Z</dcterms:created>
  <dcterms:modified xsi:type="dcterms:W3CDTF">2023-10-31T11:47:00Z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4DA7DDAC30B84643BB83984FF7753B29_13</vt:lpwstr>
  </property>
</Properties>
</file>