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jc w:val="center"/>
        <w:rPr>
          <w:rFonts w:hint="default" w:ascii="Calibri" w:hAnsi="Calibri" w:cs="Calibri"/>
          <w:sz w:val="21"/>
          <w:szCs w:val="21"/>
        </w:rPr>
      </w:pPr>
      <w:r>
        <w:rPr>
          <w:rFonts w:ascii="方正大标宋简体" w:hAnsi="方正大标宋简体" w:eastAsia="方正大标宋简体" w:cs="方正大标宋简体"/>
          <w:i w:val="0"/>
          <w:iCs w:val="0"/>
          <w:caps w:val="0"/>
          <w:color w:val="000000"/>
          <w:spacing w:val="0"/>
          <w:sz w:val="44"/>
          <w:szCs w:val="44"/>
        </w:rPr>
        <w:t>202</w:t>
      </w:r>
      <w:r>
        <w:rPr>
          <w:rFonts w:hint="eastAsia" w:ascii="方正大标宋简体" w:hAnsi="方正大标宋简体" w:eastAsia="方正大标宋简体" w:cs="方正大标宋简体"/>
          <w:i w:val="0"/>
          <w:iCs w:val="0"/>
          <w:caps w:val="0"/>
          <w:color w:val="000000"/>
          <w:spacing w:val="0"/>
          <w:sz w:val="44"/>
          <w:szCs w:val="44"/>
          <w:lang w:val="en-US" w:eastAsia="zh-CN"/>
        </w:rPr>
        <w:t>3</w:t>
      </w:r>
      <w:r>
        <w:rPr>
          <w:rFonts w:ascii="方正大标宋简体" w:hAnsi="方正大标宋简体" w:eastAsia="方正大标宋简体" w:cs="方正大标宋简体"/>
          <w:i w:val="0"/>
          <w:iCs w:val="0"/>
          <w:caps w:val="0"/>
          <w:color w:val="000000"/>
          <w:spacing w:val="0"/>
          <w:sz w:val="44"/>
          <w:szCs w:val="44"/>
        </w:rPr>
        <w:t>年度部门整体支出绩效评价报告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ascii="仿_GB2312" w:hAnsi="仿_GB2312" w:eastAsia="仿_GB2312" w:cs="仿_GB2312"/>
          <w:i w:val="0"/>
          <w:iCs w:val="0"/>
          <w:caps w:val="0"/>
          <w:color w:val="000000"/>
          <w:spacing w:val="0"/>
          <w:sz w:val="32"/>
          <w:szCs w:val="32"/>
        </w:rPr>
        <w:t>为全面实施预算绩效管理，进一步加强财政支出管理，强化部门支出责任，切实提高财政资金使用效益和管理水平，根据《中华人民共和国预算法》《中华人民共和国预算法实施条例》《中共中央</w:t>
      </w:r>
      <w:r>
        <w:rPr>
          <w:rFonts w:hint="default" w:ascii="Times New Roman" w:hAnsi="Times New Roman" w:eastAsia="微软雅黑" w:cs="Times New Roman"/>
          <w:i w:val="0"/>
          <w:iCs w:val="0"/>
          <w:caps w:val="0"/>
          <w:color w:val="000000"/>
          <w:spacing w:val="0"/>
          <w:sz w:val="32"/>
          <w:szCs w:val="32"/>
        </w:rPr>
        <w:t> </w:t>
      </w:r>
      <w:r>
        <w:rPr>
          <w:rFonts w:hint="default" w:ascii="仿_GB2312" w:hAnsi="仿_GB2312" w:eastAsia="仿_GB2312" w:cs="仿_GB2312"/>
          <w:i w:val="0"/>
          <w:iCs w:val="0"/>
          <w:caps w:val="0"/>
          <w:color w:val="000000"/>
          <w:spacing w:val="0"/>
          <w:sz w:val="32"/>
          <w:szCs w:val="32"/>
        </w:rPr>
        <w:t>国务院关于全面实施预算绩效管理的意见》（中发〔</w:t>
      </w:r>
      <w:r>
        <w:rPr>
          <w:rFonts w:hint="default" w:ascii="Times New Roman" w:hAnsi="Times New Roman" w:eastAsia="微软雅黑" w:cs="Times New Roman"/>
          <w:i w:val="0"/>
          <w:iCs w:val="0"/>
          <w:caps w:val="0"/>
          <w:color w:val="000000"/>
          <w:spacing w:val="0"/>
          <w:sz w:val="32"/>
          <w:szCs w:val="32"/>
        </w:rPr>
        <w:t>2018</w:t>
      </w:r>
      <w:r>
        <w:rPr>
          <w:rFonts w:hint="default" w:ascii="仿_GB2312" w:hAnsi="仿_GB2312" w:eastAsia="仿_GB2312" w:cs="仿_GB2312"/>
          <w:i w:val="0"/>
          <w:iCs w:val="0"/>
          <w:caps w:val="0"/>
          <w:color w:val="000000"/>
          <w:spacing w:val="0"/>
          <w:sz w:val="32"/>
          <w:szCs w:val="32"/>
        </w:rPr>
        <w:t>〕</w:t>
      </w:r>
      <w:r>
        <w:rPr>
          <w:rFonts w:hint="default" w:ascii="Times New Roman" w:hAnsi="Times New Roman" w:eastAsia="微软雅黑" w:cs="Times New Roman"/>
          <w:i w:val="0"/>
          <w:iCs w:val="0"/>
          <w:caps w:val="0"/>
          <w:color w:val="000000"/>
          <w:spacing w:val="0"/>
          <w:sz w:val="32"/>
          <w:szCs w:val="32"/>
        </w:rPr>
        <w:t>34</w:t>
      </w:r>
      <w:r>
        <w:rPr>
          <w:rFonts w:hint="default" w:ascii="仿_GB2312" w:hAnsi="仿_GB2312" w:eastAsia="仿_GB2312" w:cs="仿_GB2312"/>
          <w:i w:val="0"/>
          <w:iCs w:val="0"/>
          <w:caps w:val="0"/>
          <w:color w:val="000000"/>
          <w:spacing w:val="0"/>
          <w:sz w:val="32"/>
          <w:szCs w:val="32"/>
        </w:rPr>
        <w:t>号）、《中共湖南省委办公厅 湖南省人民政府办公厅关于全面实施预算绩效管理的实施意见》（湘办发〔</w:t>
      </w:r>
      <w:r>
        <w:rPr>
          <w:rFonts w:hint="default" w:ascii="Times New Roman" w:hAnsi="Times New Roman" w:eastAsia="微软雅黑" w:cs="Times New Roman"/>
          <w:i w:val="0"/>
          <w:iCs w:val="0"/>
          <w:caps w:val="0"/>
          <w:color w:val="000000"/>
          <w:spacing w:val="0"/>
          <w:sz w:val="32"/>
          <w:szCs w:val="32"/>
        </w:rPr>
        <w:t>2019</w:t>
      </w:r>
      <w:r>
        <w:rPr>
          <w:rFonts w:hint="default" w:ascii="仿_GB2312" w:hAnsi="仿_GB2312" w:eastAsia="仿_GB2312" w:cs="仿_GB2312"/>
          <w:i w:val="0"/>
          <w:iCs w:val="0"/>
          <w:caps w:val="0"/>
          <w:color w:val="000000"/>
          <w:spacing w:val="0"/>
          <w:sz w:val="32"/>
          <w:szCs w:val="32"/>
        </w:rPr>
        <w:t>〕</w:t>
      </w:r>
      <w:r>
        <w:rPr>
          <w:rFonts w:hint="default" w:ascii="Times New Roman" w:hAnsi="Times New Roman" w:eastAsia="微软雅黑" w:cs="Times New Roman"/>
          <w:i w:val="0"/>
          <w:iCs w:val="0"/>
          <w:caps w:val="0"/>
          <w:color w:val="000000"/>
          <w:spacing w:val="0"/>
          <w:sz w:val="32"/>
          <w:szCs w:val="32"/>
        </w:rPr>
        <w:t>10</w:t>
      </w:r>
      <w:r>
        <w:rPr>
          <w:rFonts w:hint="default" w:ascii="仿_GB2312" w:hAnsi="仿_GB2312" w:eastAsia="仿_GB2312" w:cs="仿_GB2312"/>
          <w:i w:val="0"/>
          <w:iCs w:val="0"/>
          <w:caps w:val="0"/>
          <w:color w:val="000000"/>
          <w:spacing w:val="0"/>
          <w:sz w:val="32"/>
          <w:szCs w:val="32"/>
        </w:rPr>
        <w:t>号）等文件精神，我单位对</w:t>
      </w:r>
      <w:r>
        <w:rPr>
          <w:rFonts w:hint="default" w:ascii="Times New Roman" w:hAnsi="Times New Roman" w:eastAsia="仿宋" w:cs="Times New Roman"/>
          <w:i w:val="0"/>
          <w:iCs w:val="0"/>
          <w:caps w:val="0"/>
          <w:color w:val="000000"/>
          <w:spacing w:val="0"/>
          <w:sz w:val="32"/>
          <w:szCs w:val="32"/>
        </w:rPr>
        <w:t>202</w:t>
      </w:r>
      <w:r>
        <w:rPr>
          <w:rFonts w:hint="eastAsia" w:ascii="Times New Roman" w:hAnsi="Times New Roman" w:eastAsia="仿宋" w:cs="Times New Roman"/>
          <w:i w:val="0"/>
          <w:iCs w:val="0"/>
          <w:caps w:val="0"/>
          <w:color w:val="000000"/>
          <w:spacing w:val="0"/>
          <w:sz w:val="32"/>
          <w:szCs w:val="32"/>
          <w:lang w:val="en-US" w:eastAsia="zh-CN"/>
        </w:rPr>
        <w:t>3</w:t>
      </w:r>
      <w:r>
        <w:rPr>
          <w:rFonts w:hint="default" w:ascii="仿_GB2312" w:hAnsi="仿_GB2312" w:eastAsia="仿_GB2312" w:cs="仿_GB2312"/>
          <w:i w:val="0"/>
          <w:iCs w:val="0"/>
          <w:caps w:val="0"/>
          <w:color w:val="000000"/>
          <w:spacing w:val="0"/>
          <w:sz w:val="32"/>
          <w:szCs w:val="32"/>
        </w:rPr>
        <w:t>年部门整体支出进行了绩效自评，现将绩效自评情况报告如下：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一、部门、单位基本情况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ascii="楷体" w:hAnsi="楷体" w:eastAsia="楷体" w:cs="楷体"/>
          <w:b/>
          <w:bCs/>
          <w:i w:val="0"/>
          <w:iCs w:val="0"/>
          <w:caps w:val="0"/>
          <w:color w:val="000000"/>
          <w:spacing w:val="0"/>
          <w:sz w:val="32"/>
          <w:szCs w:val="32"/>
        </w:rPr>
        <w:t>（一）机构设置情况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临武县人力资源和社会保障局是全额拨款的行政单位，内设机构包括：</w:t>
      </w:r>
      <w:r>
        <w:rPr>
          <w:rFonts w:hint="default" w:ascii="Times New Roman" w:hAnsi="Times New Roman" w:eastAsia="仿宋" w:cs="Times New Roman"/>
          <w:i w:val="0"/>
          <w:iCs w:val="0"/>
          <w:caps w:val="0"/>
          <w:color w:val="000000"/>
          <w:spacing w:val="0"/>
          <w:sz w:val="32"/>
          <w:szCs w:val="32"/>
        </w:rPr>
        <w:t>7</w:t>
      </w:r>
      <w:r>
        <w:rPr>
          <w:rFonts w:hint="eastAsia" w:ascii="仿宋" w:hAnsi="仿宋" w:eastAsia="仿宋" w:cs="仿宋"/>
          <w:i w:val="0"/>
          <w:iCs w:val="0"/>
          <w:caps w:val="0"/>
          <w:color w:val="000000"/>
          <w:spacing w:val="0"/>
          <w:sz w:val="32"/>
          <w:szCs w:val="32"/>
        </w:rPr>
        <w:t>个职能股室为办公室、就业促进与劳动关系股（行政审批股）、事业单位人事管理股、专业技术人员管理与专家工作股、工资福利股、社会保障股、社会保险基金监管股（财会室）；</w:t>
      </w:r>
      <w:r>
        <w:rPr>
          <w:rFonts w:hint="default" w:ascii="Times New Roman" w:hAnsi="Times New Roman" w:eastAsia="仿宋" w:cs="Times New Roman"/>
          <w:i w:val="0"/>
          <w:iCs w:val="0"/>
          <w:caps w:val="0"/>
          <w:color w:val="000000"/>
          <w:spacing w:val="0"/>
          <w:sz w:val="32"/>
          <w:szCs w:val="32"/>
        </w:rPr>
        <w:t>2</w:t>
      </w:r>
      <w:r>
        <w:rPr>
          <w:rFonts w:hint="eastAsia" w:ascii="仿宋" w:hAnsi="仿宋" w:eastAsia="仿宋" w:cs="仿宋"/>
          <w:i w:val="0"/>
          <w:iCs w:val="0"/>
          <w:caps w:val="0"/>
          <w:color w:val="000000"/>
          <w:spacing w:val="0"/>
          <w:sz w:val="32"/>
          <w:szCs w:val="32"/>
        </w:rPr>
        <w:t>个副科级二级机构为社会保险服务中心、就业服务中心；</w:t>
      </w:r>
      <w:r>
        <w:rPr>
          <w:rFonts w:hint="default" w:ascii="Times New Roman" w:hAnsi="Times New Roman" w:eastAsia="仿宋" w:cs="Times New Roman"/>
          <w:i w:val="0"/>
          <w:iCs w:val="0"/>
          <w:caps w:val="0"/>
          <w:color w:val="000000"/>
          <w:spacing w:val="0"/>
          <w:sz w:val="32"/>
          <w:szCs w:val="32"/>
        </w:rPr>
        <w:t>4</w:t>
      </w:r>
      <w:r>
        <w:rPr>
          <w:rFonts w:hint="eastAsia" w:ascii="仿宋" w:hAnsi="仿宋" w:eastAsia="仿宋" w:cs="仿宋"/>
          <w:i w:val="0"/>
          <w:iCs w:val="0"/>
          <w:caps w:val="0"/>
          <w:color w:val="000000"/>
          <w:spacing w:val="0"/>
          <w:sz w:val="32"/>
          <w:szCs w:val="32"/>
        </w:rPr>
        <w:t>个股级二级机构为人力资源和社会保障事务中心（社保卡服务中心）、工伤保险服务中心、劳动保障监察大队、劳动人事争议仲裁院；以及挂靠的临武县“三支一扶”协调管理办公室。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根据部门预算口径可划分为</w:t>
      </w:r>
      <w:r>
        <w:rPr>
          <w:rFonts w:hint="default" w:ascii="Times New Roman" w:hAnsi="Times New Roman" w:eastAsia="仿宋" w:cs="Times New Roman"/>
          <w:i w:val="0"/>
          <w:iCs w:val="0"/>
          <w:caps w:val="0"/>
          <w:color w:val="000000"/>
          <w:spacing w:val="0"/>
          <w:sz w:val="32"/>
          <w:szCs w:val="32"/>
        </w:rPr>
        <w:t>5</w:t>
      </w:r>
      <w:r>
        <w:rPr>
          <w:rFonts w:hint="eastAsia" w:ascii="仿宋" w:hAnsi="仿宋" w:eastAsia="仿宋" w:cs="仿宋"/>
          <w:i w:val="0"/>
          <w:iCs w:val="0"/>
          <w:caps w:val="0"/>
          <w:color w:val="000000"/>
          <w:spacing w:val="0"/>
          <w:sz w:val="32"/>
          <w:szCs w:val="32"/>
        </w:rPr>
        <w:t>个财务独立核算单位：临武县人力资源和社会保障局本级（含人力资源和社会保障事务中心（社保卡服务中心）、工伤保险服务中心及临武县“三支一扶”协调管理办公室）、临武县社会保险服务中心、临武县就业服务中心、临武县劳动保障监察大队、临武县劳动人事争议仲裁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（二）人员编制情况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我单位核定编制</w:t>
      </w:r>
      <w:r>
        <w:rPr>
          <w:rFonts w:hint="default" w:ascii="Times New Roman" w:hAnsi="Times New Roman" w:eastAsia="仿宋" w:cs="Times New Roman"/>
          <w:i w:val="0"/>
          <w:iCs w:val="0"/>
          <w:caps w:val="0"/>
          <w:color w:val="000000"/>
          <w:spacing w:val="0"/>
          <w:sz w:val="32"/>
          <w:szCs w:val="32"/>
        </w:rPr>
        <w:t>31</w:t>
      </w:r>
      <w:r>
        <w:rPr>
          <w:rFonts w:hint="eastAsia" w:ascii="仿宋" w:hAnsi="仿宋" w:eastAsia="仿宋" w:cs="仿宋"/>
          <w:i w:val="0"/>
          <w:iCs w:val="0"/>
          <w:caps w:val="0"/>
          <w:color w:val="000000"/>
          <w:spacing w:val="0"/>
          <w:sz w:val="32"/>
          <w:szCs w:val="32"/>
        </w:rPr>
        <w:t>名，其中行政编制</w:t>
      </w:r>
      <w:r>
        <w:rPr>
          <w:rFonts w:hint="default" w:ascii="Times New Roman" w:hAnsi="Times New Roman" w:eastAsia="仿宋" w:cs="Times New Roman"/>
          <w:i w:val="0"/>
          <w:iCs w:val="0"/>
          <w:caps w:val="0"/>
          <w:color w:val="000000"/>
          <w:spacing w:val="0"/>
          <w:sz w:val="32"/>
          <w:szCs w:val="32"/>
        </w:rPr>
        <w:t>12</w:t>
      </w:r>
      <w:r>
        <w:rPr>
          <w:rFonts w:hint="eastAsia" w:ascii="仿宋" w:hAnsi="仿宋" w:eastAsia="仿宋" w:cs="仿宋"/>
          <w:i w:val="0"/>
          <w:iCs w:val="0"/>
          <w:caps w:val="0"/>
          <w:color w:val="000000"/>
          <w:spacing w:val="0"/>
          <w:sz w:val="32"/>
          <w:szCs w:val="32"/>
        </w:rPr>
        <w:t>名，全拨事业编制</w:t>
      </w:r>
      <w:r>
        <w:rPr>
          <w:rFonts w:hint="default" w:ascii="Times New Roman" w:hAnsi="Times New Roman" w:eastAsia="仿宋" w:cs="Times New Roman"/>
          <w:i w:val="0"/>
          <w:iCs w:val="0"/>
          <w:caps w:val="0"/>
          <w:color w:val="000000"/>
          <w:spacing w:val="0"/>
          <w:sz w:val="32"/>
          <w:szCs w:val="32"/>
        </w:rPr>
        <w:t>11</w:t>
      </w:r>
      <w:r>
        <w:rPr>
          <w:rFonts w:hint="eastAsia" w:ascii="仿宋" w:hAnsi="仿宋" w:eastAsia="仿宋" w:cs="仿宋"/>
          <w:i w:val="0"/>
          <w:iCs w:val="0"/>
          <w:caps w:val="0"/>
          <w:color w:val="000000"/>
          <w:spacing w:val="0"/>
          <w:sz w:val="32"/>
          <w:szCs w:val="32"/>
        </w:rPr>
        <w:t>名，自收自支事业编制</w:t>
      </w:r>
      <w:r>
        <w:rPr>
          <w:rFonts w:hint="default" w:ascii="Times New Roman" w:hAnsi="Times New Roman" w:eastAsia="仿宋" w:cs="Times New Roman"/>
          <w:i w:val="0"/>
          <w:iCs w:val="0"/>
          <w:caps w:val="0"/>
          <w:color w:val="000000"/>
          <w:spacing w:val="0"/>
          <w:sz w:val="32"/>
          <w:szCs w:val="32"/>
        </w:rPr>
        <w:t>8</w:t>
      </w:r>
      <w:r>
        <w:rPr>
          <w:rFonts w:hint="eastAsia" w:ascii="仿宋" w:hAnsi="仿宋" w:eastAsia="仿宋" w:cs="仿宋"/>
          <w:i w:val="0"/>
          <w:iCs w:val="0"/>
          <w:caps w:val="0"/>
          <w:color w:val="000000"/>
          <w:spacing w:val="0"/>
          <w:sz w:val="32"/>
          <w:szCs w:val="32"/>
        </w:rPr>
        <w:t>名。部门预算实有人员</w:t>
      </w:r>
      <w:r>
        <w:rPr>
          <w:rFonts w:hint="eastAsia" w:ascii="Times New Roman" w:hAnsi="Times New Roman" w:eastAsia="仿宋" w:cs="Times New Roman"/>
          <w:i w:val="0"/>
          <w:iCs w:val="0"/>
          <w:caps w:val="0"/>
          <w:color w:val="000000"/>
          <w:spacing w:val="0"/>
          <w:sz w:val="32"/>
          <w:szCs w:val="32"/>
          <w:lang w:val="en-US" w:eastAsia="zh-CN"/>
        </w:rPr>
        <w:t>65</w:t>
      </w:r>
      <w:r>
        <w:rPr>
          <w:rFonts w:hint="eastAsia" w:ascii="仿宋" w:hAnsi="仿宋" w:eastAsia="仿宋" w:cs="仿宋"/>
          <w:i w:val="0"/>
          <w:iCs w:val="0"/>
          <w:caps w:val="0"/>
          <w:color w:val="000000"/>
          <w:spacing w:val="0"/>
          <w:sz w:val="32"/>
          <w:szCs w:val="32"/>
        </w:rPr>
        <w:t>人，其中在职人员</w:t>
      </w:r>
      <w:r>
        <w:rPr>
          <w:rFonts w:hint="eastAsia" w:ascii="Times New Roman" w:hAnsi="Times New Roman" w:eastAsia="仿宋" w:cs="Times New Roman"/>
          <w:i w:val="0"/>
          <w:iCs w:val="0"/>
          <w:caps w:val="0"/>
          <w:color w:val="000000"/>
          <w:spacing w:val="0"/>
          <w:sz w:val="32"/>
          <w:szCs w:val="32"/>
          <w:lang w:val="en-US" w:eastAsia="zh-CN"/>
        </w:rPr>
        <w:t>39</w:t>
      </w:r>
      <w:r>
        <w:rPr>
          <w:rFonts w:hint="eastAsia" w:ascii="仿宋" w:hAnsi="仿宋" w:eastAsia="仿宋" w:cs="仿宋"/>
          <w:i w:val="0"/>
          <w:iCs w:val="0"/>
          <w:caps w:val="0"/>
          <w:color w:val="000000"/>
          <w:spacing w:val="0"/>
          <w:sz w:val="32"/>
          <w:szCs w:val="32"/>
        </w:rPr>
        <w:t>人：局机关</w:t>
      </w:r>
      <w:r>
        <w:rPr>
          <w:rFonts w:hint="default" w:ascii="Times New Roman" w:hAnsi="Times New Roman" w:eastAsia="仿宋" w:cs="Times New Roman"/>
          <w:i w:val="0"/>
          <w:iCs w:val="0"/>
          <w:caps w:val="0"/>
          <w:color w:val="000000"/>
          <w:spacing w:val="0"/>
          <w:sz w:val="32"/>
          <w:szCs w:val="32"/>
        </w:rPr>
        <w:t>1</w:t>
      </w:r>
      <w:r>
        <w:rPr>
          <w:rFonts w:hint="eastAsia" w:ascii="Times New Roman" w:hAnsi="Times New Roman" w:eastAsia="仿宋" w:cs="Times New Roman"/>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人，事务中心</w:t>
      </w:r>
      <w:r>
        <w:rPr>
          <w:rFonts w:hint="eastAsia" w:ascii="Times New Roman" w:hAnsi="Times New Roman" w:eastAsia="仿宋" w:cs="Times New Roman"/>
          <w:i w:val="0"/>
          <w:iCs w:val="0"/>
          <w:caps w:val="0"/>
          <w:color w:val="000000"/>
          <w:spacing w:val="0"/>
          <w:sz w:val="32"/>
          <w:szCs w:val="32"/>
          <w:lang w:val="en-US" w:eastAsia="zh-CN"/>
        </w:rPr>
        <w:t>16</w:t>
      </w:r>
      <w:r>
        <w:rPr>
          <w:rFonts w:hint="eastAsia" w:ascii="仿宋" w:hAnsi="仿宋" w:eastAsia="仿宋" w:cs="仿宋"/>
          <w:i w:val="0"/>
          <w:iCs w:val="0"/>
          <w:caps w:val="0"/>
          <w:color w:val="000000"/>
          <w:spacing w:val="0"/>
          <w:sz w:val="32"/>
          <w:szCs w:val="32"/>
        </w:rPr>
        <w:t>人（含自收自支人员</w:t>
      </w:r>
      <w:r>
        <w:rPr>
          <w:rFonts w:hint="default" w:ascii="Times New Roman" w:hAnsi="Times New Roman" w:eastAsia="仿宋" w:cs="Times New Roman"/>
          <w:i w:val="0"/>
          <w:iCs w:val="0"/>
          <w:caps w:val="0"/>
          <w:color w:val="000000"/>
          <w:spacing w:val="0"/>
          <w:sz w:val="32"/>
          <w:szCs w:val="32"/>
        </w:rPr>
        <w:t>8</w:t>
      </w:r>
      <w:r>
        <w:rPr>
          <w:rFonts w:hint="eastAsia" w:ascii="仿宋" w:hAnsi="仿宋" w:eastAsia="仿宋" w:cs="仿宋"/>
          <w:i w:val="0"/>
          <w:iCs w:val="0"/>
          <w:caps w:val="0"/>
          <w:color w:val="000000"/>
          <w:spacing w:val="0"/>
          <w:sz w:val="32"/>
          <w:szCs w:val="32"/>
        </w:rPr>
        <w:t>人），工伤保险服务中心</w:t>
      </w:r>
      <w:r>
        <w:rPr>
          <w:rFonts w:hint="default" w:ascii="Times New Roman" w:hAnsi="Times New Roman" w:eastAsia="仿宋" w:cs="Times New Roman"/>
          <w:i w:val="0"/>
          <w:iCs w:val="0"/>
          <w:caps w:val="0"/>
          <w:color w:val="000000"/>
          <w:spacing w:val="0"/>
          <w:sz w:val="32"/>
          <w:szCs w:val="32"/>
        </w:rPr>
        <w:t>4</w:t>
      </w:r>
      <w:r>
        <w:rPr>
          <w:rFonts w:hint="eastAsia" w:ascii="仿宋" w:hAnsi="仿宋" w:eastAsia="仿宋" w:cs="仿宋"/>
          <w:i w:val="0"/>
          <w:iCs w:val="0"/>
          <w:caps w:val="0"/>
          <w:color w:val="000000"/>
          <w:spacing w:val="0"/>
          <w:sz w:val="32"/>
          <w:szCs w:val="32"/>
        </w:rPr>
        <w:t>人，三支一扶</w:t>
      </w:r>
      <w:r>
        <w:rPr>
          <w:rFonts w:hint="eastAsia" w:ascii="Times New Roman" w:hAnsi="Times New Roman" w:eastAsia="仿宋" w:cs="Times New Roman"/>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rPr>
        <w:t>人，临聘人员</w:t>
      </w:r>
      <w:r>
        <w:rPr>
          <w:rFonts w:hint="eastAsia" w:ascii="Times New Roman" w:hAnsi="Times New Roman" w:eastAsia="仿宋" w:cs="Times New Roman"/>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名；退休人员</w:t>
      </w:r>
      <w:r>
        <w:rPr>
          <w:rFonts w:hint="default" w:ascii="Times New Roman" w:hAnsi="Times New Roman" w:eastAsia="仿宋" w:cs="Times New Roman"/>
          <w:i w:val="0"/>
          <w:iCs w:val="0"/>
          <w:caps w:val="0"/>
          <w:color w:val="000000"/>
          <w:spacing w:val="0"/>
          <w:sz w:val="32"/>
          <w:szCs w:val="32"/>
        </w:rPr>
        <w:t>26</w:t>
      </w:r>
      <w:r>
        <w:rPr>
          <w:rFonts w:hint="eastAsia" w:ascii="仿宋" w:hAnsi="仿宋" w:eastAsia="仿宋" w:cs="仿宋"/>
          <w:i w:val="0"/>
          <w:iCs w:val="0"/>
          <w:caps w:val="0"/>
          <w:color w:val="000000"/>
          <w:spacing w:val="0"/>
          <w:sz w:val="32"/>
          <w:szCs w:val="32"/>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（三）主要职能职责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1、贯彻执行中央、省、市有关于人力资源和社会保障事业发展政策、规划、法律法规。拟订全县人力资源和社会保障事业发展政策、规划，起草全县人力资源和社会保障规范性文件并组织实施。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2、推进全县人力资源市场和人力资源服务业发展，促进人力资源合理流动、有效配置。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3、负责全县促进就业工作。统筹城乡的就业发展，完善公共就业创业服务体系;统筹组织、指导城乡劳动者职业技能培训和就业援助工作;牵头促进高校毕业生就业。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4、统筹推进建立全县覆盖城乡的多层次社会保障体系。组织实施养老、失业、工伤等社会保险及其补充保险政策和标准;贯彻落实国家、省、市养老保险全国统筹办法和统一的养老、失业、工伤保险关系转续办法。组织实施养老、失业、工伤等社会保险及其补充保险基金管理和监督。编制相关社会保险基金预决算草案。会同有关部门实施全民参保计划并建立全县统一的社会保险公共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5、负责全县就业、失业和相关社会保险基金预测预警和信息引导，拟订应对预案，实施预防、调节和控制，保持就业形势稳定和相关社会保险基金总体收支平衡。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6、组织实施劳动人事争议调解仲裁和劳动关系管理，完善劳动关系协商协调机制，监督职工工作时间、休息休假和假期制度以及消除非法使用童工政策和女工、未成年工特殊劳动保护政策执行情况。组织实施劳动保障监察，协调劳动者维权工作，依法查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7、牵头推进全县深化职称制度改革，组织实施专业技术人员管理、继续教育管理等政策，负责高层次专业技术人才选拔、培养工作和吸引留学人员来临(回临)工作或定居的有关工作。组织拟订并推行技能人才培养、评价、使用和激励制度。完善职业资格制度，健全职业技能多元化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8、会同有关部门组织实施全县事业单位人事制度改革以及事业单位工作人员和机关工勤人员管理，按照管理权限负责规范事业单位岗位设置、公开招聘、聘用合同等人事综合管理工作。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9、会同有关部门组织实施事业单位人员工资收入分配政策、企事业单位人员福利和离退休政策，建立和落实有关保障机制。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10、会同有关部门指导和管理全县农民工工作，协调解决重点难点问题，维护农民工合法权益。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11、会同有关部门组织实施国家、省、市、县表彰奖励制度，根据授权承办以县委、县政府名义开展的表彰奖励活动，承担全县评比达标表彰工作。协助有关部门组织实施政府绩效评估工作。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12、完成县委、县政府交办的其他任务。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（四）绩效目标设定情况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1</w:t>
      </w:r>
      <w:r>
        <w:rPr>
          <w:rFonts w:hint="eastAsia" w:ascii="仿宋" w:hAnsi="仿宋" w:eastAsia="仿宋" w:cs="仿宋"/>
          <w:i w:val="0"/>
          <w:iCs w:val="0"/>
          <w:caps w:val="0"/>
          <w:color w:val="000000"/>
          <w:spacing w:val="0"/>
          <w:sz w:val="32"/>
          <w:szCs w:val="32"/>
        </w:rPr>
        <w:t>、加强对专业技术人员的继续教育，提高专业技术人员工作能力和水平；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2</w:t>
      </w:r>
      <w:r>
        <w:rPr>
          <w:rFonts w:hint="eastAsia" w:ascii="仿宋" w:hAnsi="仿宋" w:eastAsia="仿宋" w:cs="仿宋"/>
          <w:i w:val="0"/>
          <w:iCs w:val="0"/>
          <w:caps w:val="0"/>
          <w:color w:val="000000"/>
          <w:spacing w:val="0"/>
          <w:sz w:val="32"/>
          <w:szCs w:val="32"/>
        </w:rPr>
        <w:t>、积极探索创新创业带动就业工作机制，实现就业创业工作新突破，助推全县经济发展；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3</w:t>
      </w:r>
      <w:r>
        <w:rPr>
          <w:rFonts w:hint="eastAsia" w:ascii="仿宋" w:hAnsi="仿宋" w:eastAsia="仿宋" w:cs="仿宋"/>
          <w:i w:val="0"/>
          <w:iCs w:val="0"/>
          <w:caps w:val="0"/>
          <w:color w:val="000000"/>
          <w:spacing w:val="0"/>
          <w:sz w:val="32"/>
          <w:szCs w:val="32"/>
        </w:rPr>
        <w:t>、促进全县养老、就业、劳动保障等工作顺利开展；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4</w:t>
      </w:r>
      <w:r>
        <w:rPr>
          <w:rFonts w:hint="eastAsia" w:ascii="仿宋" w:hAnsi="仿宋" w:eastAsia="仿宋" w:cs="仿宋"/>
          <w:i w:val="0"/>
          <w:iCs w:val="0"/>
          <w:caps w:val="0"/>
          <w:color w:val="000000"/>
          <w:spacing w:val="0"/>
          <w:sz w:val="32"/>
          <w:szCs w:val="32"/>
        </w:rPr>
        <w:t>、做好全县事业单位、医疗卫生和教育系统的招聘、选聘工作；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5</w:t>
      </w:r>
      <w:r>
        <w:rPr>
          <w:rFonts w:hint="eastAsia" w:ascii="仿宋" w:hAnsi="仿宋" w:eastAsia="仿宋" w:cs="仿宋"/>
          <w:i w:val="0"/>
          <w:iCs w:val="0"/>
          <w:caps w:val="0"/>
          <w:color w:val="000000"/>
          <w:spacing w:val="0"/>
          <w:sz w:val="32"/>
          <w:szCs w:val="32"/>
        </w:rPr>
        <w:t>、抓好基层党组织党内生活，认真落实“三会一课”制度，深入推进党支部主题党日，广泛开展主题实践活动；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6</w:t>
      </w:r>
      <w:r>
        <w:rPr>
          <w:rFonts w:hint="eastAsia" w:ascii="仿宋" w:hAnsi="仿宋" w:eastAsia="仿宋" w:cs="仿宋"/>
          <w:i w:val="0"/>
          <w:iCs w:val="0"/>
          <w:caps w:val="0"/>
          <w:color w:val="000000"/>
          <w:spacing w:val="0"/>
          <w:sz w:val="32"/>
          <w:szCs w:val="32"/>
        </w:rPr>
        <w:t>、保障我县社保基金及我县经济正常开展；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7</w:t>
      </w:r>
      <w:r>
        <w:rPr>
          <w:rFonts w:hint="eastAsia" w:ascii="仿宋" w:hAnsi="仿宋" w:eastAsia="仿宋" w:cs="仿宋"/>
          <w:i w:val="0"/>
          <w:iCs w:val="0"/>
          <w:caps w:val="0"/>
          <w:color w:val="000000"/>
          <w:spacing w:val="0"/>
          <w:sz w:val="32"/>
          <w:szCs w:val="32"/>
        </w:rPr>
        <w:t>、采集、录入、更新、维护、掌握全县贫困劳动力的信息，进一步推动我县就业工作；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default" w:ascii="Times New Roman" w:hAnsi="Times New Roman" w:eastAsia="仿宋" w:cs="Times New Roman"/>
          <w:i w:val="0"/>
          <w:iCs w:val="0"/>
          <w:caps w:val="0"/>
          <w:color w:val="000000"/>
          <w:spacing w:val="0"/>
          <w:sz w:val="32"/>
          <w:szCs w:val="32"/>
        </w:rPr>
        <w:t>8</w:t>
      </w:r>
      <w:r>
        <w:rPr>
          <w:rFonts w:hint="eastAsia" w:ascii="仿宋" w:hAnsi="仿宋" w:eastAsia="仿宋" w:cs="仿宋"/>
          <w:i w:val="0"/>
          <w:iCs w:val="0"/>
          <w:caps w:val="0"/>
          <w:color w:val="000000"/>
          <w:spacing w:val="0"/>
          <w:sz w:val="32"/>
          <w:szCs w:val="32"/>
        </w:rPr>
        <w:t>、做好企事业单位人事档案材料的保管、整理工作。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二、一般公共预算支出情况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（一）经批复的预、决算情况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000000"/>
          <w:spacing w:val="0"/>
          <w:sz w:val="32"/>
          <w:szCs w:val="32"/>
        </w:rPr>
        <w:t>1、根据临武县财政局核定202</w:t>
      </w:r>
      <w:r>
        <w:rPr>
          <w:rFonts w:hint="eastAsia" w:ascii="仿宋" w:hAnsi="仿宋" w:eastAsia="仿宋" w:cs="仿宋"/>
          <w:b w:val="0"/>
          <w:bCs w:val="0"/>
          <w:i w:val="0"/>
          <w:iCs w:val="0"/>
          <w:caps w:val="0"/>
          <w:color w:val="000000"/>
          <w:spacing w:val="0"/>
          <w:sz w:val="32"/>
          <w:szCs w:val="32"/>
          <w:lang w:val="en-US" w:eastAsia="zh-CN"/>
        </w:rPr>
        <w:t>3</w:t>
      </w:r>
      <w:r>
        <w:rPr>
          <w:rFonts w:hint="eastAsia" w:ascii="仿宋" w:hAnsi="仿宋" w:eastAsia="仿宋" w:cs="仿宋"/>
          <w:b w:val="0"/>
          <w:bCs w:val="0"/>
          <w:i w:val="0"/>
          <w:iCs w:val="0"/>
          <w:caps w:val="0"/>
          <w:color w:val="000000"/>
          <w:spacing w:val="0"/>
          <w:sz w:val="32"/>
          <w:szCs w:val="32"/>
        </w:rPr>
        <w:t>年收入总预算</w:t>
      </w:r>
      <w:r>
        <w:rPr>
          <w:rFonts w:hint="eastAsia" w:ascii="仿宋" w:hAnsi="仿宋" w:eastAsia="仿宋" w:cs="仿宋"/>
          <w:b w:val="0"/>
          <w:bCs w:val="0"/>
          <w:i w:val="0"/>
          <w:iCs w:val="0"/>
          <w:caps w:val="0"/>
          <w:color w:val="000000"/>
          <w:spacing w:val="0"/>
          <w:sz w:val="32"/>
          <w:szCs w:val="32"/>
          <w:lang w:val="en-US" w:eastAsia="zh-CN"/>
        </w:rPr>
        <w:t>2706.38</w:t>
      </w:r>
      <w:r>
        <w:rPr>
          <w:rFonts w:hint="eastAsia" w:ascii="仿宋" w:hAnsi="仿宋" w:eastAsia="仿宋" w:cs="仿宋"/>
          <w:b w:val="0"/>
          <w:bCs w:val="0"/>
          <w:i w:val="0"/>
          <w:iCs w:val="0"/>
          <w:caps w:val="0"/>
          <w:color w:val="000000"/>
          <w:spacing w:val="0"/>
          <w:sz w:val="32"/>
          <w:szCs w:val="32"/>
        </w:rPr>
        <w:t>万元，其中:一般公共预算拨款</w:t>
      </w:r>
      <w:r>
        <w:rPr>
          <w:rFonts w:hint="eastAsia" w:ascii="仿宋" w:hAnsi="仿宋" w:eastAsia="仿宋" w:cs="仿宋"/>
          <w:b w:val="0"/>
          <w:bCs w:val="0"/>
          <w:i w:val="0"/>
          <w:iCs w:val="0"/>
          <w:caps w:val="0"/>
          <w:color w:val="000000"/>
          <w:spacing w:val="0"/>
          <w:sz w:val="32"/>
          <w:szCs w:val="32"/>
          <w:lang w:val="en-US" w:eastAsia="zh-CN"/>
        </w:rPr>
        <w:t>521.18</w:t>
      </w:r>
      <w:r>
        <w:rPr>
          <w:rFonts w:hint="eastAsia" w:ascii="仿宋" w:hAnsi="仿宋" w:eastAsia="仿宋" w:cs="仿宋"/>
          <w:b w:val="0"/>
          <w:bCs w:val="0"/>
          <w:i w:val="0"/>
          <w:iCs w:val="0"/>
          <w:caps w:val="0"/>
          <w:color w:val="000000"/>
          <w:spacing w:val="0"/>
          <w:sz w:val="32"/>
          <w:szCs w:val="32"/>
        </w:rPr>
        <w:t>万元(财政拨款</w:t>
      </w:r>
      <w:r>
        <w:rPr>
          <w:rFonts w:hint="eastAsia" w:ascii="仿宋" w:hAnsi="仿宋" w:eastAsia="仿宋" w:cs="仿宋"/>
          <w:b w:val="0"/>
          <w:bCs w:val="0"/>
          <w:i w:val="0"/>
          <w:iCs w:val="0"/>
          <w:caps w:val="0"/>
          <w:color w:val="000000"/>
          <w:spacing w:val="0"/>
          <w:sz w:val="32"/>
          <w:szCs w:val="32"/>
          <w:lang w:val="en-US" w:eastAsia="zh-CN"/>
        </w:rPr>
        <w:t>521.18</w:t>
      </w:r>
      <w:r>
        <w:rPr>
          <w:rFonts w:hint="eastAsia" w:ascii="仿宋" w:hAnsi="仿宋" w:eastAsia="仿宋" w:cs="仿宋"/>
          <w:b w:val="0"/>
          <w:bCs w:val="0"/>
          <w:i w:val="0"/>
          <w:iCs w:val="0"/>
          <w:caps w:val="0"/>
          <w:color w:val="000000"/>
          <w:spacing w:val="0"/>
          <w:sz w:val="32"/>
          <w:szCs w:val="32"/>
        </w:rPr>
        <w:t>万元，纳入预算管理的非税收入拨款0万元)、上级财政补助</w:t>
      </w:r>
      <w:r>
        <w:rPr>
          <w:rFonts w:hint="eastAsia" w:ascii="仿宋" w:hAnsi="仿宋" w:eastAsia="仿宋" w:cs="仿宋"/>
          <w:b w:val="0"/>
          <w:bCs w:val="0"/>
          <w:i w:val="0"/>
          <w:iCs w:val="0"/>
          <w:caps w:val="0"/>
          <w:color w:val="000000"/>
          <w:spacing w:val="0"/>
          <w:sz w:val="32"/>
          <w:szCs w:val="32"/>
          <w:lang w:val="en-US" w:eastAsia="zh-CN"/>
        </w:rPr>
        <w:t>2185.20</w:t>
      </w:r>
      <w:r>
        <w:rPr>
          <w:rFonts w:hint="eastAsia" w:ascii="仿宋" w:hAnsi="仿宋" w:eastAsia="仿宋" w:cs="仿宋"/>
          <w:b w:val="0"/>
          <w:bCs w:val="0"/>
          <w:i w:val="0"/>
          <w:iCs w:val="0"/>
          <w:caps w:val="0"/>
          <w:color w:val="000000"/>
          <w:spacing w:val="0"/>
          <w:sz w:val="32"/>
          <w:szCs w:val="32"/>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2、根据临武县财政局</w:t>
      </w:r>
      <w:r>
        <w:rPr>
          <w:rFonts w:hint="eastAsia" w:ascii="仿宋" w:hAnsi="仿宋" w:eastAsia="仿宋" w:cs="仿宋"/>
          <w:b w:val="0"/>
          <w:bCs w:val="0"/>
          <w:i w:val="0"/>
          <w:iCs w:val="0"/>
          <w:caps w:val="0"/>
          <w:color w:val="000000"/>
          <w:spacing w:val="0"/>
          <w:sz w:val="32"/>
          <w:szCs w:val="32"/>
        </w:rPr>
        <w:t>《关于批复临武县人力资源和社会保障局2023年度部门决算的通知》（临财库函〔2024〕23号）文件，</w:t>
      </w: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年年度总收入</w:t>
      </w:r>
      <w:r>
        <w:rPr>
          <w:rFonts w:hint="eastAsia" w:ascii="仿宋" w:hAnsi="仿宋" w:eastAsia="仿宋" w:cs="仿宋"/>
          <w:i w:val="0"/>
          <w:iCs w:val="0"/>
          <w:caps w:val="0"/>
          <w:color w:val="000000"/>
          <w:spacing w:val="0"/>
          <w:sz w:val="32"/>
          <w:szCs w:val="32"/>
          <w:lang w:val="en-US" w:eastAsia="zh-CN"/>
        </w:rPr>
        <w:t>3517.13</w:t>
      </w:r>
      <w:r>
        <w:rPr>
          <w:rFonts w:hint="eastAsia" w:ascii="仿宋" w:hAnsi="仿宋" w:eastAsia="仿宋" w:cs="仿宋"/>
          <w:i w:val="0"/>
          <w:iCs w:val="0"/>
          <w:caps w:val="0"/>
          <w:color w:val="000000"/>
          <w:spacing w:val="0"/>
          <w:sz w:val="32"/>
          <w:szCs w:val="32"/>
        </w:rPr>
        <w:t>万元，使用非财政拨款结余0万元，年初结转和结余0万元，本年支出</w:t>
      </w:r>
      <w:r>
        <w:rPr>
          <w:rFonts w:hint="eastAsia" w:ascii="仿宋" w:hAnsi="仿宋" w:eastAsia="仿宋" w:cs="仿宋"/>
          <w:i w:val="0"/>
          <w:iCs w:val="0"/>
          <w:caps w:val="0"/>
          <w:color w:val="000000"/>
          <w:spacing w:val="0"/>
          <w:sz w:val="32"/>
          <w:szCs w:val="32"/>
          <w:lang w:val="en-US" w:eastAsia="zh-CN"/>
        </w:rPr>
        <w:t>3517.13</w:t>
      </w:r>
      <w:r>
        <w:rPr>
          <w:rFonts w:hint="eastAsia" w:ascii="仿宋" w:hAnsi="仿宋" w:eastAsia="仿宋" w:cs="仿宋"/>
          <w:i w:val="0"/>
          <w:iCs w:val="0"/>
          <w:caps w:val="0"/>
          <w:color w:val="000000"/>
          <w:spacing w:val="0"/>
          <w:sz w:val="32"/>
          <w:szCs w:val="32"/>
        </w:rPr>
        <w:t>万元，结余分配0万元，年末结转和结余0万元。其中，202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年度一般公共预算财政拨款年初结转和结余0万元，本年收入</w:t>
      </w:r>
      <w:r>
        <w:rPr>
          <w:rFonts w:hint="eastAsia" w:ascii="仿宋" w:hAnsi="仿宋" w:eastAsia="仿宋" w:cs="仿宋"/>
          <w:i w:val="0"/>
          <w:iCs w:val="0"/>
          <w:caps w:val="0"/>
          <w:color w:val="000000"/>
          <w:spacing w:val="0"/>
          <w:sz w:val="32"/>
          <w:szCs w:val="32"/>
          <w:lang w:val="en-US" w:eastAsia="zh-CN"/>
        </w:rPr>
        <w:t>3517.13</w:t>
      </w:r>
      <w:r>
        <w:rPr>
          <w:rFonts w:hint="eastAsia" w:ascii="仿宋" w:hAnsi="仿宋" w:eastAsia="仿宋" w:cs="仿宋"/>
          <w:i w:val="0"/>
          <w:iCs w:val="0"/>
          <w:caps w:val="0"/>
          <w:color w:val="000000"/>
          <w:spacing w:val="0"/>
          <w:sz w:val="32"/>
          <w:szCs w:val="32"/>
        </w:rPr>
        <w:t>万元，本年支出</w:t>
      </w:r>
      <w:r>
        <w:rPr>
          <w:rFonts w:hint="eastAsia" w:ascii="仿宋" w:hAnsi="仿宋" w:eastAsia="仿宋" w:cs="仿宋"/>
          <w:i w:val="0"/>
          <w:iCs w:val="0"/>
          <w:caps w:val="0"/>
          <w:color w:val="000000"/>
          <w:spacing w:val="0"/>
          <w:sz w:val="32"/>
          <w:szCs w:val="32"/>
          <w:lang w:val="en-US" w:eastAsia="zh-CN"/>
        </w:rPr>
        <w:t>3517.13</w:t>
      </w:r>
      <w:r>
        <w:rPr>
          <w:rFonts w:hint="eastAsia" w:ascii="仿宋" w:hAnsi="仿宋" w:eastAsia="仿宋" w:cs="仿宋"/>
          <w:i w:val="0"/>
          <w:iCs w:val="0"/>
          <w:caps w:val="0"/>
          <w:color w:val="000000"/>
          <w:spacing w:val="0"/>
          <w:sz w:val="32"/>
          <w:szCs w:val="32"/>
        </w:rPr>
        <w:t>万元，年末结转和结余0万元。政府性基金预算财政拨款收支0万元，国有资本经营预算财政拨款收支0万元。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（二）部门预算执行情况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rPr>
        <w:t>1、基本支出情况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000000"/>
          <w:spacing w:val="0"/>
          <w:sz w:val="32"/>
          <w:szCs w:val="32"/>
        </w:rPr>
        <w:t>基本支出</w:t>
      </w:r>
      <w:r>
        <w:rPr>
          <w:rFonts w:hint="eastAsia" w:ascii="仿宋" w:hAnsi="仿宋" w:eastAsia="仿宋" w:cs="仿宋"/>
          <w:b w:val="0"/>
          <w:bCs w:val="0"/>
          <w:i w:val="0"/>
          <w:iCs w:val="0"/>
          <w:caps w:val="0"/>
          <w:color w:val="000000"/>
          <w:spacing w:val="0"/>
          <w:sz w:val="32"/>
          <w:szCs w:val="32"/>
          <w:lang w:val="en-US" w:eastAsia="zh-CN"/>
        </w:rPr>
        <w:t>481.50</w:t>
      </w:r>
      <w:r>
        <w:rPr>
          <w:rFonts w:hint="eastAsia" w:ascii="仿宋" w:hAnsi="仿宋" w:eastAsia="仿宋" w:cs="仿宋"/>
          <w:b w:val="0"/>
          <w:bCs w:val="0"/>
          <w:i w:val="0"/>
          <w:iCs w:val="0"/>
          <w:caps w:val="0"/>
          <w:color w:val="000000"/>
          <w:spacing w:val="0"/>
          <w:sz w:val="32"/>
          <w:szCs w:val="32"/>
        </w:rPr>
        <w:t>万元，其中：工资福利支出</w:t>
      </w:r>
      <w:r>
        <w:rPr>
          <w:rFonts w:hint="eastAsia" w:ascii="仿宋" w:hAnsi="仿宋" w:eastAsia="仿宋" w:cs="仿宋"/>
          <w:b w:val="0"/>
          <w:bCs w:val="0"/>
          <w:i w:val="0"/>
          <w:iCs w:val="0"/>
          <w:caps w:val="0"/>
          <w:color w:val="000000"/>
          <w:spacing w:val="0"/>
          <w:sz w:val="32"/>
          <w:szCs w:val="32"/>
          <w:lang w:val="en-US" w:eastAsia="zh-CN"/>
        </w:rPr>
        <w:t>449.04</w:t>
      </w:r>
      <w:r>
        <w:rPr>
          <w:rFonts w:hint="eastAsia" w:ascii="仿宋" w:hAnsi="仿宋" w:eastAsia="仿宋" w:cs="仿宋"/>
          <w:b w:val="0"/>
          <w:bCs w:val="0"/>
          <w:i w:val="0"/>
          <w:iCs w:val="0"/>
          <w:caps w:val="0"/>
          <w:color w:val="000000"/>
          <w:spacing w:val="0"/>
          <w:sz w:val="32"/>
          <w:szCs w:val="32"/>
        </w:rPr>
        <w:t>万元，一般商品和服务支出</w:t>
      </w:r>
      <w:r>
        <w:rPr>
          <w:rFonts w:hint="eastAsia" w:ascii="仿宋" w:hAnsi="仿宋" w:eastAsia="仿宋" w:cs="仿宋"/>
          <w:b w:val="0"/>
          <w:bCs w:val="0"/>
          <w:i w:val="0"/>
          <w:iCs w:val="0"/>
          <w:caps w:val="0"/>
          <w:color w:val="000000"/>
          <w:spacing w:val="0"/>
          <w:sz w:val="32"/>
          <w:szCs w:val="32"/>
          <w:lang w:val="en-US" w:eastAsia="zh-CN"/>
        </w:rPr>
        <w:t>32.46</w:t>
      </w:r>
      <w:r>
        <w:rPr>
          <w:rFonts w:hint="eastAsia" w:ascii="仿宋" w:hAnsi="仿宋" w:eastAsia="仿宋" w:cs="仿宋"/>
          <w:b w:val="0"/>
          <w:bCs w:val="0"/>
          <w:i w:val="0"/>
          <w:iCs w:val="0"/>
          <w:caps w:val="0"/>
          <w:color w:val="000000"/>
          <w:spacing w:val="0"/>
          <w:sz w:val="32"/>
          <w:szCs w:val="32"/>
        </w:rPr>
        <w:t>万元，对个人和家庭的补助0万元。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rPr>
        <w:t>2、项目支出情况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000000"/>
          <w:spacing w:val="0"/>
          <w:sz w:val="32"/>
          <w:szCs w:val="32"/>
        </w:rPr>
        <w:t>项目支出</w:t>
      </w:r>
      <w:r>
        <w:rPr>
          <w:rFonts w:hint="eastAsia" w:ascii="仿宋" w:hAnsi="仿宋" w:eastAsia="仿宋" w:cs="仿宋"/>
          <w:b w:val="0"/>
          <w:bCs w:val="0"/>
          <w:i w:val="0"/>
          <w:iCs w:val="0"/>
          <w:caps w:val="0"/>
          <w:color w:val="000000"/>
          <w:spacing w:val="0"/>
          <w:sz w:val="32"/>
          <w:szCs w:val="32"/>
          <w:lang w:val="en-US" w:eastAsia="zh-CN"/>
        </w:rPr>
        <w:t>3035.63</w:t>
      </w:r>
      <w:r>
        <w:rPr>
          <w:rFonts w:hint="eastAsia" w:ascii="仿宋" w:hAnsi="仿宋" w:eastAsia="仿宋" w:cs="仿宋"/>
          <w:b w:val="0"/>
          <w:bCs w:val="0"/>
          <w:i w:val="0"/>
          <w:iCs w:val="0"/>
          <w:caps w:val="0"/>
          <w:color w:val="000000"/>
          <w:spacing w:val="0"/>
          <w:sz w:val="32"/>
          <w:szCs w:val="32"/>
        </w:rPr>
        <w:t>万元，其中：专项商品和服务支出</w:t>
      </w:r>
      <w:r>
        <w:rPr>
          <w:rFonts w:hint="eastAsia" w:ascii="仿宋" w:hAnsi="仿宋" w:eastAsia="仿宋" w:cs="仿宋"/>
          <w:b w:val="0"/>
          <w:bCs w:val="0"/>
          <w:i w:val="0"/>
          <w:iCs w:val="0"/>
          <w:caps w:val="0"/>
          <w:color w:val="000000"/>
          <w:spacing w:val="0"/>
          <w:sz w:val="32"/>
          <w:szCs w:val="32"/>
          <w:lang w:val="en-US" w:eastAsia="zh-CN"/>
        </w:rPr>
        <w:t>3035.63</w:t>
      </w:r>
      <w:r>
        <w:rPr>
          <w:rFonts w:hint="eastAsia" w:ascii="仿宋" w:hAnsi="仿宋" w:eastAsia="仿宋" w:cs="仿宋"/>
          <w:b w:val="0"/>
          <w:bCs w:val="0"/>
          <w:i w:val="0"/>
          <w:iCs w:val="0"/>
          <w:caps w:val="0"/>
          <w:color w:val="000000"/>
          <w:spacing w:val="0"/>
          <w:sz w:val="32"/>
          <w:szCs w:val="32"/>
        </w:rPr>
        <w:t>万元；其他支出</w:t>
      </w:r>
      <w:r>
        <w:rPr>
          <w:rFonts w:hint="eastAsia" w:ascii="仿宋" w:hAnsi="仿宋" w:eastAsia="仿宋" w:cs="仿宋"/>
          <w:b w:val="0"/>
          <w:bCs w:val="0"/>
          <w:i w:val="0"/>
          <w:iCs w:val="0"/>
          <w:caps w:val="0"/>
          <w:color w:val="000000"/>
          <w:spacing w:val="0"/>
          <w:sz w:val="32"/>
          <w:szCs w:val="32"/>
          <w:lang w:val="en-US" w:eastAsia="zh-CN"/>
        </w:rPr>
        <w:t>1.12</w:t>
      </w:r>
      <w:r>
        <w:rPr>
          <w:rFonts w:hint="eastAsia" w:ascii="仿宋" w:hAnsi="仿宋" w:eastAsia="仿宋" w:cs="仿宋"/>
          <w:b w:val="0"/>
          <w:bCs w:val="0"/>
          <w:i w:val="0"/>
          <w:iCs w:val="0"/>
          <w:caps w:val="0"/>
          <w:color w:val="000000"/>
          <w:spacing w:val="0"/>
          <w:sz w:val="32"/>
          <w:szCs w:val="32"/>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（1）项目资金使用及管理情况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项目资金及自筹资金的安排落实、总投入等情况。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年12月31日之前已下达就业专项资</w:t>
      </w:r>
      <w:r>
        <w:rPr>
          <w:rFonts w:hint="eastAsia" w:ascii="仿宋" w:hAnsi="仿宋" w:eastAsia="仿宋" w:cs="仿宋"/>
          <w:i w:val="0"/>
          <w:iCs w:val="0"/>
          <w:caps w:val="0"/>
          <w:color w:val="auto"/>
          <w:spacing w:val="0"/>
          <w:sz w:val="32"/>
          <w:szCs w:val="32"/>
        </w:rPr>
        <w:t>金</w:t>
      </w:r>
      <w:r>
        <w:rPr>
          <w:rFonts w:hint="eastAsia" w:ascii="仿宋" w:hAnsi="仿宋" w:eastAsia="仿宋" w:cs="仿宋"/>
          <w:i w:val="0"/>
          <w:iCs w:val="0"/>
          <w:caps w:val="0"/>
          <w:color w:val="auto"/>
          <w:spacing w:val="0"/>
          <w:sz w:val="32"/>
          <w:szCs w:val="32"/>
          <w:lang w:val="en-US" w:eastAsia="zh-CN"/>
        </w:rPr>
        <w:t>3359</w:t>
      </w:r>
      <w:r>
        <w:rPr>
          <w:rFonts w:hint="eastAsia" w:ascii="仿宋" w:hAnsi="仿宋" w:eastAsia="仿宋" w:cs="仿宋"/>
          <w:i w:val="0"/>
          <w:iCs w:val="0"/>
          <w:caps w:val="0"/>
          <w:color w:val="000000"/>
          <w:spacing w:val="0"/>
          <w:sz w:val="32"/>
          <w:szCs w:val="32"/>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项目资金实际使用情况。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2023年12月31日之前已下达就业专项资金2057万元，其他资金1302万元。2023年共支出2158.98万元。其中支出情况如下：2023年高校毕业就业见习支出155万元；2023年公益性岗位补贴支出147.51万元；2023年新型学徒制培训补贴支出60.3万元；2023年职业技能培训补贴支出413.31万元；2023年困难人员灵活就业社会保险补贴支出321.08万元；2023年就业帮扶车间补贴支出211.56万元；2023年社保专线网络服务费支出7.89万元；2023年就业超市运营维护费支出47.06万元；2023年贫困劳动力系统信息维护费支出44.6万元；2023年就业创业服务补助支出30万元；2023年创业培训补贴支出292.58万元；2023年春风行动支出38万元；2023年技能大赛支出54万元；2023年劳动调查经费支出24万元；2023年一次性吸纳就业补贴支出2.1万元；2023年创业补贴160万元；2023年孵化基地补贴150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项目资金管理情况分析，主要包括管理制度、办法的制订及执行情况。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我县严格遵照《湖南省就业专项资金管理办法》申报、审批、拨付等程序，建立健全预算执行责任制,就业资金实行专款专用、专账核算，按项目实施计划的进度情况进行资金拨付。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eastAsia" w:ascii="Calibri" w:hAnsi="Calibri" w:eastAsia="仿宋" w:cs="Calibri"/>
          <w:color w:val="auto"/>
          <w:sz w:val="24"/>
          <w:szCs w:val="24"/>
          <w:lang w:eastAsia="zh-CN"/>
        </w:rPr>
      </w:pPr>
      <w:r>
        <w:rPr>
          <w:rFonts w:hint="eastAsia" w:ascii="仿宋" w:hAnsi="仿宋" w:eastAsia="仿宋" w:cs="仿宋"/>
          <w:b w:val="0"/>
          <w:bCs w:val="0"/>
          <w:i w:val="0"/>
          <w:iCs w:val="0"/>
          <w:caps w:val="0"/>
          <w:color w:val="auto"/>
          <w:spacing w:val="0"/>
          <w:sz w:val="32"/>
          <w:szCs w:val="32"/>
        </w:rPr>
        <w:t>专项资金外，其他项目支出合计53.2万元，其中：业务专项经费</w:t>
      </w:r>
      <w:r>
        <w:rPr>
          <w:rFonts w:hint="eastAsia" w:ascii="仿宋" w:hAnsi="仿宋" w:eastAsia="仿宋" w:cs="仿宋"/>
          <w:b w:val="0"/>
          <w:bCs w:val="0"/>
          <w:i w:val="0"/>
          <w:iCs w:val="0"/>
          <w:caps w:val="0"/>
          <w:color w:val="auto"/>
          <w:spacing w:val="0"/>
          <w:sz w:val="32"/>
          <w:szCs w:val="32"/>
          <w:lang w:val="en-US" w:eastAsia="zh-CN"/>
        </w:rPr>
        <w:t>34</w:t>
      </w:r>
      <w:r>
        <w:rPr>
          <w:rFonts w:hint="eastAsia" w:ascii="仿宋" w:hAnsi="仿宋" w:eastAsia="仿宋" w:cs="仿宋"/>
          <w:b w:val="0"/>
          <w:bCs w:val="0"/>
          <w:i w:val="0"/>
          <w:iCs w:val="0"/>
          <w:caps w:val="0"/>
          <w:color w:val="auto"/>
          <w:spacing w:val="0"/>
          <w:sz w:val="32"/>
          <w:szCs w:val="32"/>
        </w:rPr>
        <w:t>万元，用于人社部门人事档案管理、社保卡发放、社会信息中心运行</w:t>
      </w:r>
      <w:bookmarkStart w:id="0" w:name="_GoBack"/>
      <w:bookmarkEnd w:id="0"/>
      <w:r>
        <w:rPr>
          <w:rFonts w:hint="eastAsia" w:ascii="仿宋" w:hAnsi="仿宋" w:eastAsia="仿宋" w:cs="仿宋"/>
          <w:b w:val="0"/>
          <w:bCs w:val="0"/>
          <w:i w:val="0"/>
          <w:iCs w:val="0"/>
          <w:caps w:val="0"/>
          <w:color w:val="auto"/>
          <w:spacing w:val="0"/>
          <w:sz w:val="32"/>
          <w:szCs w:val="32"/>
        </w:rPr>
        <w:t>、劳动力资源信息服务管理、基金征缴稽核、工伤保险征缴稽核、创新创业工作、农民工权益保障工作以及专业技术人员管理等业务工作支出；三支一扶人员安家费1.2万元，用于给</w:t>
      </w:r>
      <w:r>
        <w:rPr>
          <w:rFonts w:hint="eastAsia" w:ascii="仿宋" w:hAnsi="仿宋" w:eastAsia="仿宋" w:cs="仿宋"/>
          <w:i w:val="0"/>
          <w:iCs w:val="0"/>
          <w:caps w:val="0"/>
          <w:color w:val="auto"/>
          <w:spacing w:val="0"/>
          <w:sz w:val="32"/>
          <w:szCs w:val="32"/>
        </w:rPr>
        <w:t>新招募在岗服务满6个月以上的“三支一扶”人员发放一次性安家费，更好的调动三支一扶人员的工作积极性</w:t>
      </w:r>
      <w:r>
        <w:rPr>
          <w:rFonts w:hint="eastAsia" w:ascii="仿宋" w:hAnsi="仿宋" w:eastAsia="仿宋" w:cs="仿宋"/>
          <w:i w:val="0"/>
          <w:iCs w:val="0"/>
          <w:caps w:val="0"/>
          <w:color w:val="auto"/>
          <w:spacing w:val="0"/>
          <w:sz w:val="32"/>
          <w:szCs w:val="32"/>
          <w:lang w:eastAsia="zh-CN"/>
        </w:rPr>
        <w:t>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（三）“三公”经费使用和管理情况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000000"/>
          <w:spacing w:val="0"/>
          <w:sz w:val="32"/>
          <w:szCs w:val="32"/>
        </w:rPr>
        <w:t>202</w:t>
      </w:r>
      <w:r>
        <w:rPr>
          <w:rFonts w:hint="eastAsia" w:ascii="仿宋" w:hAnsi="仿宋" w:eastAsia="仿宋" w:cs="仿宋"/>
          <w:b w:val="0"/>
          <w:bCs w:val="0"/>
          <w:i w:val="0"/>
          <w:iCs w:val="0"/>
          <w:caps w:val="0"/>
          <w:color w:val="000000"/>
          <w:spacing w:val="0"/>
          <w:sz w:val="32"/>
          <w:szCs w:val="32"/>
          <w:lang w:val="en-US" w:eastAsia="zh-CN"/>
        </w:rPr>
        <w:t>3</w:t>
      </w:r>
      <w:r>
        <w:rPr>
          <w:rFonts w:hint="eastAsia" w:ascii="仿宋" w:hAnsi="仿宋" w:eastAsia="仿宋" w:cs="仿宋"/>
          <w:b w:val="0"/>
          <w:bCs w:val="0"/>
          <w:i w:val="0"/>
          <w:iCs w:val="0"/>
          <w:caps w:val="0"/>
          <w:color w:val="000000"/>
          <w:spacing w:val="0"/>
          <w:sz w:val="32"/>
          <w:szCs w:val="32"/>
        </w:rPr>
        <w:t>年度三公经费预算数为</w:t>
      </w:r>
      <w:r>
        <w:rPr>
          <w:rFonts w:hint="eastAsia" w:ascii="仿宋" w:hAnsi="仿宋" w:eastAsia="仿宋" w:cs="仿宋"/>
          <w:b w:val="0"/>
          <w:bCs w:val="0"/>
          <w:i w:val="0"/>
          <w:iCs w:val="0"/>
          <w:caps w:val="0"/>
          <w:color w:val="000000"/>
          <w:spacing w:val="0"/>
          <w:sz w:val="32"/>
          <w:szCs w:val="32"/>
          <w:lang w:val="en-US" w:eastAsia="zh-CN"/>
        </w:rPr>
        <w:t>4.45</w:t>
      </w:r>
      <w:r>
        <w:rPr>
          <w:rFonts w:hint="eastAsia" w:ascii="仿宋" w:hAnsi="仿宋" w:eastAsia="仿宋" w:cs="仿宋"/>
          <w:b w:val="0"/>
          <w:bCs w:val="0"/>
          <w:i w:val="0"/>
          <w:iCs w:val="0"/>
          <w:caps w:val="0"/>
          <w:color w:val="000000"/>
          <w:spacing w:val="0"/>
          <w:sz w:val="32"/>
          <w:szCs w:val="32"/>
        </w:rPr>
        <w:t>万元，支出决算数为</w:t>
      </w:r>
      <w:r>
        <w:rPr>
          <w:rFonts w:hint="eastAsia" w:ascii="仿宋" w:hAnsi="仿宋" w:eastAsia="仿宋" w:cs="仿宋"/>
          <w:b w:val="0"/>
          <w:bCs w:val="0"/>
          <w:i w:val="0"/>
          <w:iCs w:val="0"/>
          <w:caps w:val="0"/>
          <w:color w:val="000000"/>
          <w:spacing w:val="0"/>
          <w:sz w:val="32"/>
          <w:szCs w:val="32"/>
          <w:lang w:val="en-US" w:eastAsia="zh-CN"/>
        </w:rPr>
        <w:t>4.39</w:t>
      </w:r>
      <w:r>
        <w:rPr>
          <w:rFonts w:hint="eastAsia" w:ascii="仿宋" w:hAnsi="仿宋" w:eastAsia="仿宋" w:cs="仿宋"/>
          <w:b w:val="0"/>
          <w:bCs w:val="0"/>
          <w:i w:val="0"/>
          <w:iCs w:val="0"/>
          <w:caps w:val="0"/>
          <w:color w:val="000000"/>
          <w:spacing w:val="0"/>
          <w:sz w:val="32"/>
          <w:szCs w:val="32"/>
        </w:rPr>
        <w:t>万元。其中：公务用车购置及运行费支出决算为0万元（公务用车购置0台，保有量0台），公务接待费支出决算</w:t>
      </w:r>
      <w:r>
        <w:rPr>
          <w:rFonts w:hint="eastAsia" w:ascii="仿宋" w:hAnsi="仿宋" w:eastAsia="仿宋" w:cs="仿宋"/>
          <w:b w:val="0"/>
          <w:bCs w:val="0"/>
          <w:i w:val="0"/>
          <w:iCs w:val="0"/>
          <w:caps w:val="0"/>
          <w:color w:val="000000"/>
          <w:spacing w:val="0"/>
          <w:sz w:val="32"/>
          <w:szCs w:val="32"/>
          <w:lang w:val="en-US" w:eastAsia="zh-CN"/>
        </w:rPr>
        <w:t>4.39</w:t>
      </w:r>
      <w:r>
        <w:rPr>
          <w:rFonts w:hint="eastAsia" w:ascii="仿宋" w:hAnsi="仿宋" w:eastAsia="仿宋" w:cs="仿宋"/>
          <w:b w:val="0"/>
          <w:bCs w:val="0"/>
          <w:i w:val="0"/>
          <w:iCs w:val="0"/>
          <w:caps w:val="0"/>
          <w:color w:val="000000"/>
          <w:spacing w:val="0"/>
          <w:sz w:val="32"/>
          <w:szCs w:val="32"/>
        </w:rPr>
        <w:t>万元；相比上年</w:t>
      </w:r>
      <w:r>
        <w:rPr>
          <w:rFonts w:hint="eastAsia" w:ascii="仿宋" w:hAnsi="仿宋" w:eastAsia="仿宋" w:cs="仿宋"/>
          <w:b w:val="0"/>
          <w:bCs w:val="0"/>
          <w:i w:val="0"/>
          <w:iCs w:val="0"/>
          <w:caps w:val="0"/>
          <w:color w:val="000000"/>
          <w:spacing w:val="0"/>
          <w:sz w:val="32"/>
          <w:szCs w:val="32"/>
          <w:lang w:eastAsia="zh-CN"/>
        </w:rPr>
        <w:t>增加</w:t>
      </w:r>
      <w:r>
        <w:rPr>
          <w:rFonts w:hint="eastAsia" w:ascii="仿宋" w:hAnsi="仿宋" w:eastAsia="仿宋" w:cs="仿宋"/>
          <w:b w:val="0"/>
          <w:bCs w:val="0"/>
          <w:i w:val="0"/>
          <w:iCs w:val="0"/>
          <w:caps w:val="0"/>
          <w:color w:val="000000"/>
          <w:spacing w:val="0"/>
          <w:sz w:val="32"/>
          <w:szCs w:val="32"/>
          <w:lang w:val="en-US" w:eastAsia="zh-CN"/>
        </w:rPr>
        <w:t>2.77</w:t>
      </w:r>
      <w:r>
        <w:rPr>
          <w:rFonts w:hint="eastAsia" w:ascii="仿宋" w:hAnsi="仿宋" w:eastAsia="仿宋" w:cs="仿宋"/>
          <w:b w:val="0"/>
          <w:bCs w:val="0"/>
          <w:i w:val="0"/>
          <w:iCs w:val="0"/>
          <w:caps w:val="0"/>
          <w:color w:val="000000"/>
          <w:spacing w:val="0"/>
          <w:sz w:val="32"/>
          <w:szCs w:val="32"/>
        </w:rPr>
        <w:t>万元，</w:t>
      </w:r>
      <w:r>
        <w:rPr>
          <w:rFonts w:hint="eastAsia" w:ascii="仿宋" w:hAnsi="仿宋" w:eastAsia="仿宋" w:cs="仿宋"/>
          <w:b w:val="0"/>
          <w:bCs w:val="0"/>
          <w:i w:val="0"/>
          <w:iCs w:val="0"/>
          <w:caps w:val="0"/>
          <w:color w:val="000000"/>
          <w:spacing w:val="0"/>
          <w:sz w:val="32"/>
          <w:szCs w:val="32"/>
          <w:lang w:eastAsia="zh-CN"/>
        </w:rPr>
        <w:t>增加</w:t>
      </w:r>
      <w:r>
        <w:rPr>
          <w:rFonts w:hint="eastAsia" w:ascii="仿宋" w:hAnsi="仿宋" w:eastAsia="仿宋" w:cs="仿宋"/>
          <w:b w:val="0"/>
          <w:bCs w:val="0"/>
          <w:i w:val="0"/>
          <w:iCs w:val="0"/>
          <w:caps w:val="0"/>
          <w:color w:val="000000"/>
          <w:spacing w:val="0"/>
          <w:sz w:val="32"/>
          <w:szCs w:val="32"/>
          <w:lang w:val="en-US" w:eastAsia="zh-CN"/>
        </w:rPr>
        <w:t>170.99</w:t>
      </w:r>
      <w:r>
        <w:rPr>
          <w:rFonts w:hint="eastAsia" w:ascii="仿宋" w:hAnsi="仿宋" w:eastAsia="仿宋" w:cs="仿宋"/>
          <w:b w:val="0"/>
          <w:bCs w:val="0"/>
          <w:i w:val="0"/>
          <w:iCs w:val="0"/>
          <w:caps w:val="0"/>
          <w:color w:val="000000"/>
          <w:spacing w:val="0"/>
          <w:sz w:val="32"/>
          <w:szCs w:val="32"/>
        </w:rPr>
        <w:t>%，主要原因是</w:t>
      </w:r>
      <w:r>
        <w:rPr>
          <w:rFonts w:hint="eastAsia" w:ascii="仿宋" w:hAnsi="仿宋" w:eastAsia="仿宋" w:cs="仿宋"/>
          <w:b w:val="0"/>
          <w:bCs w:val="0"/>
          <w:i w:val="0"/>
          <w:iCs w:val="0"/>
          <w:caps w:val="0"/>
          <w:color w:val="000000"/>
          <w:spacing w:val="0"/>
          <w:sz w:val="32"/>
          <w:szCs w:val="32"/>
          <w:lang w:eastAsia="zh-CN"/>
        </w:rPr>
        <w:t>本年事业单位招考面试人数较多，面试考官及考生人数增加。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（四）资金结转和结余情况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000000"/>
          <w:spacing w:val="0"/>
          <w:sz w:val="32"/>
          <w:szCs w:val="32"/>
        </w:rPr>
        <w:t>我单位本年度没有资金结转和结余。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（五）部门整体支出管理与制度建设情况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252" w:right="0" w:firstLine="643"/>
        <w:jc w:val="left"/>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rPr>
        <w:t>1、部门职责履行情况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color w:val="auto"/>
          <w:sz w:val="24"/>
          <w:szCs w:val="24"/>
        </w:rPr>
      </w:pPr>
      <w:r>
        <w:rPr>
          <w:rFonts w:hint="eastAsia" w:ascii="仿宋" w:hAnsi="仿宋" w:eastAsia="仿宋" w:cs="仿宋"/>
          <w:b w:val="0"/>
          <w:bCs w:val="0"/>
          <w:i w:val="0"/>
          <w:iCs w:val="0"/>
          <w:caps w:val="0"/>
          <w:color w:val="auto"/>
          <w:spacing w:val="0"/>
          <w:sz w:val="32"/>
          <w:szCs w:val="32"/>
        </w:rPr>
        <w:t>（1）做好就业创业服务，就业形势稳定向好。一是认真组织开展招聘活动。利用元旦春节、国庆假日和县内重大活动契机，组织久森新能源、东佳电子等锂电重点企业，深入各乡镇村委开展“春风行动”、“园区企业专场招聘”和“就业夜市”等专场招聘活动，有效缓解了园区企业的用工压力，累计开展各类招聘活动68场，提供就业岗位2400余个，求职登记3822人次，政策咨询和职业指导4800余人次，为园区企业招工2551人次。全县累计转移就业106053人，新增转移就业人员4132人，完成任务目标的111.68%。城镇登记失业率1.82%，低于年度控制目标任务，零就业家庭动态清零。二是积极开展就业培训工作。按照“实用、管用、够用”的原则，免费为城乡劳动力提供就业前技能培训，截至目前，累计完成职业技能培训3455人。组织久森新能源、东佳电子和建活塑胶等园区企业开展新型学徒制培训，现有学员204人。推动县职业中专申报建立职业技能等级认定考核站，累计组织开展三期电工技能等级认定工作。三是深入推进创新创业工作。优化创业担保贷款流程，为中小企业提供资金扶持，累计发放创业贷款55笔，共计3460万元，完成全年任务的115.3%。开设创业培训班25个，合计培训809人，完成年度任务的139.48%。指导协助创业孵化基地开展运营服务工作，我县创业孵化基地已通过市级创业孵化基地复审认定，目前在孵企业42家，提供就业岗位200余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2）全力筑牢社会保障底线。一是大力抓好养老保险参保扩面。组织开展2023年度“温暖社保·社保服务进万家”活动，广泛深入宣传社会保险政策，营造全民参保的良好氛围。截至目前，我县城乡居民养老保险参保缴费人数184596人，完成目标任务的100.11%；企业基本养老保险参保人数26211人，完成目标任务的101.86%，被征地农民累计参加社会保障人数18057人。二是常态化开展基金稽核检查。聚焦疑点数据、高风险业务、基金支付情况等重点内容开展日常稽核检查，累计核查系统预警数据共296条，核查率100%，应整改11条，已整改11条，整改完成率100%，应整改资金11.71万，已整改11.71万，资金整改率100%，组织开展职业年金基金管理情况自查、企业职工养老保险违规一次性补缴自查、社保基金管理自查等3次专项稽核检查，检查发现问题2个，目前已全部整改到位。重复领待胡碧英要情已销号，涉及重复领待资金46.3万元已全部追回。三是坚决筑牢民生保障底线。积极与财政部门沟通衔接，确保养老、工伤、失业等待遇按时足额发放，已累计拨付企业职工养老保险待遇28046.47万元，城乡居民养老保险待遇7714.79万元，机关事业养老保险待遇19390.74万元，按时发放率100%；职业年金累计支出3319.29万元，发放被征地农民社会保障补贴483人。为1839人次发放失业保险金256.54万元，为100人次发放失业补助金4.2万元，对11名参保人员发放技能提升补贴2.05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color w:val="auto"/>
          <w:sz w:val="24"/>
          <w:szCs w:val="24"/>
        </w:rPr>
      </w:pPr>
      <w:r>
        <w:rPr>
          <w:rFonts w:hint="eastAsia" w:ascii="仿宋" w:hAnsi="仿宋" w:eastAsia="仿宋" w:cs="仿宋"/>
          <w:b w:val="0"/>
          <w:bCs w:val="0"/>
          <w:i w:val="0"/>
          <w:iCs w:val="0"/>
          <w:caps w:val="0"/>
          <w:color w:val="auto"/>
          <w:spacing w:val="0"/>
          <w:sz w:val="32"/>
          <w:szCs w:val="32"/>
        </w:rPr>
        <w:t>（3）全力做好人才队伍建设。一是扎实抓好人才引进。组织开展2023年临武县直赴高校引进编制内教师和急需紧缺医疗技术人才工作，经资格审查、面试、体检、考察和公示等工作，共引进编制内教师9人，急需紧缺医疗技术人才27人。二是认真组织人事考试。坚持公开、平等、竞争、择优的原则，严格执行国家考试保密规定，规范人事考试流程。组织开展2023年临武县公开招聘教师和公开选聘事业单位工作人员工作，共聘用教师125人，确认选聘工作人员5人。2023年临武县公开招聘事业单位和医疗卫生专业技术人员已于12月30日完成笔试工作。全年未发生一起考试安全事故和相关舆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color w:val="auto"/>
          <w:sz w:val="24"/>
          <w:szCs w:val="24"/>
        </w:rPr>
      </w:pPr>
      <w:r>
        <w:rPr>
          <w:rFonts w:hint="eastAsia" w:ascii="仿宋" w:hAnsi="仿宋" w:eastAsia="仿宋" w:cs="仿宋"/>
          <w:b w:val="0"/>
          <w:bCs w:val="0"/>
          <w:i w:val="0"/>
          <w:iCs w:val="0"/>
          <w:caps w:val="0"/>
          <w:color w:val="auto"/>
          <w:spacing w:val="0"/>
          <w:sz w:val="32"/>
          <w:szCs w:val="32"/>
        </w:rPr>
        <w:t>（4）全力维护劳动者合法权益。一是做好日常监管检查工作。依托“人社一体化业务管理系统”，对全县在建项目进行实时监控，督促各项目落实实名制管理、工资专户、工资保证金等关键性制度。联合县公安局、县市场监督管理局、税务等职能部门开展未成年人保护及禁止使用童工、清理整顿人力资源市场秩序专项行动等5次“双随机·一公开”监管抽查执法行动，检查用人单位23户。开展劳动保障定期书面审查和守法诚信等级评价工作，评选出8户A类企业。二是开展专项执法检查行动。组织开展政府、国企投资建设项目拖欠农民工工资情况大排查和“用心用情·湘薪湘护”根治欠薪冬季专项行动，掌握2024年春节前各在建项目拨付人工费情况，针对存在严重缺口的项目，向项目主管部门下达《欠薪隐患提示函》，督促主管部门进一步加强行业监管，保证项目工程款及时拨付到位，确保2024年春节前将农民工工资支付到位。三是加大劳动保障监察执法力度。依托湖南省劳动保障“智慧监察”平台实行精准执法，累计办理全国欠薪线索109条、省工资支付监控预警平台预警信息137条，市长热线交办件403件，全年共办结投诉案件61件，为295名劳动者追发工资待遇408.47万元，根治欠薪工作被湖南卫视《午间新闻》专题报道。四是提高劳动人事争议仲裁调解效率。依法受理劳动人事争议仲裁案件124起，现已全部办结，按时结案率100%，调解结案率77.42%，其中裁决结案26起，调解结案96起，其他2起，涉及金额843.1万元，为4名劳动者与用人单位确定劳动关系，有力维护劳动者及用人单位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252" w:right="0" w:firstLine="643"/>
        <w:jc w:val="left"/>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rPr>
        <w:t>2、制度建设情况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我单位认真贯彻执行《中华人民共和国会计法》《中华人民共和国预算法》《行政单位会计制度》等法律法规，认真进行了预算编制，建立健全了单位财务制度，加强了财政专项资金管理，严格按预算进度支付费用，加强了“三公”经费控制，各项经费支出严格按照政府采购、国库集中支付、公务卡支付等有关规定执行，预算执行完成和控制较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三、政府性基金预算支出情况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我单位无政府性基金预算支出。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四、国有资本经营预算支出情况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我单位无国有资本经营预算支出。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五、社会保险基金预算支出情况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我县社会保险基金涉及到企业职工基本养老保险、机关事业单位基本养老保险、城乡居民基本养老保险、工伤保险、失业保险五部分。全省参加养老保险</w:t>
      </w:r>
      <w:r>
        <w:rPr>
          <w:rFonts w:hint="eastAsia" w:ascii="Times New Roman" w:hAnsi="Times New Roman" w:eastAsia="微软雅黑" w:cs="Times New Roman"/>
          <w:i w:val="0"/>
          <w:iCs w:val="0"/>
          <w:caps w:val="0"/>
          <w:color w:val="auto"/>
          <w:spacing w:val="0"/>
          <w:sz w:val="32"/>
          <w:szCs w:val="32"/>
          <w:lang w:val="en-US" w:eastAsia="zh-CN"/>
        </w:rPr>
        <w:t>16.05</w:t>
      </w:r>
      <w:r>
        <w:rPr>
          <w:rFonts w:hint="eastAsia" w:ascii="仿宋" w:hAnsi="仿宋" w:eastAsia="仿宋" w:cs="仿宋"/>
          <w:i w:val="0"/>
          <w:iCs w:val="0"/>
          <w:caps w:val="0"/>
          <w:color w:val="auto"/>
          <w:spacing w:val="0"/>
          <w:sz w:val="32"/>
          <w:szCs w:val="32"/>
        </w:rPr>
        <w:t>万人、工伤保险</w:t>
      </w:r>
      <w:r>
        <w:rPr>
          <w:rFonts w:hint="default" w:ascii="Times New Roman" w:hAnsi="Times New Roman" w:eastAsia="微软雅黑" w:cs="Times New Roman"/>
          <w:i w:val="0"/>
          <w:iCs w:val="0"/>
          <w:caps w:val="0"/>
          <w:color w:val="auto"/>
          <w:spacing w:val="0"/>
          <w:sz w:val="32"/>
          <w:szCs w:val="32"/>
        </w:rPr>
        <w:t>2.</w:t>
      </w:r>
      <w:r>
        <w:rPr>
          <w:rFonts w:hint="eastAsia" w:ascii="Times New Roman" w:hAnsi="Times New Roman" w:eastAsia="微软雅黑" w:cs="Times New Roman"/>
          <w:i w:val="0"/>
          <w:iCs w:val="0"/>
          <w:caps w:val="0"/>
          <w:color w:val="auto"/>
          <w:spacing w:val="0"/>
          <w:sz w:val="32"/>
          <w:szCs w:val="32"/>
          <w:lang w:val="en-US" w:eastAsia="zh-CN"/>
        </w:rPr>
        <w:t>58</w:t>
      </w:r>
      <w:r>
        <w:rPr>
          <w:rFonts w:hint="eastAsia" w:ascii="仿宋" w:hAnsi="仿宋" w:eastAsia="仿宋" w:cs="仿宋"/>
          <w:i w:val="0"/>
          <w:iCs w:val="0"/>
          <w:caps w:val="0"/>
          <w:color w:val="auto"/>
          <w:spacing w:val="0"/>
          <w:sz w:val="32"/>
          <w:szCs w:val="32"/>
        </w:rPr>
        <w:t>万人、失业保险</w:t>
      </w:r>
      <w:r>
        <w:rPr>
          <w:rFonts w:hint="eastAsia" w:ascii="Times New Roman" w:hAnsi="Times New Roman" w:eastAsia="微软雅黑" w:cs="Times New Roman"/>
          <w:i w:val="0"/>
          <w:iCs w:val="0"/>
          <w:caps w:val="0"/>
          <w:color w:val="auto"/>
          <w:spacing w:val="0"/>
          <w:sz w:val="32"/>
          <w:szCs w:val="32"/>
          <w:lang w:val="en-US" w:eastAsia="zh-CN"/>
        </w:rPr>
        <w:t>1.68</w:t>
      </w:r>
      <w:r>
        <w:rPr>
          <w:rFonts w:hint="eastAsia" w:ascii="仿宋" w:hAnsi="仿宋" w:eastAsia="仿宋" w:cs="仿宋"/>
          <w:i w:val="0"/>
          <w:iCs w:val="0"/>
          <w:caps w:val="0"/>
          <w:color w:val="auto"/>
          <w:spacing w:val="0"/>
          <w:sz w:val="32"/>
          <w:szCs w:val="32"/>
        </w:rPr>
        <w:t>万人。其中：</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（一）企业职工基本养老保险基金</w:t>
      </w:r>
      <w:r>
        <w:rPr>
          <w:rFonts w:hint="eastAsia" w:ascii="Times New Roman" w:hAnsi="Times New Roman" w:eastAsia="楷体_GB2312" w:cs="Times New Roman"/>
          <w:b/>
          <w:bCs/>
          <w:color w:val="auto"/>
          <w:sz w:val="32"/>
          <w:szCs w:val="32"/>
          <w:highlight w:val="none"/>
          <w:lang w:val="en-US" w:eastAsia="zh-CN"/>
        </w:rPr>
        <w:t>收支</w:t>
      </w:r>
      <w:r>
        <w:rPr>
          <w:rFonts w:hint="default" w:ascii="Times New Roman" w:hAnsi="Times New Roman" w:eastAsia="楷体_GB2312" w:cs="Times New Roman"/>
          <w:b/>
          <w:bCs/>
          <w:color w:val="auto"/>
          <w:sz w:val="32"/>
          <w:szCs w:val="32"/>
          <w:highlight w:val="none"/>
          <w:lang w:val="en-US" w:eastAsia="zh-CN"/>
        </w:rPr>
        <w:t>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2023年度</w:t>
      </w:r>
      <w:r>
        <w:rPr>
          <w:rFonts w:hint="default" w:ascii="Times New Roman" w:hAnsi="Times New Roman" w:eastAsia="仿宋_GB2312" w:cs="Times New Roman"/>
          <w:sz w:val="32"/>
          <w:szCs w:val="32"/>
          <w:highlight w:val="none"/>
        </w:rPr>
        <w:t>县本级企业职工基本养老保险基金</w:t>
      </w:r>
      <w:r>
        <w:rPr>
          <w:rFonts w:hint="default" w:ascii="Times New Roman" w:hAnsi="Times New Roman" w:eastAsia="仿宋_GB2312" w:cs="Times New Roman"/>
          <w:sz w:val="32"/>
          <w:szCs w:val="32"/>
        </w:rPr>
        <w:t>收入为</w:t>
      </w:r>
      <w:r>
        <w:rPr>
          <w:rFonts w:hint="eastAsia" w:ascii="Times New Roman" w:hAnsi="Times New Roman" w:eastAsia="仿宋_GB2312" w:cs="Times New Roman"/>
          <w:sz w:val="32"/>
          <w:szCs w:val="32"/>
          <w:lang w:val="en-US" w:eastAsia="zh-CN"/>
        </w:rPr>
        <w:t>34299.94</w:t>
      </w:r>
      <w:r>
        <w:rPr>
          <w:rFonts w:hint="default" w:ascii="Times New Roman" w:hAnsi="Times New Roman" w:eastAsia="仿宋_GB2312" w:cs="Times New Roman"/>
          <w:sz w:val="32"/>
          <w:szCs w:val="32"/>
        </w:rPr>
        <w:t>万元，其中：基本养老保险保费收入</w:t>
      </w:r>
      <w:r>
        <w:rPr>
          <w:rFonts w:hint="eastAsia" w:ascii="Times New Roman" w:hAnsi="Times New Roman" w:eastAsia="仿宋_GB2312" w:cs="Times New Roman"/>
          <w:sz w:val="32"/>
          <w:szCs w:val="32"/>
          <w:lang w:val="en-US" w:eastAsia="zh-CN"/>
        </w:rPr>
        <w:t>12920.99</w:t>
      </w:r>
      <w:r>
        <w:rPr>
          <w:rFonts w:hint="default" w:ascii="Times New Roman" w:hAnsi="Times New Roman" w:eastAsia="仿宋_GB2312" w:cs="Times New Roman"/>
          <w:sz w:val="32"/>
          <w:szCs w:val="32"/>
        </w:rPr>
        <w:t>万元，利息收入</w:t>
      </w:r>
      <w:r>
        <w:rPr>
          <w:rFonts w:hint="eastAsia" w:ascii="Times New Roman" w:hAnsi="Times New Roman" w:eastAsia="仿宋_GB2312" w:cs="Times New Roman"/>
          <w:sz w:val="32"/>
          <w:szCs w:val="32"/>
          <w:lang w:val="en-US" w:eastAsia="zh-CN"/>
        </w:rPr>
        <w:t>26.46</w:t>
      </w:r>
      <w:r>
        <w:rPr>
          <w:rFonts w:hint="default" w:ascii="Times New Roman" w:hAnsi="Times New Roman" w:eastAsia="仿宋_GB2312" w:cs="Times New Roman"/>
          <w:sz w:val="32"/>
          <w:szCs w:val="32"/>
        </w:rPr>
        <w:t>万元，财政补贴收入</w:t>
      </w:r>
      <w:r>
        <w:rPr>
          <w:rFonts w:hint="eastAsia" w:ascii="Times New Roman" w:hAnsi="Times New Roman" w:eastAsia="仿宋_GB2312" w:cs="Times New Roman"/>
          <w:sz w:val="32"/>
          <w:szCs w:val="32"/>
          <w:lang w:val="en-US" w:eastAsia="zh-CN"/>
        </w:rPr>
        <w:t>12920.99</w:t>
      </w:r>
      <w:r>
        <w:rPr>
          <w:rFonts w:hint="default" w:ascii="Times New Roman" w:hAnsi="Times New Roman" w:eastAsia="仿宋_GB2312" w:cs="Times New Roman"/>
          <w:sz w:val="32"/>
          <w:szCs w:val="32"/>
        </w:rPr>
        <w:t>万元，委托投资收益</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万元，其他收入</w:t>
      </w:r>
      <w:r>
        <w:rPr>
          <w:rFonts w:hint="eastAsia" w:ascii="Times New Roman" w:hAnsi="Times New Roman" w:eastAsia="仿宋_GB2312" w:cs="Times New Roman"/>
          <w:sz w:val="32"/>
          <w:szCs w:val="32"/>
          <w:lang w:val="en-US" w:eastAsia="zh-CN"/>
        </w:rPr>
        <w:t>137.35</w:t>
      </w:r>
      <w:r>
        <w:rPr>
          <w:rFonts w:hint="default" w:ascii="Times New Roman" w:hAnsi="Times New Roman" w:eastAsia="仿宋_GB2312" w:cs="Times New Roman"/>
          <w:sz w:val="32"/>
          <w:szCs w:val="32"/>
        </w:rPr>
        <w:t>万元（滞纳金），转移收入</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2023年度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本级企业职工基本养老保险基金支出数为</w:t>
      </w:r>
      <w:r>
        <w:rPr>
          <w:rFonts w:hint="eastAsia" w:ascii="Times New Roman" w:hAnsi="Times New Roman" w:eastAsia="仿宋_GB2312" w:cs="Times New Roman"/>
          <w:sz w:val="32"/>
          <w:szCs w:val="32"/>
          <w:lang w:val="en-US" w:eastAsia="zh-CN"/>
        </w:rPr>
        <w:t>34785.38</w:t>
      </w:r>
      <w:r>
        <w:rPr>
          <w:rFonts w:hint="default" w:ascii="Times New Roman" w:hAnsi="Times New Roman" w:eastAsia="仿宋_GB2312" w:cs="Times New Roman"/>
          <w:sz w:val="32"/>
          <w:szCs w:val="32"/>
        </w:rPr>
        <w:t> 万元，其中基本养老保险支出</w:t>
      </w:r>
      <w:r>
        <w:rPr>
          <w:rFonts w:hint="eastAsia" w:ascii="Times New Roman" w:hAnsi="Times New Roman" w:eastAsia="仿宋_GB2312" w:cs="Times New Roman"/>
          <w:sz w:val="32"/>
          <w:szCs w:val="32"/>
          <w:lang w:val="en-US" w:eastAsia="zh-CN"/>
        </w:rPr>
        <w:t>20650.74</w:t>
      </w:r>
      <w:r>
        <w:rPr>
          <w:rFonts w:hint="default" w:ascii="Times New Roman" w:hAnsi="Times New Roman" w:eastAsia="仿宋_GB2312" w:cs="Times New Roman"/>
          <w:sz w:val="32"/>
          <w:szCs w:val="32"/>
        </w:rPr>
        <w:t>万元，丧葬抚恤补助支出</w:t>
      </w:r>
      <w:r>
        <w:rPr>
          <w:rFonts w:hint="eastAsia" w:ascii="Times New Roman" w:hAnsi="Times New Roman" w:eastAsia="仿宋_GB2312" w:cs="Times New Roman"/>
          <w:sz w:val="32"/>
          <w:szCs w:val="32"/>
          <w:lang w:val="en-US" w:eastAsia="zh-CN"/>
        </w:rPr>
        <w:t>1024.68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万元，转移支出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万元，上解上级支出</w:t>
      </w:r>
      <w:r>
        <w:rPr>
          <w:rFonts w:hint="eastAsia" w:ascii="Times New Roman" w:hAnsi="Times New Roman" w:eastAsia="仿宋_GB2312" w:cs="Times New Roman"/>
          <w:sz w:val="32"/>
          <w:szCs w:val="32"/>
          <w:lang w:val="en-US" w:eastAsia="zh-CN"/>
        </w:rPr>
        <w:t>13109.96</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度收支结余</w:t>
      </w:r>
      <w:r>
        <w:rPr>
          <w:rFonts w:hint="eastAsia" w:ascii="Times New Roman" w:hAnsi="Times New Roman" w:eastAsia="仿宋_GB2312" w:cs="Times New Roman"/>
          <w:sz w:val="32"/>
          <w:szCs w:val="32"/>
          <w:lang w:val="en-US" w:eastAsia="zh-CN"/>
        </w:rPr>
        <w:t>-555.44</w:t>
      </w:r>
      <w:r>
        <w:rPr>
          <w:rFonts w:hint="default" w:ascii="Times New Roman" w:hAnsi="Times New Roman" w:eastAsia="仿宋_GB2312" w:cs="Times New Roman"/>
          <w:sz w:val="32"/>
          <w:szCs w:val="32"/>
          <w:highlight w:val="none"/>
        </w:rPr>
        <w:t>万元，期末滚存结余</w:t>
      </w:r>
      <w:r>
        <w:rPr>
          <w:rFonts w:hint="eastAsia" w:ascii="Times New Roman" w:hAnsi="Times New Roman" w:eastAsia="仿宋_GB2312" w:cs="Times New Roman"/>
          <w:sz w:val="32"/>
          <w:szCs w:val="32"/>
          <w:highlight w:val="none"/>
          <w:lang w:val="en-US" w:eastAsia="zh-CN"/>
        </w:rPr>
        <w:t>1711.49</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（二）机关事业单位基本养老保险基金预算支出情况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、机关养老保险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县本级</w:t>
      </w:r>
      <w:r>
        <w:rPr>
          <w:rFonts w:hint="eastAsia" w:ascii="Times New Roman" w:hAnsi="Times New Roman" w:eastAsia="仿宋_GB2312" w:cs="Times New Roman"/>
          <w:b w:val="0"/>
          <w:bCs w:val="0"/>
          <w:sz w:val="32"/>
          <w:szCs w:val="32"/>
          <w:highlight w:val="none"/>
          <w:lang w:val="en-US" w:eastAsia="zh-CN"/>
        </w:rPr>
        <w:t>2023年度</w:t>
      </w:r>
      <w:r>
        <w:rPr>
          <w:rFonts w:hint="default" w:ascii="Times New Roman" w:hAnsi="Times New Roman" w:eastAsia="仿宋_GB2312" w:cs="Times New Roman"/>
          <w:b w:val="0"/>
          <w:bCs w:val="0"/>
          <w:sz w:val="32"/>
          <w:szCs w:val="32"/>
          <w:highlight w:val="none"/>
          <w:lang w:val="en-US" w:eastAsia="zh-CN"/>
        </w:rPr>
        <w:t>机关事业单位</w:t>
      </w:r>
      <w:r>
        <w:rPr>
          <w:rFonts w:hint="default" w:ascii="Times New Roman" w:hAnsi="Times New Roman" w:eastAsia="仿宋_GB2312" w:cs="Times New Roman"/>
          <w:color w:val="auto"/>
          <w:sz w:val="32"/>
          <w:szCs w:val="32"/>
          <w:highlight w:val="none"/>
          <w:lang w:val="en-US" w:eastAsia="zh-CN"/>
        </w:rPr>
        <w:t>基本养老保险基金</w:t>
      </w:r>
      <w:r>
        <w:rPr>
          <w:rFonts w:hint="default" w:ascii="Times New Roman" w:hAnsi="Times New Roman" w:eastAsia="仿宋_GB2312" w:cs="Times New Roman"/>
          <w:b w:val="0"/>
          <w:bCs w:val="0"/>
          <w:sz w:val="32"/>
          <w:szCs w:val="32"/>
          <w:highlight w:val="none"/>
          <w:lang w:val="en-US" w:eastAsia="zh-CN"/>
        </w:rPr>
        <w:t>总收入23300万元，其中征缴养老保险费为14121万元，利息收入20万元，财政补贴收入8789万元，转移收入319万元，其他收入51万元（追回多发待遇）。与去年同期相比，总收入相比减少了384万元，减少了1.6%</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其主要原因是本年度资金缺口小，所需财政补贴收入较少。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基金总支出23232万元，其中养老保险待遇支出23117万元，转移支出106万元，其他支出9万元（预缴款退费）。与去年同期相比，总支出增加672万元，增幅为2.9%，主要原因是退休人数增加，养老金有所上调。此外本年转出人员较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县本级机关养老保险基金滚存结余3765万元，其中支出户存款554万元，收入户存款0万元，财政专户存款3957万元，国库存款0万元，暂收款747万元（其中暂收养老保险费739万元；其他代发资金8万元），暂付款0万元，与去年同期相比养老保险基金结余增加了68万元，增加了1.8%，基金滚存结余增加的原因主要是本年度征缴收入较去年的大，所以滚存结余较大。基金的支撑力为1.9个月</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、职业年金</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2023</w:t>
      </w:r>
      <w:r>
        <w:rPr>
          <w:rFonts w:hint="default" w:ascii="Times New Roman" w:hAnsi="Times New Roman" w:eastAsia="仿宋_GB2312" w:cs="Times New Roman"/>
          <w:b w:val="0"/>
          <w:bCs w:val="0"/>
          <w:sz w:val="32"/>
          <w:szCs w:val="32"/>
          <w:highlight w:val="none"/>
          <w:lang w:val="en-US" w:eastAsia="zh-CN"/>
        </w:rPr>
        <w:t>年职业年金总收入4583万元，其中征缴收入4470万元，利息收入12万元，转移收入101万元。与去年同期相比职业年金总收入增加了568万元，增加了14%，其主要原因是：本年征缴收入较高。</w:t>
      </w:r>
      <w:r>
        <w:rPr>
          <w:rFonts w:hint="eastAsia" w:ascii="Times New Roman" w:hAnsi="Times New Roman" w:eastAsia="仿宋_GB2312" w:cs="Times New Roman"/>
          <w:b w:val="0"/>
          <w:bCs w:val="0"/>
          <w:sz w:val="32"/>
          <w:szCs w:val="32"/>
          <w:highlight w:val="none"/>
          <w:lang w:val="en-US" w:eastAsia="zh-CN"/>
        </w:rPr>
        <w:t>2023</w:t>
      </w:r>
      <w:r>
        <w:rPr>
          <w:rFonts w:hint="default" w:ascii="Times New Roman" w:hAnsi="Times New Roman" w:eastAsia="仿宋_GB2312" w:cs="Times New Roman"/>
          <w:b w:val="0"/>
          <w:bCs w:val="0"/>
          <w:sz w:val="32"/>
          <w:szCs w:val="32"/>
          <w:highlight w:val="none"/>
          <w:lang w:val="en-US" w:eastAsia="zh-CN"/>
        </w:rPr>
        <w:t>年职业年金总支出4646万元，其中上解支出4646万元，其他支出0万元（预缴款退费），与去年同期相比，总支出增加了485万元，增加了11.6%。其主要原因是：本年度结余的征缴收入较多，故需要上解数较大。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截止</w:t>
      </w:r>
      <w:r>
        <w:rPr>
          <w:rFonts w:hint="eastAsia" w:ascii="Times New Roman" w:hAnsi="Times New Roman" w:eastAsia="仿宋_GB2312" w:cs="Times New Roman"/>
          <w:b w:val="0"/>
          <w:bCs w:val="0"/>
          <w:sz w:val="32"/>
          <w:szCs w:val="32"/>
          <w:highlight w:val="none"/>
          <w:lang w:val="en-US" w:eastAsia="zh-CN"/>
        </w:rPr>
        <w:t>2023年12</w:t>
      </w:r>
      <w:r>
        <w:rPr>
          <w:rFonts w:hint="default" w:ascii="Times New Roman" w:hAnsi="Times New Roman" w:eastAsia="仿宋_GB2312" w:cs="Times New Roman"/>
          <w:b w:val="0"/>
          <w:bCs w:val="0"/>
          <w:sz w:val="32"/>
          <w:szCs w:val="32"/>
          <w:highlight w:val="none"/>
          <w:lang w:val="en-US" w:eastAsia="zh-CN"/>
        </w:rPr>
        <w:t>月</w:t>
      </w:r>
      <w:r>
        <w:rPr>
          <w:rFonts w:hint="eastAsia" w:ascii="Times New Roman" w:hAnsi="Times New Roman" w:eastAsia="仿宋_GB2312" w:cs="Times New Roman"/>
          <w:b w:val="0"/>
          <w:bCs w:val="0"/>
          <w:sz w:val="32"/>
          <w:szCs w:val="32"/>
          <w:highlight w:val="none"/>
          <w:lang w:val="en-US" w:eastAsia="zh-CN"/>
        </w:rPr>
        <w:t>31</w:t>
      </w:r>
      <w:r>
        <w:rPr>
          <w:rFonts w:hint="default" w:ascii="Times New Roman" w:hAnsi="Times New Roman" w:eastAsia="仿宋_GB2312" w:cs="Times New Roman"/>
          <w:b w:val="0"/>
          <w:bCs w:val="0"/>
          <w:sz w:val="32"/>
          <w:szCs w:val="32"/>
          <w:highlight w:val="none"/>
          <w:lang w:val="en-US" w:eastAsia="zh-CN"/>
        </w:rPr>
        <w:t>日职业年金滚存结余为173万元，与去年同期相比，滚存结余减少了64万元，减少了27%</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其主要原因是：去年期初结余较大，所以滚存结余相比今年较大。</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（三）城乡居民基本养老保险基金预算支出情况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2023</w:t>
      </w:r>
      <w:r>
        <w:rPr>
          <w:rFonts w:hint="default" w:ascii="Times New Roman" w:hAnsi="Times New Roman" w:eastAsia="仿宋_GB2312" w:cs="Times New Roman"/>
          <w:b w:val="0"/>
          <w:bCs w:val="0"/>
          <w:sz w:val="32"/>
          <w:szCs w:val="32"/>
          <w:highlight w:val="none"/>
          <w:lang w:val="en-US" w:eastAsia="zh-CN"/>
        </w:rPr>
        <w:t>年基金总收入为</w:t>
      </w:r>
      <w:r>
        <w:rPr>
          <w:rFonts w:hint="eastAsia" w:ascii="Times New Roman" w:hAnsi="Times New Roman" w:eastAsia="仿宋_GB2312" w:cs="Times New Roman"/>
          <w:b w:val="0"/>
          <w:bCs w:val="0"/>
          <w:sz w:val="32"/>
          <w:szCs w:val="32"/>
          <w:highlight w:val="none"/>
          <w:lang w:val="en-US" w:eastAsia="zh-CN"/>
        </w:rPr>
        <w:t>14550</w:t>
      </w:r>
      <w:r>
        <w:rPr>
          <w:rFonts w:hint="default" w:ascii="Times New Roman" w:hAnsi="Times New Roman" w:eastAsia="仿宋_GB2312" w:cs="Times New Roman"/>
          <w:b w:val="0"/>
          <w:bCs w:val="0"/>
          <w:sz w:val="32"/>
          <w:szCs w:val="32"/>
          <w:highlight w:val="none"/>
          <w:lang w:val="en-US" w:eastAsia="zh-CN"/>
        </w:rPr>
        <w:t>万元，其中个人缴费收入</w:t>
      </w:r>
      <w:r>
        <w:rPr>
          <w:rFonts w:hint="eastAsia" w:ascii="Times New Roman" w:hAnsi="Times New Roman" w:eastAsia="仿宋_GB2312" w:cs="Times New Roman"/>
          <w:b w:val="0"/>
          <w:bCs w:val="0"/>
          <w:sz w:val="32"/>
          <w:szCs w:val="32"/>
          <w:highlight w:val="none"/>
          <w:lang w:val="en-US" w:eastAsia="zh-CN"/>
        </w:rPr>
        <w:t>4889</w:t>
      </w:r>
      <w:r>
        <w:rPr>
          <w:rFonts w:hint="default" w:ascii="Times New Roman" w:hAnsi="Times New Roman" w:eastAsia="仿宋_GB2312" w:cs="Times New Roman"/>
          <w:b w:val="0"/>
          <w:bCs w:val="0"/>
          <w:sz w:val="32"/>
          <w:szCs w:val="32"/>
          <w:highlight w:val="none"/>
          <w:lang w:val="en-US" w:eastAsia="zh-CN"/>
        </w:rPr>
        <w:t>万元，财政补贴收入</w:t>
      </w:r>
      <w:r>
        <w:rPr>
          <w:rFonts w:hint="eastAsia" w:ascii="Times New Roman" w:hAnsi="Times New Roman" w:eastAsia="仿宋_GB2312" w:cs="Times New Roman"/>
          <w:b w:val="0"/>
          <w:bCs w:val="0"/>
          <w:sz w:val="32"/>
          <w:szCs w:val="32"/>
          <w:highlight w:val="none"/>
          <w:lang w:val="en-US" w:eastAsia="zh-CN"/>
        </w:rPr>
        <w:t>9568</w:t>
      </w:r>
      <w:r>
        <w:rPr>
          <w:rFonts w:hint="default" w:ascii="Times New Roman" w:hAnsi="Times New Roman" w:eastAsia="仿宋_GB2312" w:cs="Times New Roman"/>
          <w:b w:val="0"/>
          <w:bCs w:val="0"/>
          <w:sz w:val="32"/>
          <w:szCs w:val="32"/>
          <w:highlight w:val="none"/>
          <w:lang w:val="en-US" w:eastAsia="zh-CN"/>
        </w:rPr>
        <w:t>万元，利息收入</w:t>
      </w:r>
      <w:r>
        <w:rPr>
          <w:rFonts w:hint="eastAsia" w:ascii="Times New Roman" w:hAnsi="Times New Roman" w:eastAsia="仿宋_GB2312" w:cs="Times New Roman"/>
          <w:b w:val="0"/>
          <w:bCs w:val="0"/>
          <w:sz w:val="32"/>
          <w:szCs w:val="32"/>
          <w:highlight w:val="none"/>
          <w:lang w:val="en-US" w:eastAsia="zh-CN"/>
        </w:rPr>
        <w:t>67</w:t>
      </w:r>
      <w:r>
        <w:rPr>
          <w:rFonts w:hint="default" w:ascii="Times New Roman" w:hAnsi="Times New Roman" w:eastAsia="仿宋_GB2312" w:cs="Times New Roman"/>
          <w:b w:val="0"/>
          <w:bCs w:val="0"/>
          <w:sz w:val="32"/>
          <w:szCs w:val="32"/>
          <w:highlight w:val="none"/>
          <w:lang w:val="en-US" w:eastAsia="zh-CN"/>
        </w:rPr>
        <w:t>万元，转移收入</w:t>
      </w:r>
      <w:r>
        <w:rPr>
          <w:rFonts w:hint="eastAsia" w:ascii="Times New Roman" w:hAnsi="Times New Roman" w:eastAsia="仿宋_GB2312" w:cs="Times New Roman"/>
          <w:b w:val="0"/>
          <w:bCs w:val="0"/>
          <w:sz w:val="32"/>
          <w:szCs w:val="32"/>
          <w:highlight w:val="none"/>
          <w:lang w:val="en-US" w:eastAsia="zh-CN"/>
        </w:rPr>
        <w:t>26</w:t>
      </w:r>
      <w:r>
        <w:rPr>
          <w:rFonts w:hint="default" w:ascii="Times New Roman" w:hAnsi="Times New Roman" w:eastAsia="仿宋_GB2312" w:cs="Times New Roman"/>
          <w:b w:val="0"/>
          <w:bCs w:val="0"/>
          <w:sz w:val="32"/>
          <w:szCs w:val="32"/>
          <w:highlight w:val="none"/>
          <w:lang w:val="en-US" w:eastAsia="zh-CN"/>
        </w:rPr>
        <w:t>万元，其他收入</w:t>
      </w:r>
      <w:r>
        <w:rPr>
          <w:rFonts w:hint="eastAsia" w:ascii="Times New Roman" w:hAnsi="Times New Roman" w:eastAsia="仿宋_GB2312"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lang w:val="en-US" w:eastAsia="zh-CN"/>
        </w:rPr>
        <w:t>万元（稽核退回养老金）。相比</w:t>
      </w:r>
      <w:r>
        <w:rPr>
          <w:rFonts w:hint="eastAsia"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b w:val="0"/>
          <w:bCs w:val="0"/>
          <w:sz w:val="32"/>
          <w:szCs w:val="32"/>
          <w:lang w:val="en-US" w:eastAsia="zh-CN"/>
        </w:rPr>
        <w:t>年同期，基金总收入增加了</w:t>
      </w:r>
      <w:r>
        <w:rPr>
          <w:rFonts w:hint="eastAsia" w:ascii="Times New Roman" w:hAnsi="Times New Roman" w:eastAsia="仿宋_GB2312" w:cs="Times New Roman"/>
          <w:b w:val="0"/>
          <w:bCs w:val="0"/>
          <w:sz w:val="32"/>
          <w:szCs w:val="32"/>
          <w:lang w:val="en-US" w:eastAsia="zh-CN"/>
        </w:rPr>
        <w:t>1919</w:t>
      </w:r>
      <w:r>
        <w:rPr>
          <w:rFonts w:hint="default" w:ascii="Times New Roman" w:hAnsi="Times New Roman" w:eastAsia="仿宋_GB2312" w:cs="Times New Roman"/>
          <w:b w:val="0"/>
          <w:bCs w:val="0"/>
          <w:sz w:val="32"/>
          <w:szCs w:val="32"/>
          <w:lang w:val="en-US" w:eastAsia="zh-CN"/>
        </w:rPr>
        <w:t>万元，增幅为</w:t>
      </w:r>
      <w:r>
        <w:rPr>
          <w:rFonts w:hint="eastAsia" w:ascii="Times New Roman" w:hAnsi="Times New Roman" w:eastAsia="仿宋_GB2312" w:cs="Times New Roman"/>
          <w:b w:val="0"/>
          <w:bCs w:val="0"/>
          <w:sz w:val="32"/>
          <w:szCs w:val="32"/>
          <w:lang w:val="en-US" w:eastAsia="zh-CN"/>
        </w:rPr>
        <w:t>15.1</w:t>
      </w:r>
      <w:r>
        <w:rPr>
          <w:rFonts w:hint="default" w:ascii="Times New Roman" w:hAnsi="Times New Roman" w:eastAsia="仿宋_GB2312" w:cs="Times New Roman"/>
          <w:b w:val="0"/>
          <w:bCs w:val="0"/>
          <w:sz w:val="32"/>
          <w:szCs w:val="32"/>
          <w:lang w:val="en-US" w:eastAsia="zh-CN"/>
        </w:rPr>
        <w:t>%，主要原因是本年度及时划转了财政补贴收入，所以总收入相比去年增幅较大。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本年基金总支出</w:t>
      </w:r>
      <w:r>
        <w:rPr>
          <w:rFonts w:hint="eastAsia" w:ascii="Times New Roman" w:hAnsi="Times New Roman" w:eastAsia="仿宋_GB2312" w:cs="Times New Roman"/>
          <w:b w:val="0"/>
          <w:bCs w:val="0"/>
          <w:sz w:val="32"/>
          <w:szCs w:val="32"/>
          <w:lang w:val="en-US" w:eastAsia="zh-CN"/>
        </w:rPr>
        <w:t>9652</w:t>
      </w:r>
      <w:r>
        <w:rPr>
          <w:rFonts w:hint="default" w:ascii="Times New Roman" w:hAnsi="Times New Roman" w:eastAsia="仿宋_GB2312" w:cs="Times New Roman"/>
          <w:b w:val="0"/>
          <w:bCs w:val="0"/>
          <w:sz w:val="32"/>
          <w:szCs w:val="32"/>
          <w:lang w:val="en-US" w:eastAsia="zh-CN"/>
        </w:rPr>
        <w:t>万元，其中社会保险待遇支出</w:t>
      </w:r>
      <w:r>
        <w:rPr>
          <w:rFonts w:hint="eastAsia" w:ascii="Times New Roman" w:hAnsi="Times New Roman" w:eastAsia="仿宋_GB2312" w:cs="Times New Roman"/>
          <w:b w:val="0"/>
          <w:bCs w:val="0"/>
          <w:sz w:val="32"/>
          <w:szCs w:val="32"/>
          <w:lang w:val="en-US" w:eastAsia="zh-CN"/>
        </w:rPr>
        <w:t>9639</w:t>
      </w:r>
      <w:r>
        <w:rPr>
          <w:rFonts w:hint="default" w:ascii="Times New Roman" w:hAnsi="Times New Roman" w:eastAsia="仿宋_GB2312" w:cs="Times New Roman"/>
          <w:b w:val="0"/>
          <w:bCs w:val="0"/>
          <w:sz w:val="32"/>
          <w:szCs w:val="32"/>
          <w:lang w:val="en-US" w:eastAsia="zh-CN"/>
        </w:rPr>
        <w:t>万元，转移支出</w:t>
      </w:r>
      <w:r>
        <w:rPr>
          <w:rFonts w:hint="eastAsia"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lang w:val="en-US" w:eastAsia="zh-CN"/>
        </w:rPr>
        <w:t>万元，其他支出</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万元（为被征地补助回退）。相比</w:t>
      </w:r>
      <w:r>
        <w:rPr>
          <w:rFonts w:hint="eastAsia"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b w:val="0"/>
          <w:bCs w:val="0"/>
          <w:sz w:val="32"/>
          <w:szCs w:val="32"/>
          <w:lang w:val="en-US" w:eastAsia="zh-CN"/>
        </w:rPr>
        <w:t>年同期，基金支出增加了</w:t>
      </w:r>
      <w:r>
        <w:rPr>
          <w:rFonts w:hint="eastAsia" w:ascii="Times New Roman" w:hAnsi="Times New Roman" w:eastAsia="仿宋_GB2312" w:cs="Times New Roman"/>
          <w:b w:val="0"/>
          <w:bCs w:val="0"/>
          <w:sz w:val="32"/>
          <w:szCs w:val="32"/>
          <w:lang w:val="en-US" w:eastAsia="zh-CN"/>
        </w:rPr>
        <w:t>808</w:t>
      </w:r>
      <w:r>
        <w:rPr>
          <w:rFonts w:hint="default" w:ascii="Times New Roman" w:hAnsi="Times New Roman" w:eastAsia="仿宋_GB2312" w:cs="Times New Roman"/>
          <w:b w:val="0"/>
          <w:bCs w:val="0"/>
          <w:sz w:val="32"/>
          <w:szCs w:val="32"/>
          <w:lang w:val="en-US" w:eastAsia="zh-CN"/>
        </w:rPr>
        <w:t>万元，增幅为</w:t>
      </w:r>
      <w:r>
        <w:rPr>
          <w:rFonts w:hint="eastAsia" w:ascii="Times New Roman" w:hAnsi="Times New Roman" w:eastAsia="仿宋_GB2312" w:cs="Times New Roman"/>
          <w:b w:val="0"/>
          <w:bCs w:val="0"/>
          <w:sz w:val="32"/>
          <w:szCs w:val="32"/>
          <w:lang w:val="en-US" w:eastAsia="zh-CN"/>
        </w:rPr>
        <w:t>9.1</w:t>
      </w:r>
      <w:r>
        <w:rPr>
          <w:rFonts w:hint="default" w:ascii="Times New Roman" w:hAnsi="Times New Roman" w:eastAsia="仿宋_GB2312" w:cs="Times New Roman"/>
          <w:b w:val="0"/>
          <w:bCs w:val="0"/>
          <w:sz w:val="32"/>
          <w:szCs w:val="32"/>
          <w:lang w:val="en-US" w:eastAsia="zh-CN"/>
        </w:rPr>
        <w:t>%，主要原因是待遇领取人数有所增加，此外本年度</w:t>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月开始基础养老金提标</w:t>
      </w:r>
      <w:r>
        <w:rPr>
          <w:rFonts w:hint="eastAsia"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lang w:val="en-US" w:eastAsia="zh-CN"/>
        </w:rPr>
        <w:t>元/人/月。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b w:val="0"/>
          <w:bCs w:val="0"/>
          <w:sz w:val="32"/>
          <w:szCs w:val="32"/>
          <w:lang w:val="en-US" w:eastAsia="zh-CN"/>
        </w:rPr>
        <w:t>本年基金滚存结余</w:t>
      </w:r>
      <w:r>
        <w:rPr>
          <w:rFonts w:hint="eastAsia" w:ascii="Times New Roman" w:hAnsi="Times New Roman" w:eastAsia="仿宋_GB2312" w:cs="Times New Roman"/>
          <w:b w:val="0"/>
          <w:bCs w:val="0"/>
          <w:sz w:val="32"/>
          <w:szCs w:val="32"/>
          <w:lang w:val="en-US" w:eastAsia="zh-CN"/>
        </w:rPr>
        <w:t>31623</w:t>
      </w:r>
      <w:r>
        <w:rPr>
          <w:rFonts w:hint="default" w:ascii="Times New Roman" w:hAnsi="Times New Roman" w:eastAsia="仿宋_GB2312" w:cs="Times New Roman"/>
          <w:b w:val="0"/>
          <w:bCs w:val="0"/>
          <w:sz w:val="32"/>
          <w:szCs w:val="32"/>
          <w:lang w:val="en-US" w:eastAsia="zh-CN"/>
        </w:rPr>
        <w:t>万元，其中收入户存款</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万元，支出户存款</w:t>
      </w:r>
      <w:r>
        <w:rPr>
          <w:rFonts w:hint="eastAsia" w:ascii="Times New Roman" w:hAnsi="Times New Roman" w:eastAsia="仿宋_GB2312" w:cs="Times New Roman"/>
          <w:b w:val="0"/>
          <w:bCs w:val="0"/>
          <w:sz w:val="32"/>
          <w:szCs w:val="32"/>
          <w:lang w:val="en-US" w:eastAsia="zh-CN"/>
        </w:rPr>
        <w:t>401</w:t>
      </w:r>
      <w:r>
        <w:rPr>
          <w:rFonts w:hint="default" w:ascii="Times New Roman" w:hAnsi="Times New Roman" w:eastAsia="仿宋_GB2312" w:cs="Times New Roman"/>
          <w:b w:val="0"/>
          <w:bCs w:val="0"/>
          <w:sz w:val="32"/>
          <w:szCs w:val="32"/>
          <w:lang w:val="en-US" w:eastAsia="zh-CN"/>
        </w:rPr>
        <w:t>万元，财政专户存款</w:t>
      </w:r>
      <w:r>
        <w:rPr>
          <w:rFonts w:hint="eastAsia" w:ascii="Times New Roman" w:hAnsi="Times New Roman" w:eastAsia="仿宋_GB2312" w:cs="Times New Roman"/>
          <w:b w:val="0"/>
          <w:bCs w:val="0"/>
          <w:sz w:val="32"/>
          <w:szCs w:val="32"/>
          <w:lang w:val="en-US" w:eastAsia="zh-CN"/>
        </w:rPr>
        <w:t>6155</w:t>
      </w:r>
      <w:r>
        <w:rPr>
          <w:rFonts w:hint="default" w:ascii="Times New Roman" w:hAnsi="Times New Roman" w:eastAsia="仿宋_GB2312" w:cs="Times New Roman"/>
          <w:b w:val="0"/>
          <w:bCs w:val="0"/>
          <w:sz w:val="32"/>
          <w:szCs w:val="32"/>
          <w:lang w:val="en-US" w:eastAsia="zh-CN"/>
        </w:rPr>
        <w:t>万元，国库存款</w:t>
      </w:r>
      <w:r>
        <w:rPr>
          <w:rFonts w:hint="eastAsia" w:ascii="Times New Roman" w:hAnsi="Times New Roman" w:eastAsia="仿宋_GB2312" w:cs="Times New Roman"/>
          <w:b w:val="0"/>
          <w:bCs w:val="0"/>
          <w:sz w:val="32"/>
          <w:szCs w:val="32"/>
          <w:lang w:val="en-US" w:eastAsia="zh-CN"/>
        </w:rPr>
        <w:t>34</w:t>
      </w:r>
      <w:r>
        <w:rPr>
          <w:rFonts w:hint="default" w:ascii="Times New Roman" w:hAnsi="Times New Roman" w:eastAsia="仿宋_GB2312" w:cs="Times New Roman"/>
          <w:b w:val="0"/>
          <w:bCs w:val="0"/>
          <w:sz w:val="32"/>
          <w:szCs w:val="32"/>
          <w:lang w:val="en-US" w:eastAsia="zh-CN"/>
        </w:rPr>
        <w:t>万元，暂付款</w:t>
      </w:r>
      <w:r>
        <w:rPr>
          <w:rFonts w:hint="eastAsia" w:ascii="Times New Roman" w:hAnsi="Times New Roman" w:eastAsia="仿宋_GB2312" w:cs="Times New Roman"/>
          <w:b w:val="0"/>
          <w:bCs w:val="0"/>
          <w:sz w:val="32"/>
          <w:szCs w:val="32"/>
          <w:lang w:val="en-US" w:eastAsia="zh-CN"/>
        </w:rPr>
        <w:t>25045</w:t>
      </w:r>
      <w:r>
        <w:rPr>
          <w:rFonts w:hint="default" w:ascii="Times New Roman" w:hAnsi="Times New Roman" w:eastAsia="仿宋_GB2312" w:cs="Times New Roman"/>
          <w:b w:val="0"/>
          <w:bCs w:val="0"/>
          <w:sz w:val="32"/>
          <w:szCs w:val="32"/>
          <w:lang w:val="en-US" w:eastAsia="zh-CN"/>
        </w:rPr>
        <w:t>万元（上解到省级的个人账户基金），暂收款</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万元（暂收稽核退回无人认领养老金），相比</w:t>
      </w:r>
      <w:r>
        <w:rPr>
          <w:rFonts w:hint="eastAsia"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b w:val="0"/>
          <w:bCs w:val="0"/>
          <w:sz w:val="32"/>
          <w:szCs w:val="32"/>
          <w:lang w:val="en-US" w:eastAsia="zh-CN"/>
        </w:rPr>
        <w:t>年同期，滚存基金增加了</w:t>
      </w:r>
      <w:r>
        <w:rPr>
          <w:rFonts w:hint="eastAsia" w:ascii="Times New Roman" w:hAnsi="Times New Roman" w:eastAsia="仿宋_GB2312" w:cs="Times New Roman"/>
          <w:b w:val="0"/>
          <w:bCs w:val="0"/>
          <w:sz w:val="32"/>
          <w:szCs w:val="32"/>
          <w:lang w:val="en-US" w:eastAsia="zh-CN"/>
        </w:rPr>
        <w:t>4898</w:t>
      </w:r>
      <w:r>
        <w:rPr>
          <w:rFonts w:hint="default" w:ascii="Times New Roman" w:hAnsi="Times New Roman" w:eastAsia="仿宋_GB2312" w:cs="Times New Roman"/>
          <w:b w:val="0"/>
          <w:bCs w:val="0"/>
          <w:sz w:val="32"/>
          <w:szCs w:val="32"/>
          <w:lang w:val="en-US" w:eastAsia="zh-CN"/>
        </w:rPr>
        <w:t>万元，增幅为</w:t>
      </w:r>
      <w:r>
        <w:rPr>
          <w:rFonts w:hint="eastAsia" w:ascii="Times New Roman" w:hAnsi="Times New Roman" w:eastAsia="仿宋_GB2312" w:cs="Times New Roman"/>
          <w:b w:val="0"/>
          <w:bCs w:val="0"/>
          <w:sz w:val="32"/>
          <w:szCs w:val="32"/>
          <w:lang w:val="en-US" w:eastAsia="zh-CN"/>
        </w:rPr>
        <w:t>18.3</w:t>
      </w:r>
      <w:r>
        <w:rPr>
          <w:rFonts w:hint="default" w:ascii="Times New Roman" w:hAnsi="Times New Roman" w:eastAsia="仿宋_GB2312" w:cs="Times New Roman"/>
          <w:b w:val="0"/>
          <w:bCs w:val="0"/>
          <w:sz w:val="32"/>
          <w:szCs w:val="32"/>
          <w:lang w:val="en-US" w:eastAsia="zh-CN"/>
        </w:rPr>
        <w:t>%。主要原因是，本年度及时划转了财政补助收入，所以滚存结余有所增加。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both"/>
        <w:rPr>
          <w:rFonts w:hint="default" w:ascii="Calibri" w:hAnsi="Calibri" w:cs="Calibri"/>
          <w:color w:val="auto"/>
          <w:sz w:val="21"/>
          <w:szCs w:val="21"/>
        </w:rPr>
      </w:pPr>
      <w:r>
        <w:rPr>
          <w:rFonts w:hint="eastAsia" w:ascii="楷体" w:hAnsi="楷体" w:eastAsia="楷体" w:cs="楷体"/>
          <w:b/>
          <w:bCs/>
          <w:i w:val="0"/>
          <w:iCs w:val="0"/>
          <w:caps w:val="0"/>
          <w:color w:val="auto"/>
          <w:spacing w:val="0"/>
          <w:sz w:val="32"/>
          <w:szCs w:val="32"/>
        </w:rPr>
        <w:t>（四）工伤保险基金预算支出情况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工伤保险基金为市级统筹，县本级无预算支出。</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both"/>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sz w:val="32"/>
          <w:szCs w:val="32"/>
        </w:rPr>
        <w:t>失业保险基金预算支出情况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lang w:eastAsia="zh-CN"/>
        </w:rPr>
        <w:t>失业</w:t>
      </w:r>
      <w:r>
        <w:rPr>
          <w:rFonts w:hint="eastAsia" w:ascii="仿宋" w:hAnsi="仿宋" w:eastAsia="仿宋" w:cs="仿宋"/>
          <w:i w:val="0"/>
          <w:iCs w:val="0"/>
          <w:caps w:val="0"/>
          <w:color w:val="auto"/>
          <w:spacing w:val="0"/>
          <w:sz w:val="32"/>
          <w:szCs w:val="32"/>
        </w:rPr>
        <w:t>保险基金为</w:t>
      </w:r>
      <w:r>
        <w:rPr>
          <w:rFonts w:hint="eastAsia" w:ascii="仿宋" w:hAnsi="仿宋" w:eastAsia="仿宋" w:cs="仿宋"/>
          <w:i w:val="0"/>
          <w:iCs w:val="0"/>
          <w:caps w:val="0"/>
          <w:color w:val="auto"/>
          <w:spacing w:val="0"/>
          <w:sz w:val="32"/>
          <w:szCs w:val="32"/>
          <w:lang w:eastAsia="zh-CN"/>
        </w:rPr>
        <w:t>省</w:t>
      </w:r>
      <w:r>
        <w:rPr>
          <w:rFonts w:hint="eastAsia" w:ascii="仿宋" w:hAnsi="仿宋" w:eastAsia="仿宋" w:cs="仿宋"/>
          <w:i w:val="0"/>
          <w:iCs w:val="0"/>
          <w:caps w:val="0"/>
          <w:color w:val="auto"/>
          <w:spacing w:val="0"/>
          <w:sz w:val="32"/>
          <w:szCs w:val="32"/>
        </w:rPr>
        <w:t>级统筹，县本级无预算支出。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（一）综合评价结论。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我单位财务制度健全，管理规范，各项制度能有效执行。“三公”经费支出未超预算，通过加强绩效管理，使资金得到有效使用，行政效率得到提高，促进了人社系统各项工作顺利开展。202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年度绩效目标全面完成，部门整体支出绩效自评得分为96分，评价等级为优。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3"/>
        <w:jc w:val="left"/>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rPr>
        <w:t>（二）评价指标分析（或综合评价情况）。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b/>
          <w:bCs/>
          <w:i w:val="0"/>
          <w:iCs w:val="0"/>
          <w:caps w:val="0"/>
          <w:color w:val="000000"/>
          <w:spacing w:val="0"/>
          <w:sz w:val="32"/>
          <w:szCs w:val="32"/>
        </w:rPr>
        <w:t>1、对履职效能主要指标的完成情况进行具体分析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年，我局以深入学习贯彻党的二十大精神为引领，全面从严治党为主线，增强党员示范带动作用，积极发动基层堡垒作用，提升干部人才素质，塑造良好的人社部门形象，增强社会效益。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b/>
          <w:bCs/>
          <w:i w:val="0"/>
          <w:iCs w:val="0"/>
          <w:caps w:val="0"/>
          <w:color w:val="000000"/>
          <w:spacing w:val="0"/>
          <w:sz w:val="32"/>
          <w:szCs w:val="32"/>
        </w:rPr>
        <w:t>2、对管理效率主要指标的完成情况进行具体分析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我局聚焦思想引领，用习近平新时代中国特色社会主义思想武装党员干部头脑。提升政治能力。通过“两学一做”培训党员干部，提高干部队伍素质，切实提升全局工作人员的工作能力和业务水平。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80"/>
        <w:jc w:val="both"/>
        <w:rPr>
          <w:rFonts w:hint="default" w:ascii="Calibri" w:hAnsi="Calibri" w:cs="Calibri"/>
          <w:sz w:val="21"/>
          <w:szCs w:val="21"/>
        </w:rPr>
      </w:pPr>
      <w:r>
        <w:rPr>
          <w:rFonts w:hint="eastAsia" w:ascii="仿宋" w:hAnsi="仿宋" w:eastAsia="仿宋" w:cs="仿宋"/>
          <w:b/>
          <w:bCs/>
          <w:i w:val="0"/>
          <w:iCs w:val="0"/>
          <w:caps w:val="0"/>
          <w:color w:val="000000"/>
          <w:spacing w:val="0"/>
          <w:sz w:val="32"/>
          <w:szCs w:val="32"/>
        </w:rPr>
        <w:t>3、对履职效益主要指标的完成情况进行具体分析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rPr>
        <w:t>一是聚焦基层基础，持续增强基层党组织政治功能和组织力。二是持续推动“学党史、悟思想、办实事、开新局”主题教育常态化制度化。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我局在编制部门年度预算时，虽然根据本单位职能职责和年度工作计划，但在202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年部门预算执行过程中，仍然存在以下问题：内控制度、财务制度还有待进一步完善；绩效目标设置有待进一步优化，目标不够明确、细化和量化，有待进一步提高可操作性。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八、下一步改进措施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567"/>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rPr>
        <w:t>（一）</w:t>
      </w:r>
      <w:r>
        <w:rPr>
          <w:rFonts w:hint="eastAsia" w:ascii="仿宋" w:hAnsi="仿宋" w:eastAsia="仿宋" w:cs="仿宋"/>
          <w:i w:val="0"/>
          <w:iCs w:val="0"/>
          <w:caps w:val="0"/>
          <w:color w:val="000000"/>
          <w:spacing w:val="0"/>
          <w:sz w:val="32"/>
          <w:szCs w:val="32"/>
        </w:rPr>
        <w:t>进一步深入学习贯彻落实《中华人民共和国预算法》，切实提高对《中华人民共和国预算法》重要意义的认识，准确把握《中华人民共和国预算法》的精神、原则和各项具体规定，进一步增强法治意识，强化预算约束，加强预算管理，建立健全全面规范、公开透明的预算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567"/>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rPr>
        <w:t>（二）</w:t>
      </w:r>
      <w:r>
        <w:rPr>
          <w:rFonts w:hint="eastAsia" w:ascii="仿宋" w:hAnsi="仿宋" w:eastAsia="仿宋" w:cs="仿宋"/>
          <w:i w:val="0"/>
          <w:iCs w:val="0"/>
          <w:caps w:val="0"/>
          <w:color w:val="000000"/>
          <w:spacing w:val="0"/>
          <w:sz w:val="32"/>
          <w:szCs w:val="32"/>
        </w:rPr>
        <w:t>加强预算编制管理，在坚持全口径预算管理要求的同时，紧紧围绕县委、县政府重点工作安排，确定单位年度工作重点，合理编制部门年初预算。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567"/>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rPr>
        <w:t>（三）</w:t>
      </w:r>
      <w:r>
        <w:rPr>
          <w:rFonts w:hint="eastAsia" w:ascii="仿宋" w:hAnsi="仿宋" w:eastAsia="仿宋" w:cs="仿宋"/>
          <w:i w:val="0"/>
          <w:iCs w:val="0"/>
          <w:caps w:val="0"/>
          <w:color w:val="000000"/>
          <w:spacing w:val="0"/>
          <w:sz w:val="32"/>
          <w:szCs w:val="32"/>
        </w:rPr>
        <w:t>抓好绩效评价管理部门的队伍建设和业务指导，培育统计调查项目和部门的绩效评价管理队伍，组建专家队伍，并加强业务培训。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567"/>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rPr>
        <w:t>（四）</w:t>
      </w:r>
      <w:r>
        <w:rPr>
          <w:rFonts w:hint="eastAsia" w:ascii="仿宋" w:hAnsi="仿宋" w:eastAsia="仿宋" w:cs="仿宋"/>
          <w:i w:val="0"/>
          <w:iCs w:val="0"/>
          <w:caps w:val="0"/>
          <w:color w:val="000000"/>
          <w:spacing w:val="0"/>
          <w:sz w:val="32"/>
          <w:szCs w:val="32"/>
        </w:rPr>
        <w:t>把绩效评价作为统计系统各级各部门的日常性工作，建立绩效评价管理工作考核的长效机制。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rPr>
        <w:t>九、其他需要说明的情况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eastAsia" w:ascii="仿宋" w:hAnsi="仿宋" w:eastAsia="仿宋" w:cs="仿宋"/>
          <w:i w:val="0"/>
          <w:iCs w:val="0"/>
          <w:caps w:val="0"/>
          <w:color w:val="000000"/>
          <w:spacing w:val="0"/>
          <w:sz w:val="32"/>
          <w:szCs w:val="32"/>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3" w:lineRule="atLeast"/>
        <w:ind w:left="0" w:right="0" w:firstLine="640"/>
        <w:jc w:val="left"/>
        <w:rPr>
          <w:rFonts w:hint="default" w:ascii="Calibri" w:hAnsi="Calibri" w:cs="Calibri"/>
          <w:sz w:val="24"/>
          <w:szCs w:val="24"/>
        </w:rPr>
      </w:pPr>
      <w:r>
        <w:rPr>
          <w:rFonts w:hint="default" w:ascii="Calibri" w:hAnsi="Calibri" w:eastAsia="微软雅黑" w:cs="Calibri"/>
          <w:i w:val="0"/>
          <w:iCs w:val="0"/>
          <w:caps w:val="0"/>
          <w:color w:val="000000"/>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DF9B7"/>
    <w:multiLevelType w:val="singleLevel"/>
    <w:tmpl w:val="237DF9B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Nzk3MTQ2MmU1MGJjNDQ2MmI4OTA3ZWNmZjU4NWUifQ=="/>
    <w:docVar w:name="KSO_WPS_MARK_KEY" w:val="d8edd7cf-661a-4c4c-bd05-edf0c6693704"/>
  </w:docVars>
  <w:rsids>
    <w:rsidRoot w:val="760402A7"/>
    <w:rsid w:val="06471FDD"/>
    <w:rsid w:val="17346ECC"/>
    <w:rsid w:val="22F56FDB"/>
    <w:rsid w:val="23B556D9"/>
    <w:rsid w:val="61FC1714"/>
    <w:rsid w:val="7604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widowControl w:val="0"/>
      <w:jc w:val="both"/>
    </w:pPr>
    <w:rPr>
      <w:rFonts w:ascii="宋体" w:hAnsi="宋体" w:eastAsia="宋体" w:cs="宋体"/>
      <w:kern w:val="2"/>
      <w:sz w:val="32"/>
      <w:szCs w:val="32"/>
      <w:lang w:val="en-US" w:eastAsia="zh-CN" w:bidi="ar-SA"/>
    </w:rPr>
  </w:style>
  <w:style w:type="paragraph" w:customStyle="1" w:styleId="3">
    <w:name w:val="正文首行缩进1"/>
    <w:next w:val="1"/>
    <w:qFormat/>
    <w:uiPriority w:val="0"/>
    <w:pPr>
      <w:widowControl w:val="0"/>
      <w:spacing w:after="120"/>
      <w:ind w:firstLine="420" w:firstLineChars="100"/>
      <w:jc w:val="both"/>
    </w:pPr>
    <w:rPr>
      <w:rFonts w:hint="eastAsia" w:asciiTheme="minorHAnsi" w:hAnsiTheme="minorHAnsi" w:eastAsiaTheme="minorEastAsia" w:cstheme="minorBidi"/>
      <w:kern w:val="2"/>
      <w:sz w:val="21"/>
      <w:szCs w:val="20"/>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qFormat/>
    <w:uiPriority w:val="0"/>
    <w:pPr>
      <w:widowControl w:val="0"/>
      <w:ind w:firstLine="664"/>
      <w:jc w:val="both"/>
    </w:pPr>
    <w:rPr>
      <w:rFonts w:ascii="宋体" w:hAnsi="宋体" w:eastAsia="宋体" w:cs="宋体"/>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8472</Words>
  <Characters>9446</Characters>
  <Lines>0</Lines>
  <Paragraphs>0</Paragraphs>
  <TotalTime>84</TotalTime>
  <ScaleCrop>false</ScaleCrop>
  <LinksUpToDate>false</LinksUpToDate>
  <CharactersWithSpaces>9453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2024-11-12T10:00:00Z</dcterms:created>
  <dc:creator>Administrator</dc:creator>
  <cp:lastModifiedBy>Administrator</cp:lastModifiedBy>
  <dcterms:modified xsi:type="dcterms:W3CDTF">2024-11-13T03:31:48Z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FA2807008282423BA34ED2D8CA4E0A05_11</vt:lpwstr>
  </property>
</Properties>
</file>