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shd w:val="clear" w:color="auto" w:fill="auto"/>
        <w:kinsoku w:val="0"/>
        <w:wordWrap/>
        <w:overflowPunct/>
        <w:topLinePunct w:val="0"/>
        <w:autoSpaceDE w:val="0"/>
        <w:autoSpaceDN w:val="0"/>
        <w:bidi w:val="0"/>
        <w:adjustRightInd w:val="0"/>
        <w:snapToGrid w:val="0"/>
        <w:spacing w:line="580" w:lineRule="exact"/>
        <w:ind w:left="0" w:firstLineChars="200" w:firstLine="880"/>
        <w:jc w:val="center"/>
        <w:textAlignment w:val="baseline"/>
        <w:rPr>
          <w:rFonts w:ascii="黑体" w:eastAsia="黑体" w:cs="黑体" w:hint="eastAsia"/>
          <w:color w:val="auto"/>
          <w:sz w:val="44"/>
          <w:szCs w:val="44"/>
        </w:rPr>
      </w:pPr>
      <w:r>
        <w:rPr>
          <w:rFonts w:ascii="黑体" w:eastAsia="黑体" w:cs="黑体" w:hint="eastAsia"/>
          <w:color w:val="auto"/>
          <w:sz w:val="44"/>
          <w:szCs w:val="44"/>
        </w:rPr>
        <w:t>2023年度</w:t>
      </w:r>
      <w:r>
        <w:rPr>
          <w:rFonts w:ascii="黑体" w:eastAsia="黑体" w:cs="黑体" w:hint="eastAsia"/>
          <w:color w:val="auto"/>
          <w:sz w:val="44"/>
          <w:szCs w:val="44"/>
          <w:lang w:eastAsia="zh-CN"/>
        </w:rPr>
        <w:t>临武县司法局</w:t>
      </w:r>
      <w:r>
        <w:rPr>
          <w:rFonts w:ascii="黑体" w:eastAsia="黑体" w:cs="黑体" w:hint="eastAsia"/>
          <w:color w:val="auto"/>
          <w:sz w:val="44"/>
          <w:szCs w:val="44"/>
        </w:rPr>
        <w:t>整体支出绩效自评报告</w:t>
      </w:r>
    </w:p>
    <w:p>
      <w:pPr>
        <w:keepNext w:val="0"/>
        <w:keepLines w:val="0"/>
        <w:pageBreakBefore w:val="0"/>
        <w:widowControl/>
        <w:shd w:val="clear" w:color="auto" w:fill="auto"/>
        <w:kinsoku w:val="0"/>
        <w:wordWrap/>
        <w:overflowPunct/>
        <w:topLinePunct w:val="0"/>
        <w:autoSpaceDE w:val="0"/>
        <w:autoSpaceDN w:val="0"/>
        <w:bidi w:val="0"/>
        <w:adjustRightInd w:val="0"/>
        <w:snapToGrid w:val="0"/>
        <w:spacing w:line="580" w:lineRule="exact"/>
        <w:ind w:left="0" w:firstLineChars="200" w:firstLine="880"/>
        <w:jc w:val="both"/>
        <w:textAlignment w:val="baseline"/>
        <w:rPr>
          <w:rFonts w:ascii="黑体" w:eastAsia="黑体" w:cs="黑体" w:hint="eastAsia"/>
          <w:color w:val="auto"/>
          <w:sz w:val="44"/>
          <w:szCs w:val="44"/>
        </w:rPr>
      </w:pPr>
    </w:p>
    <w:p>
      <w:pPr>
        <w:keepNext w:val="0"/>
        <w:keepLines w:val="0"/>
        <w:pageBreakBefore w:val="0"/>
        <w:widowControl/>
        <w:shd w:val="clear" w:color="auto" w:fill="auto"/>
        <w:kinsoku w:val="0"/>
        <w:wordWrap/>
        <w:overflowPunct/>
        <w:topLinePunct w:val="0"/>
        <w:autoSpaceDE w:val="0"/>
        <w:autoSpaceDN w:val="0"/>
        <w:bidi w:val="0"/>
        <w:adjustRightInd w:val="0"/>
        <w:snapToGrid w:val="0"/>
        <w:spacing w:line="580" w:lineRule="exact"/>
        <w:ind w:left="0" w:firstLineChars="200" w:firstLine="656"/>
        <w:jc w:val="both"/>
        <w:textAlignment w:val="baseline"/>
        <w:rPr>
          <w:rFonts w:ascii="黑体" w:eastAsia="黑体" w:cs="黑体" w:hint="eastAsia"/>
          <w:color w:val="auto"/>
          <w:spacing w:val="4"/>
          <w:sz w:val="32"/>
          <w:szCs w:val="32"/>
        </w:rPr>
      </w:pPr>
      <w:r>
        <w:rPr>
          <w:rFonts w:ascii="黑体" w:eastAsia="黑体" w:cs="黑体" w:hint="eastAsia"/>
          <w:color w:val="auto"/>
          <w:spacing w:val="4"/>
          <w:sz w:val="32"/>
          <w:szCs w:val="32"/>
          <w:lang w:eastAsia="zh-CN"/>
        </w:rPr>
        <w:t>一、</w:t>
      </w:r>
      <w:r>
        <w:rPr>
          <w:rFonts w:ascii="黑体" w:eastAsia="黑体" w:cs="黑体" w:hint="eastAsia"/>
          <w:color w:val="auto"/>
          <w:spacing w:val="4"/>
          <w:sz w:val="32"/>
          <w:szCs w:val="32"/>
        </w:rPr>
        <w:t>基本情况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b/>
          <w:bCs/>
          <w:i w:val="0"/>
          <w:iCs w:val="0"/>
          <w:caps w:val="0"/>
          <w:smallCaps w:val="0"/>
          <w:color w:val="auto"/>
          <w:spacing w:val="0"/>
          <w:kern w:val="0"/>
          <w:sz w:val="32"/>
          <w:szCs w:val="32"/>
          <w:shd w:val="clear" w:color="auto" w:fill="FFFFFF"/>
          <w:lang w:val="en-US" w:eastAsia="zh-CN"/>
        </w:rPr>
        <w:t>（一）</w:t>
      </w:r>
      <w:r>
        <w:rPr>
          <w:rFonts w:ascii="宋体" w:eastAsia="宋体" w:cs="宋体" w:hint="eastAsia"/>
          <w:b/>
          <w:bCs/>
          <w:i w:val="0"/>
          <w:iCs w:val="0"/>
          <w:caps w:val="0"/>
          <w:smallCaps w:val="0"/>
          <w:color w:val="auto"/>
          <w:spacing w:val="0"/>
          <w:kern w:val="0"/>
          <w:sz w:val="32"/>
          <w:szCs w:val="32"/>
          <w:shd w:val="clear" w:color="auto" w:fill="FFFFFF"/>
          <w:vertAlign w:val="baseline"/>
          <w:lang w:val="en-US" w:eastAsia="zh-CN"/>
        </w:rPr>
        <w:t>机构设置情况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内设机构设置。县司法局设有7个内设机构，包括办公室、政工室、普法与依法治理股、社区矫正管理股、行政复议与应诉股、政府法律事务股、公共法律服务管理股。</w:t>
      </w:r>
    </w:p>
    <w:p>
      <w:pPr>
        <w:keepNext w:val="0"/>
        <w:keepLines w:val="0"/>
        <w:pageBreakBefore w:val="0"/>
        <w:widowControl/>
        <w:numPr>
          <w:ilvl w:val="0"/>
          <w:numId w:val="1"/>
        </w:numPr>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b/>
          <w:bCs/>
          <w:i w:val="0"/>
          <w:iCs w:val="0"/>
          <w:caps w:val="0"/>
          <w:smallCaps w:val="0"/>
          <w:color w:val="auto"/>
          <w:spacing w:val="0"/>
          <w:kern w:val="0"/>
          <w:sz w:val="32"/>
          <w:szCs w:val="32"/>
          <w:shd w:val="clear" w:color="auto" w:fill="FFFFFF"/>
          <w:vertAlign w:val="baseline"/>
          <w:lang w:val="en-US" w:eastAsia="zh-CN"/>
        </w:rPr>
        <w:t>人员编制情况</w:t>
      </w: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 </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核定编制数50名，其中：行政编44名，事业编6名，工勤人员编制数0名。现有在职在岗在编职工41人；政府购买社区矫正专职人员17人；离退休15人；</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b/>
          <w:bCs/>
          <w:i w:val="0"/>
          <w:iCs w:val="0"/>
          <w:caps w:val="0"/>
          <w:smallCaps w:val="0"/>
          <w:color w:val="auto"/>
          <w:spacing w:val="0"/>
          <w:kern w:val="0"/>
          <w:sz w:val="32"/>
          <w:szCs w:val="32"/>
          <w:shd w:val="clear" w:color="auto" w:fill="FFFFFF"/>
          <w:lang w:val="en-US" w:eastAsia="zh-CN"/>
        </w:rPr>
        <w:t>（三）</w:t>
      </w:r>
      <w:r>
        <w:rPr>
          <w:rFonts w:ascii="宋体" w:eastAsia="宋体" w:cs="宋体" w:hint="eastAsia"/>
          <w:b/>
          <w:bCs/>
          <w:i w:val="0"/>
          <w:iCs w:val="0"/>
          <w:caps w:val="0"/>
          <w:smallCaps w:val="0"/>
          <w:color w:val="auto"/>
          <w:spacing w:val="0"/>
          <w:kern w:val="0"/>
          <w:sz w:val="32"/>
          <w:szCs w:val="32"/>
          <w:shd w:val="clear" w:color="auto" w:fill="FFFFFF"/>
          <w:vertAlign w:val="baseline"/>
          <w:lang w:val="en-US" w:eastAsia="zh-CN"/>
        </w:rPr>
        <w:t>主要职能职责</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1、承担全面依法治县重大问题的政策研究，协调有关方面提出全面依法治县中长期规划建议，负责有关重大决策部署督察工作；负责法治临武建设工作的年度考核工作。</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2、负责指导全县规范性文件管理有关工作，承担县政府规范性文件送审稿的合法性审查和公平竞争审查工作；承办县政府及其部门规范性文件登记工作；受理有关规范性文件合法性审查申请；负责县政府规范性文件报送备案工作；负责各部门各单位规范性文件备案审查工作；组织开展规范性文件清理工作。</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3、承担县政府法律顾问工作，负责对县政府重大行政决策进行合法性审查或论证说明；承担县政府合同管理有关工作。</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4、承担统筹推进法治政府建设的责任；指导、监督县政府各部门、乡（镇）人民政府依法行政工作；组织推行部门权力清单、责任清单制度；负责综合协调行政执法，承担推进行政执法体制改革有关工作，推进严格规范公正文明执法；负责协调县政府各部门、乡镇人民政府实施法律法规和规章中的有关争议和问题；负责对有关职能部门承办的土地、山林、水流、矿藏等自然资源的所有权和使用权确认的审查呈报工作。</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5、承担统筹规划全县法治社会建设的责任；负责拟订法治宣传教育规划，组织实施普法宣传工作，组织对外法治宣传；推动人民参与和促进法治建设；指导依法治理和法治创建工作；指导人民调解工作和人民陪审员选任管理工作；负责人民监督员选任管理工作；推进司法所建设。</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6、承办县政府作为被申请人的行政复议事项和县政府作为被告的行政应诉案件；指导、监督全县行政复议和行政应诉工作，负责行政复议和行政应诉案件办理工作；承担县政府行政复议办公室日常工作。</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7、负责全县社区矫正工作，指导基层司法所开展社区矫正日常管理工作；会同有关部门负责对刑满释放人员的帮教安置工作。</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8、负责拟订公共法律服务体系建设规划并指导实施，统筹和布局城乡、区域法律服务资源；指导、监督律师、法律援助、司法鉴定、公证、仲裁和基层法律服务管理工作。</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9、负责全县国家统一法律职业资格和证书的管理工作；负责规划和指导法律职业人员入职前培训工作。</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10、负责本系统服装和警车管理工作，指导、监督全局财务、装备、设施、场所等保障工作。</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11、规划、协调、指导法治人才队伍建设相关工作；指导、监督本系统队伍建设；负责本系统警务管理和警务督查工作；负责管理基层司法行政干部。</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12、完成县委、县政府和委员会交办的其他任务。</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0"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b/>
          <w:bCs/>
          <w:i w:val="0"/>
          <w:iCs w:val="0"/>
          <w:caps w:val="0"/>
          <w:smallCaps w:val="0"/>
          <w:color w:val="auto"/>
          <w:spacing w:val="0"/>
          <w:sz w:val="32"/>
          <w:szCs w:val="32"/>
          <w:shd w:val="clear" w:color="auto" w:fill="FFFFFF"/>
          <w:vertAlign w:val="baseline"/>
        </w:rPr>
        <w:t>（四）绩效目标设定情况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一是完成全年各项目标任务，保障司法行政各项工作正常持续有序健康运转；二是切实做好普法工作，全面提升公民的整体法治意识和法律素养，通过学法懂法到用法守法，逐步树立法律保护意识，把法律作为一种生活的需要和信仰；三是加强法律援助宣传和案件质量监管工作，提高法律援助知晓率，扩大法律援助覆盖面,惠及更多困难群众，通过法律援助工作，切实维护弱势群众的合法利益，使受授对象切实感受到法律的公正、政府的关怀、社会的温暖；四是对社区矫正对象依法矫正、监管到位，无因失职造成社会危害或上访投诉问责现象发生；保障临聘专职人员的工资及保险资金足额到位，确保工作的正常开展。对矫正对象依法矫正、监管到位，确保社区矫正人员无脱管、漏管现象发生；五是充分认识人民调解工作的重要性，通过理论学习及业务培训，切实提高人民调解员的调处能力和政策法律水平，依法依规及时进行矛盾纠纷的调处，将矛盾化解在基层，充分发挥第一道防线的作用。六是依法办理或者组织办理行政复议与应诉案件，完成年度政府及部门重要文件及合同审查，构建职能科学、权责法定、执法分明、廉洁高效、守法诚信的法治政府。</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黑体" w:eastAsia="黑体" w:cs="黑体" w:hint="eastAsia"/>
          <w:i w:val="0"/>
          <w:iCs w:val="0"/>
          <w:caps w:val="0"/>
          <w:smallCaps w:val="0"/>
          <w:color w:val="auto"/>
          <w:spacing w:val="0"/>
          <w:kern w:val="0"/>
          <w:sz w:val="32"/>
          <w:szCs w:val="32"/>
          <w:shd w:val="clear" w:color="auto" w:fill="FFFFFF"/>
          <w:vertAlign w:val="baseline"/>
          <w:lang w:val="en-US" w:eastAsia="zh-CN"/>
        </w:rPr>
      </w:pPr>
      <w:r>
        <w:rPr>
          <w:rFonts w:ascii="黑体" w:eastAsia="黑体" w:cs="黑体" w:hint="eastAsia"/>
          <w:i w:val="0"/>
          <w:iCs w:val="0"/>
          <w:caps w:val="0"/>
          <w:smallCaps w:val="0"/>
          <w:color w:val="auto"/>
          <w:spacing w:val="0"/>
          <w:kern w:val="0"/>
          <w:sz w:val="32"/>
          <w:szCs w:val="32"/>
          <w:shd w:val="clear" w:color="auto" w:fill="FFFFFF"/>
          <w:vertAlign w:val="baseline"/>
          <w:lang w:val="en-US" w:eastAsia="zh-CN"/>
        </w:rPr>
        <w:t>二、 一般公共预算支出情况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b/>
          <w:bCs/>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b/>
          <w:bCs/>
          <w:i w:val="0"/>
          <w:iCs w:val="0"/>
          <w:caps w:val="0"/>
          <w:smallCaps w:val="0"/>
          <w:color w:val="auto"/>
          <w:spacing w:val="0"/>
          <w:kern w:val="0"/>
          <w:sz w:val="32"/>
          <w:szCs w:val="32"/>
          <w:shd w:val="clear" w:color="auto" w:fill="FFFFFF"/>
          <w:vertAlign w:val="baseline"/>
          <w:lang w:val="en-US" w:eastAsia="zh-CN"/>
        </w:rPr>
        <w:t>(一)基本支出情况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2023年度财政拨款基本支出年初预算751.29万元，实际支出736.06万元，其中：人员经费660.46万元，占基本支出的89.73%,主要包括基本工资、津贴补贴、奖金、社保和其他工资福利支出；公用经费75.6万元，占基本支出的10.27%，主要包括办公费、差旅费、公务接待费、工会经费等。基本支出减少的主要原因是2023年单位退休2人，相应的人员工资、保险等各项经费减少。</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b/>
          <w:bCs/>
          <w:color w:val="auto"/>
          <w:spacing w:val="17"/>
          <w:sz w:val="32"/>
          <w:szCs w:val="32"/>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（二）</w:t>
      </w:r>
      <w:r>
        <w:rPr>
          <w:rFonts w:ascii="宋体" w:eastAsia="宋体" w:cs="宋体" w:hint="eastAsia"/>
          <w:b/>
          <w:bCs/>
          <w:color w:val="auto"/>
          <w:spacing w:val="17"/>
          <w:sz w:val="32"/>
          <w:szCs w:val="32"/>
        </w:rPr>
        <w:t>项目支出情况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708"/>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b/>
          <w:bCs/>
          <w:color w:val="auto"/>
          <w:spacing w:val="17"/>
          <w:sz w:val="32"/>
          <w:szCs w:val="32"/>
          <w:lang w:val="en-US" w:eastAsia="zh-CN"/>
        </w:rPr>
        <w:t xml:space="preserve"> </w:t>
      </w: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2023年度项目支出年初预算273.3万元（上级转移支付资金预算109万元，本级资金预算164.3万元），年中追加预算124.96万元（上级94万元，本级30.96万元），上级转移支付资金追加预算94万元，其中：1、追加了旅发大会支出44万元；2、社区矫正经费4万元；3、人民调解“以奖代补”经费4万元；4、民主法治示范村奖励资金15万元；5、法律援助经费27万元。本级财政追加社区矫正“智慧矫正”项目建设配套支出30.96元。</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2023年项目经费支出398.26万元（本级财政预算支出195.26元，上级转移支付资金支出203元）。</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b/>
          <w:bCs/>
          <w:i w:val="0"/>
          <w:iCs w:val="0"/>
          <w:caps w:val="0"/>
          <w:smallCaps w:val="0"/>
          <w:color w:val="auto"/>
          <w:spacing w:val="0"/>
          <w:kern w:val="0"/>
          <w:sz w:val="32"/>
          <w:szCs w:val="32"/>
          <w:shd w:val="clear" w:color="auto" w:fill="FFFFFF"/>
          <w:vertAlign w:val="baseline"/>
          <w:lang w:val="en-US" w:eastAsia="zh-CN"/>
        </w:rPr>
        <w:t>（一）本级财政预算支出195.26万元</w:t>
      </w: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，其中：1、司法专项业务支出15万元；2、公共法律事务相关经费支出20万元；3、社区矫正专项经费90万元；4、政府法律事务专项经费32万元；5、公证处办证业务经费支出7.3万元；6、其它司法业务支出30.96万元。</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b/>
          <w:bCs/>
          <w:i w:val="0"/>
          <w:iCs w:val="0"/>
          <w:caps w:val="0"/>
          <w:smallCaps w:val="0"/>
          <w:color w:val="auto"/>
          <w:spacing w:val="0"/>
          <w:kern w:val="0"/>
          <w:sz w:val="32"/>
          <w:szCs w:val="32"/>
          <w:shd w:val="clear" w:color="auto" w:fill="FFFFFF"/>
          <w:vertAlign w:val="baseline"/>
          <w:lang w:val="en-US" w:eastAsia="zh-CN"/>
        </w:rPr>
        <w:t>（二）上级转移支付资金支出203万元</w:t>
      </w: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，其中：1、办案经费支出57万元；2、装备经费支出 20万元；3、法律援助经费支出59万元；4、郴州旅发大会专项经费支出44万元；5、人民调解“以奖代补”办案经费支出4万元；6、社区矫正专项经费支出4万元；7、民主法治示范村奖励资金支出15万元。</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黑体" w:eastAsia="黑体" w:cs="黑体" w:hint="eastAsia"/>
          <w:i w:val="0"/>
          <w:iCs w:val="0"/>
          <w:caps w:val="0"/>
          <w:smallCaps w:val="0"/>
          <w:color w:val="auto"/>
          <w:spacing w:val="0"/>
          <w:kern w:val="0"/>
          <w:sz w:val="32"/>
          <w:szCs w:val="32"/>
          <w:shd w:val="clear" w:color="auto" w:fill="FFFFFF"/>
          <w:vertAlign w:val="baseline"/>
          <w:lang w:val="en-US" w:eastAsia="zh-CN"/>
        </w:rPr>
      </w:pPr>
      <w:r>
        <w:rPr>
          <w:rFonts w:ascii="黑体" w:eastAsia="黑体" w:cs="黑体" w:hint="eastAsia"/>
          <w:i w:val="0"/>
          <w:iCs w:val="0"/>
          <w:caps w:val="0"/>
          <w:smallCaps w:val="0"/>
          <w:color w:val="auto"/>
          <w:spacing w:val="0"/>
          <w:kern w:val="0"/>
          <w:sz w:val="32"/>
          <w:szCs w:val="32"/>
          <w:shd w:val="clear" w:color="auto" w:fill="FFFFFF"/>
          <w:vertAlign w:val="baseline"/>
          <w:lang w:val="en-US" w:eastAsia="zh-CN"/>
        </w:rPr>
        <w:t>三、政府性基金预算支出情况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2023年本单位无政府性基金预算支出</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黑体" w:eastAsia="黑体" w:cs="黑体" w:hint="eastAsia"/>
          <w:i w:val="0"/>
          <w:iCs w:val="0"/>
          <w:caps w:val="0"/>
          <w:smallCaps w:val="0"/>
          <w:color w:val="auto"/>
          <w:spacing w:val="0"/>
          <w:kern w:val="0"/>
          <w:sz w:val="32"/>
          <w:szCs w:val="32"/>
          <w:shd w:val="clear" w:color="auto" w:fill="FFFFFF"/>
          <w:vertAlign w:val="baseline"/>
          <w:lang w:val="en-US" w:eastAsia="zh-CN"/>
        </w:rPr>
      </w:pPr>
      <w:r>
        <w:rPr>
          <w:rFonts w:ascii="黑体" w:eastAsia="黑体" w:cs="黑体" w:hint="eastAsia"/>
          <w:i w:val="0"/>
          <w:iCs w:val="0"/>
          <w:caps w:val="0"/>
          <w:smallCaps w:val="0"/>
          <w:color w:val="auto"/>
          <w:spacing w:val="0"/>
          <w:kern w:val="0"/>
          <w:sz w:val="32"/>
          <w:szCs w:val="32"/>
          <w:shd w:val="clear" w:color="auto" w:fill="FFFFFF"/>
          <w:vertAlign w:val="baseline"/>
          <w:lang w:val="en-US" w:eastAsia="zh-CN"/>
        </w:rPr>
        <w:t>四、国有资本经营预算支出情况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2023年本单位无国有资本经营预算支出</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黑体" w:eastAsia="黑体" w:cs="黑体" w:hint="eastAsia"/>
          <w:i w:val="0"/>
          <w:iCs w:val="0"/>
          <w:caps w:val="0"/>
          <w:smallCaps w:val="0"/>
          <w:color w:val="auto"/>
          <w:spacing w:val="0"/>
          <w:kern w:val="0"/>
          <w:sz w:val="32"/>
          <w:szCs w:val="32"/>
          <w:shd w:val="clear" w:color="auto" w:fill="FFFFFF"/>
          <w:vertAlign w:val="baseline"/>
          <w:lang w:val="en-US" w:eastAsia="zh-CN"/>
        </w:rPr>
      </w:pPr>
      <w:r>
        <w:rPr>
          <w:rFonts w:ascii="黑体" w:eastAsia="黑体" w:cs="黑体" w:hint="eastAsia"/>
          <w:i w:val="0"/>
          <w:iCs w:val="0"/>
          <w:caps w:val="0"/>
          <w:smallCaps w:val="0"/>
          <w:color w:val="auto"/>
          <w:spacing w:val="0"/>
          <w:kern w:val="0"/>
          <w:sz w:val="32"/>
          <w:szCs w:val="32"/>
          <w:shd w:val="clear" w:color="auto" w:fill="FFFFFF"/>
          <w:vertAlign w:val="baseline"/>
          <w:lang w:val="en-US" w:eastAsia="zh-CN"/>
        </w:rPr>
        <w:t>五、社会保险基金预算支出情况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2023年本单位无社会保险基金预算支出</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黑体" w:eastAsia="黑体" w:cs="黑体" w:hint="eastAsia"/>
          <w:i w:val="0"/>
          <w:iCs w:val="0"/>
          <w:caps w:val="0"/>
          <w:smallCaps w:val="0"/>
          <w:color w:val="auto"/>
          <w:spacing w:val="0"/>
          <w:kern w:val="0"/>
          <w:sz w:val="32"/>
          <w:szCs w:val="32"/>
          <w:shd w:val="clear" w:color="auto" w:fill="FFFFFF"/>
          <w:vertAlign w:val="baseline"/>
          <w:lang w:val="en-US" w:eastAsia="zh-CN"/>
        </w:rPr>
      </w:pPr>
      <w:r>
        <w:rPr>
          <w:rFonts w:ascii="黑体" w:eastAsia="黑体" w:cs="黑体" w:hint="eastAsia"/>
          <w:i w:val="0"/>
          <w:iCs w:val="0"/>
          <w:caps w:val="0"/>
          <w:smallCaps w:val="0"/>
          <w:color w:val="auto"/>
          <w:spacing w:val="0"/>
          <w:kern w:val="0"/>
          <w:sz w:val="32"/>
          <w:szCs w:val="32"/>
          <w:shd w:val="clear" w:color="auto" w:fill="FFFFFF"/>
          <w:vertAlign w:val="baseline"/>
          <w:lang w:val="en-US" w:eastAsia="zh-CN"/>
        </w:rPr>
        <w:t>六、整体支出绩效情况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（一）综合评价结论。</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0"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shd w:val="clear" w:color="auto" w:fill="FFFFFF"/>
          <w:vertAlign w:val="baseline"/>
        </w:rPr>
      </w:pPr>
      <w:r>
        <w:rPr>
          <w:rFonts w:ascii="宋体" w:eastAsia="宋体" w:cs="宋体" w:hint="eastAsia"/>
          <w:i w:val="0"/>
          <w:iCs w:val="0"/>
          <w:caps w:val="0"/>
          <w:smallCaps w:val="0"/>
          <w:color w:val="auto"/>
          <w:spacing w:val="0"/>
          <w:sz w:val="32"/>
          <w:szCs w:val="32"/>
          <w:shd w:val="clear" w:color="auto" w:fill="FFFFFF"/>
          <w:vertAlign w:val="baseline"/>
        </w:rPr>
        <w:t>据《</w:t>
      </w:r>
      <w:r>
        <w:rPr>
          <w:rFonts w:ascii="宋体" w:eastAsia="宋体" w:cs="宋体" w:hint="eastAsia"/>
          <w:i w:val="0"/>
          <w:iCs w:val="0"/>
          <w:caps w:val="0"/>
          <w:smallCaps w:val="0"/>
          <w:snapToGrid w:val="0"/>
          <w:color w:val="auto"/>
          <w:spacing w:val="0"/>
          <w:kern w:val="0"/>
          <w:sz w:val="32"/>
          <w:szCs w:val="32"/>
          <w:shd w:val="clear" w:color="auto" w:fill="FFFFFF"/>
          <w:vertAlign w:val="baseline"/>
          <w:lang w:val="en-US" w:eastAsia="zh-CN"/>
        </w:rPr>
        <w:t>临武县财政局关于开展2023年度县级预算部门绩效自评和部门评价的通知</w:t>
      </w:r>
      <w:r>
        <w:rPr>
          <w:rFonts w:ascii="宋体" w:eastAsia="宋体" w:cs="宋体" w:hint="eastAsia"/>
          <w:i w:val="0"/>
          <w:iCs w:val="0"/>
          <w:caps w:val="0"/>
          <w:smallCaps w:val="0"/>
          <w:color w:val="auto"/>
          <w:spacing w:val="0"/>
          <w:sz w:val="32"/>
          <w:szCs w:val="32"/>
          <w:shd w:val="clear" w:color="auto" w:fill="FFFFFF"/>
          <w:vertAlign w:val="baseline"/>
        </w:rPr>
        <w:t>》文件要求，成立由一把手任组长的整体支出绩效自评工作小组。成员:相关业务经办人员。通过自评，202</w:t>
      </w:r>
      <w:r>
        <w:rPr>
          <w:rFonts w:ascii="宋体" w:eastAsia="宋体" w:cs="宋体" w:hint="eastAsia"/>
          <w:i w:val="0"/>
          <w:iCs w:val="0"/>
          <w:caps w:val="0"/>
          <w:smallCaps w:val="0"/>
          <w:color w:val="auto"/>
          <w:spacing w:val="0"/>
          <w:sz w:val="32"/>
          <w:szCs w:val="32"/>
          <w:shd w:val="clear" w:color="auto" w:fill="FFFFFF"/>
          <w:vertAlign w:val="baseline"/>
          <w:lang w:val="en-US" w:eastAsia="zh-CN"/>
        </w:rPr>
        <w:t>3</w:t>
      </w:r>
      <w:r>
        <w:rPr>
          <w:rFonts w:ascii="宋体" w:eastAsia="宋体" w:cs="宋体" w:hint="eastAsia"/>
          <w:i w:val="0"/>
          <w:iCs w:val="0"/>
          <w:caps w:val="0"/>
          <w:smallCaps w:val="0"/>
          <w:color w:val="auto"/>
          <w:spacing w:val="0"/>
          <w:sz w:val="32"/>
          <w:szCs w:val="32"/>
          <w:shd w:val="clear" w:color="auto" w:fill="FFFFFF"/>
          <w:vertAlign w:val="baseline"/>
        </w:rPr>
        <w:t>年度整体支出绩效自评得分为9</w:t>
      </w:r>
      <w:r>
        <w:rPr>
          <w:rFonts w:ascii="宋体" w:eastAsia="宋体" w:cs="宋体" w:hint="eastAsia"/>
          <w:i w:val="0"/>
          <w:iCs w:val="0"/>
          <w:caps w:val="0"/>
          <w:smallCaps w:val="0"/>
          <w:color w:val="auto"/>
          <w:spacing w:val="0"/>
          <w:sz w:val="32"/>
          <w:szCs w:val="32"/>
          <w:shd w:val="clear" w:color="auto" w:fill="FFFFFF"/>
          <w:vertAlign w:val="baseline"/>
          <w:lang w:val="en-US" w:eastAsia="zh-CN"/>
        </w:rPr>
        <w:t>5</w:t>
      </w:r>
      <w:r>
        <w:rPr>
          <w:rFonts w:ascii="宋体" w:eastAsia="宋体" w:cs="宋体" w:hint="eastAsia"/>
          <w:i w:val="0"/>
          <w:iCs w:val="0"/>
          <w:caps w:val="0"/>
          <w:smallCaps w:val="0"/>
          <w:color w:val="auto"/>
          <w:spacing w:val="0"/>
          <w:sz w:val="32"/>
          <w:szCs w:val="32"/>
          <w:shd w:val="clear" w:color="auto" w:fill="FFFFFF"/>
          <w:vertAlign w:val="baseline"/>
        </w:rPr>
        <w:t>分，总体评价为优。</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0" w:beforeAutospacing="0" w:after="0" w:afterAutospacing="0" w:line="580" w:lineRule="exact"/>
        <w:ind w:left="0" w:right="0" w:firstLineChars="200" w:firstLine="60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10"/>
          <w:sz w:val="32"/>
          <w:szCs w:val="32"/>
        </w:rPr>
        <w:t>（二）</w:t>
      </w:r>
      <w:r>
        <w:rPr>
          <w:rFonts w:ascii="宋体" w:eastAsia="宋体" w:cs="宋体" w:hint="eastAsia"/>
          <w:i w:val="0"/>
          <w:iCs w:val="0"/>
          <w:caps w:val="0"/>
          <w:smallCaps w:val="0"/>
          <w:color w:val="auto"/>
          <w:spacing w:val="0"/>
          <w:sz w:val="32"/>
          <w:szCs w:val="32"/>
          <w:vertAlign w:val="baseline"/>
        </w:rPr>
        <w:t>评价指标分析（或综合评价情况）</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0"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0"/>
          <w:sz w:val="32"/>
          <w:szCs w:val="32"/>
          <w:vertAlign w:val="baseline"/>
        </w:rPr>
        <w:t>1、</w:t>
      </w:r>
      <w:r>
        <w:rPr>
          <w:rFonts w:ascii="宋体" w:eastAsia="宋体" w:cs="宋体" w:hint="eastAsia"/>
          <w:i w:val="0"/>
          <w:iCs w:val="0"/>
          <w:caps w:val="0"/>
          <w:smallCaps w:val="0"/>
          <w:color w:val="auto"/>
          <w:spacing w:val="-10"/>
          <w:sz w:val="32"/>
          <w:szCs w:val="32"/>
          <w:vertAlign w:val="baseline"/>
        </w:rPr>
        <w:t>预算执行情况分析</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0" w:beforeAutospacing="0" w:after="0" w:afterAutospacing="0" w:line="580" w:lineRule="exact"/>
        <w:ind w:left="0" w:right="0" w:firstLineChars="200" w:firstLine="60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10"/>
          <w:sz w:val="32"/>
          <w:szCs w:val="32"/>
          <w:vertAlign w:val="baseline"/>
        </w:rPr>
        <w:t>分值10分，自评得分10分。我局202</w:t>
      </w:r>
      <w:r>
        <w:rPr>
          <w:rFonts w:ascii="宋体" w:eastAsia="宋体" w:cs="宋体" w:hint="eastAsia"/>
          <w:i w:val="0"/>
          <w:iCs w:val="0"/>
          <w:caps w:val="0"/>
          <w:smallCaps w:val="0"/>
          <w:color w:val="auto"/>
          <w:spacing w:val="-10"/>
          <w:sz w:val="32"/>
          <w:szCs w:val="32"/>
          <w:vertAlign w:val="baseline"/>
          <w:lang w:val="en-US" w:eastAsia="zh-CN"/>
        </w:rPr>
        <w:t>3</w:t>
      </w:r>
      <w:r>
        <w:rPr>
          <w:rFonts w:ascii="宋体" w:eastAsia="宋体" w:cs="宋体" w:hint="eastAsia"/>
          <w:i w:val="0"/>
          <w:iCs w:val="0"/>
          <w:caps w:val="0"/>
          <w:smallCaps w:val="0"/>
          <w:color w:val="auto"/>
          <w:spacing w:val="-10"/>
          <w:sz w:val="32"/>
          <w:szCs w:val="32"/>
          <w:vertAlign w:val="baseline"/>
        </w:rPr>
        <w:t>年制定的年初预算</w:t>
      </w:r>
      <w:r>
        <w:rPr>
          <w:rFonts w:ascii="宋体" w:eastAsia="宋体" w:cs="宋体" w:hint="eastAsia"/>
          <w:i w:val="0"/>
          <w:iCs w:val="0"/>
          <w:caps w:val="0"/>
          <w:smallCaps w:val="0"/>
          <w:color w:val="auto"/>
          <w:spacing w:val="-10"/>
          <w:sz w:val="32"/>
          <w:szCs w:val="32"/>
          <w:vertAlign w:val="baseline"/>
          <w:lang w:eastAsia="zh-CN"/>
        </w:rPr>
        <w:t>数</w:t>
      </w:r>
      <w:r>
        <w:rPr>
          <w:rFonts w:ascii="宋体" w:eastAsia="宋体" w:cs="宋体" w:hint="eastAsia"/>
          <w:i w:val="0"/>
          <w:iCs w:val="0"/>
          <w:caps w:val="0"/>
          <w:smallCaps w:val="0"/>
          <w:color w:val="auto"/>
          <w:spacing w:val="0"/>
          <w:sz w:val="32"/>
          <w:szCs w:val="32"/>
          <w:vertAlign w:val="baseline"/>
          <w:lang w:val="en-US" w:eastAsia="zh-CN"/>
        </w:rPr>
        <w:t>1024.59</w:t>
      </w:r>
      <w:r>
        <w:rPr>
          <w:rFonts w:ascii="宋体" w:eastAsia="宋体" w:cs="宋体" w:hint="eastAsia"/>
          <w:i w:val="0"/>
          <w:iCs w:val="0"/>
          <w:caps w:val="0"/>
          <w:smallCaps w:val="0"/>
          <w:color w:val="auto"/>
          <w:spacing w:val="-10"/>
          <w:sz w:val="32"/>
          <w:szCs w:val="32"/>
          <w:vertAlign w:val="baseline"/>
        </w:rPr>
        <w:t>万元，</w:t>
      </w: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年中追加预算109.74万元，</w:t>
      </w:r>
      <w:r>
        <w:rPr>
          <w:rFonts w:ascii="宋体" w:eastAsia="宋体" w:cs="宋体" w:hint="eastAsia"/>
          <w:i w:val="0"/>
          <w:iCs w:val="0"/>
          <w:caps w:val="0"/>
          <w:smallCaps w:val="0"/>
          <w:color w:val="auto"/>
          <w:spacing w:val="-10"/>
          <w:sz w:val="32"/>
          <w:szCs w:val="32"/>
          <w:vertAlign w:val="baseline"/>
          <w:lang w:eastAsia="zh-CN"/>
        </w:rPr>
        <w:t>完成全年</w:t>
      </w:r>
      <w:r>
        <w:rPr>
          <w:rFonts w:ascii="宋体" w:eastAsia="宋体" w:cs="宋体" w:hint="eastAsia"/>
          <w:i w:val="0"/>
          <w:iCs w:val="0"/>
          <w:caps w:val="0"/>
          <w:smallCaps w:val="0"/>
          <w:color w:val="auto"/>
          <w:spacing w:val="-10"/>
          <w:sz w:val="32"/>
          <w:szCs w:val="32"/>
          <w:vertAlign w:val="baseline"/>
        </w:rPr>
        <w:t>预算</w:t>
      </w:r>
      <w:r>
        <w:rPr>
          <w:rFonts w:ascii="宋体" w:eastAsia="宋体" w:cs="宋体" w:hint="eastAsia"/>
          <w:i w:val="0"/>
          <w:iCs w:val="0"/>
          <w:caps w:val="0"/>
          <w:smallCaps w:val="0"/>
          <w:color w:val="auto"/>
          <w:spacing w:val="-10"/>
          <w:sz w:val="32"/>
          <w:szCs w:val="32"/>
          <w:vertAlign w:val="baseline"/>
          <w:lang w:eastAsia="zh-CN"/>
        </w:rPr>
        <w:t>数</w:t>
      </w:r>
      <w:r>
        <w:rPr>
          <w:rFonts w:ascii="宋体" w:eastAsia="宋体" w:cs="宋体" w:hint="eastAsia"/>
          <w:i w:val="0"/>
          <w:iCs w:val="0"/>
          <w:caps w:val="0"/>
          <w:smallCaps w:val="0"/>
          <w:color w:val="auto"/>
          <w:spacing w:val="-10"/>
          <w:sz w:val="32"/>
          <w:szCs w:val="32"/>
          <w:vertAlign w:val="baseline"/>
          <w:lang w:val="en-US" w:eastAsia="zh-CN"/>
        </w:rPr>
        <w:t>1134.33</w:t>
      </w:r>
      <w:r>
        <w:rPr>
          <w:rFonts w:ascii="宋体" w:eastAsia="宋体" w:cs="宋体" w:hint="eastAsia"/>
          <w:i w:val="0"/>
          <w:iCs w:val="0"/>
          <w:caps w:val="0"/>
          <w:smallCaps w:val="0"/>
          <w:color w:val="auto"/>
          <w:spacing w:val="-10"/>
          <w:sz w:val="32"/>
          <w:szCs w:val="32"/>
          <w:vertAlign w:val="baseline"/>
        </w:rPr>
        <w:t>万元，预算完成率100%。</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0" w:beforeAutospacing="0" w:after="0" w:afterAutospacing="0" w:line="580" w:lineRule="exact"/>
        <w:ind w:left="0" w:right="0" w:firstLineChars="200" w:firstLine="60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10"/>
          <w:sz w:val="32"/>
          <w:szCs w:val="32"/>
          <w:vertAlign w:val="baseline"/>
        </w:rPr>
        <w:t>2、产出指标情况分析</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0" w:beforeAutospacing="0" w:after="0" w:afterAutospacing="0" w:line="580" w:lineRule="exact"/>
        <w:ind w:left="0" w:right="0" w:firstLineChars="200" w:firstLine="60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10"/>
          <w:sz w:val="32"/>
          <w:szCs w:val="32"/>
          <w:vertAlign w:val="baseline"/>
        </w:rPr>
        <w:t>分值50分，自评得分50分。设定部门履职4个二级指标分别是数量指标、质量指标、时效指标、成本指标，二级指标下</w:t>
      </w:r>
      <w:r>
        <w:rPr>
          <w:rFonts w:ascii="宋体" w:eastAsia="宋体" w:cs="宋体" w:hint="eastAsia"/>
          <w:i w:val="0"/>
          <w:iCs w:val="0"/>
          <w:caps w:val="0"/>
          <w:smallCaps w:val="0"/>
          <w:color w:val="auto"/>
          <w:spacing w:val="-10"/>
          <w:sz w:val="32"/>
          <w:szCs w:val="32"/>
          <w:vertAlign w:val="baseline"/>
          <w:lang w:val="en-US" w:eastAsia="zh-CN"/>
        </w:rPr>
        <w:t>有20</w:t>
      </w:r>
      <w:r>
        <w:rPr>
          <w:rFonts w:ascii="宋体" w:eastAsia="宋体" w:cs="宋体" w:hint="eastAsia"/>
          <w:i w:val="0"/>
          <w:iCs w:val="0"/>
          <w:caps w:val="0"/>
          <w:smallCaps w:val="0"/>
          <w:color w:val="auto"/>
          <w:spacing w:val="-10"/>
          <w:sz w:val="32"/>
          <w:szCs w:val="32"/>
          <w:vertAlign w:val="baseline"/>
        </w:rPr>
        <w:t>个三级指标，</w:t>
      </w:r>
      <w:r>
        <w:rPr>
          <w:rFonts w:ascii="宋体" w:eastAsia="宋体" w:cs="宋体" w:hint="eastAsia"/>
          <w:i w:val="0"/>
          <w:iCs w:val="0"/>
          <w:caps w:val="0"/>
          <w:smallCaps w:val="0"/>
          <w:color w:val="auto"/>
          <w:spacing w:val="-10"/>
          <w:sz w:val="32"/>
          <w:szCs w:val="32"/>
          <w:vertAlign w:val="baseline"/>
          <w:lang w:val="en-US" w:eastAsia="zh-CN"/>
        </w:rPr>
        <w:t>其中：</w:t>
      </w:r>
      <w:r>
        <w:rPr>
          <w:rFonts w:ascii="宋体" w:eastAsia="宋体" w:cs="宋体" w:hint="eastAsia"/>
          <w:i w:val="0"/>
          <w:iCs w:val="0"/>
          <w:caps w:val="0"/>
          <w:smallCaps w:val="0"/>
          <w:color w:val="auto"/>
          <w:spacing w:val="-10"/>
          <w:sz w:val="32"/>
          <w:szCs w:val="32"/>
          <w:vertAlign w:val="baseline"/>
        </w:rPr>
        <w:t>完成规范性文件和合同的合法性审查</w:t>
      </w:r>
      <w:r>
        <w:rPr>
          <w:rFonts w:ascii="宋体" w:eastAsia="宋体" w:cs="宋体" w:hint="eastAsia"/>
          <w:i w:val="0"/>
          <w:iCs w:val="0"/>
          <w:caps w:val="0"/>
          <w:smallCaps w:val="0"/>
          <w:color w:val="auto"/>
          <w:spacing w:val="-10"/>
          <w:sz w:val="32"/>
          <w:szCs w:val="32"/>
          <w:vertAlign w:val="baseline"/>
          <w:lang w:val="en-US" w:eastAsia="zh-CN"/>
        </w:rPr>
        <w:t>及上门开展公证便民服务存在扣分现象，均扣1分</w:t>
      </w:r>
      <w:r>
        <w:rPr>
          <w:rFonts w:ascii="宋体" w:eastAsia="宋体" w:cs="宋体" w:hint="eastAsia"/>
          <w:i w:val="0"/>
          <w:iCs w:val="0"/>
          <w:caps w:val="0"/>
          <w:smallCaps w:val="0"/>
          <w:color w:val="auto"/>
          <w:spacing w:val="-10"/>
          <w:sz w:val="32"/>
          <w:szCs w:val="32"/>
          <w:vertAlign w:val="baseline"/>
        </w:rPr>
        <w:t>。完成全县无纸化普法考试人数</w:t>
      </w:r>
      <w:r>
        <w:rPr>
          <w:rFonts w:ascii="宋体" w:eastAsia="宋体" w:cs="宋体" w:hint="eastAsia"/>
          <w:i w:val="0"/>
          <w:iCs w:val="0"/>
          <w:caps w:val="0"/>
          <w:smallCaps w:val="0"/>
          <w:color w:val="auto"/>
          <w:spacing w:val="-10"/>
          <w:sz w:val="32"/>
          <w:szCs w:val="32"/>
          <w:vertAlign w:val="baseline"/>
          <w:lang w:val="en-US" w:eastAsia="zh-CN"/>
        </w:rPr>
        <w:t>8094</w:t>
      </w:r>
      <w:r>
        <w:rPr>
          <w:rFonts w:ascii="宋体" w:eastAsia="宋体" w:cs="宋体" w:hint="eastAsia"/>
          <w:i w:val="0"/>
          <w:iCs w:val="0"/>
          <w:caps w:val="0"/>
          <w:smallCaps w:val="0"/>
          <w:color w:val="auto"/>
          <w:spacing w:val="-10"/>
          <w:sz w:val="32"/>
          <w:szCs w:val="32"/>
          <w:vertAlign w:val="baseline"/>
        </w:rPr>
        <w:t>人；各类司法业务培训1</w:t>
      </w:r>
      <w:r>
        <w:rPr>
          <w:rFonts w:ascii="宋体" w:eastAsia="宋体" w:cs="宋体" w:hint="eastAsia"/>
          <w:i w:val="0"/>
          <w:iCs w:val="0"/>
          <w:caps w:val="0"/>
          <w:smallCaps w:val="0"/>
          <w:color w:val="auto"/>
          <w:spacing w:val="-10"/>
          <w:sz w:val="32"/>
          <w:szCs w:val="32"/>
          <w:vertAlign w:val="baseline"/>
          <w:lang w:val="en-US" w:eastAsia="zh-CN"/>
        </w:rPr>
        <w:t>4</w:t>
      </w:r>
      <w:r>
        <w:rPr>
          <w:rFonts w:ascii="宋体" w:eastAsia="宋体" w:cs="宋体" w:hint="eastAsia"/>
          <w:i w:val="0"/>
          <w:iCs w:val="0"/>
          <w:caps w:val="0"/>
          <w:smallCaps w:val="0"/>
          <w:color w:val="auto"/>
          <w:spacing w:val="-10"/>
          <w:sz w:val="32"/>
          <w:szCs w:val="32"/>
          <w:vertAlign w:val="baseline"/>
        </w:rPr>
        <w:t>次；完成法律援助案件</w:t>
      </w:r>
      <w:r>
        <w:rPr>
          <w:rFonts w:ascii="宋体" w:eastAsia="宋体" w:cs="宋体" w:hint="eastAsia"/>
          <w:i w:val="0"/>
          <w:iCs w:val="0"/>
          <w:caps w:val="0"/>
          <w:smallCaps w:val="0"/>
          <w:color w:val="auto"/>
          <w:spacing w:val="-10"/>
          <w:sz w:val="32"/>
          <w:szCs w:val="32"/>
          <w:vertAlign w:val="baseline"/>
          <w:lang w:val="en-US" w:eastAsia="zh-CN"/>
        </w:rPr>
        <w:t>780</w:t>
      </w:r>
      <w:r>
        <w:rPr>
          <w:rFonts w:ascii="宋体" w:eastAsia="宋体" w:cs="宋体" w:hint="eastAsia"/>
          <w:i w:val="0"/>
          <w:iCs w:val="0"/>
          <w:caps w:val="0"/>
          <w:smallCaps w:val="0"/>
          <w:color w:val="auto"/>
          <w:spacing w:val="-10"/>
          <w:sz w:val="32"/>
          <w:szCs w:val="32"/>
          <w:vertAlign w:val="baseline"/>
        </w:rPr>
        <w:t>件；安全监管全县社区矫正对象</w:t>
      </w:r>
      <w:r>
        <w:rPr>
          <w:rFonts w:ascii="宋体" w:eastAsia="宋体" w:cs="宋体" w:hint="eastAsia"/>
          <w:i w:val="0"/>
          <w:iCs w:val="0"/>
          <w:caps w:val="0"/>
          <w:smallCaps w:val="0"/>
          <w:color w:val="auto"/>
          <w:spacing w:val="-10"/>
          <w:sz w:val="32"/>
          <w:szCs w:val="32"/>
          <w:vertAlign w:val="baseline"/>
          <w:lang w:val="en-US" w:eastAsia="zh-CN"/>
        </w:rPr>
        <w:t>518</w:t>
      </w:r>
      <w:r>
        <w:rPr>
          <w:rFonts w:ascii="宋体" w:eastAsia="宋体" w:cs="宋体" w:hint="eastAsia"/>
          <w:i w:val="0"/>
          <w:iCs w:val="0"/>
          <w:caps w:val="0"/>
          <w:smallCaps w:val="0"/>
          <w:color w:val="auto"/>
          <w:spacing w:val="-10"/>
          <w:sz w:val="32"/>
          <w:szCs w:val="32"/>
          <w:vertAlign w:val="baseline"/>
        </w:rPr>
        <w:t>人；完成全县矛盾纠纷调解案件数</w:t>
      </w:r>
      <w:r>
        <w:rPr>
          <w:rFonts w:ascii="宋体" w:eastAsia="宋体" w:cs="宋体" w:hint="eastAsia"/>
          <w:i w:val="0"/>
          <w:iCs w:val="0"/>
          <w:caps w:val="0"/>
          <w:smallCaps w:val="0"/>
          <w:color w:val="auto"/>
          <w:spacing w:val="-10"/>
          <w:sz w:val="32"/>
          <w:szCs w:val="32"/>
          <w:vertAlign w:val="baseline"/>
          <w:lang w:val="en-US" w:eastAsia="zh-CN"/>
        </w:rPr>
        <w:t>1334</w:t>
      </w:r>
      <w:r>
        <w:rPr>
          <w:rFonts w:ascii="宋体" w:eastAsia="宋体" w:cs="宋体" w:hint="eastAsia"/>
          <w:i w:val="0"/>
          <w:iCs w:val="0"/>
          <w:caps w:val="0"/>
          <w:smallCaps w:val="0"/>
          <w:color w:val="auto"/>
          <w:spacing w:val="-10"/>
          <w:sz w:val="32"/>
          <w:szCs w:val="32"/>
          <w:vertAlign w:val="baseline"/>
        </w:rPr>
        <w:t>件；聘请县法律顾问人数3人；行政执法证、监督证换证数</w:t>
      </w:r>
      <w:r>
        <w:rPr>
          <w:rFonts w:ascii="宋体" w:eastAsia="宋体" w:cs="宋体" w:hint="eastAsia"/>
          <w:i w:val="0"/>
          <w:iCs w:val="0"/>
          <w:caps w:val="0"/>
          <w:smallCaps w:val="0"/>
          <w:color w:val="auto"/>
          <w:spacing w:val="-10"/>
          <w:sz w:val="32"/>
          <w:szCs w:val="32"/>
          <w:vertAlign w:val="baseline"/>
          <w:lang w:val="en-US" w:eastAsia="zh-CN"/>
        </w:rPr>
        <w:t>800</w:t>
      </w:r>
      <w:r>
        <w:rPr>
          <w:rFonts w:ascii="宋体" w:eastAsia="宋体" w:cs="宋体" w:hint="eastAsia"/>
          <w:i w:val="0"/>
          <w:iCs w:val="0"/>
          <w:caps w:val="0"/>
          <w:smallCaps w:val="0"/>
          <w:color w:val="auto"/>
          <w:spacing w:val="-10"/>
          <w:sz w:val="32"/>
          <w:szCs w:val="32"/>
          <w:vertAlign w:val="baseline"/>
        </w:rPr>
        <w:t>个；行政执法案卷评查52个；依法办理行政复议与应诉案件14件；完成规范性文件和合同的合法性审查</w:t>
      </w:r>
      <w:r>
        <w:rPr>
          <w:rFonts w:ascii="宋体" w:eastAsia="宋体" w:cs="宋体" w:hint="eastAsia"/>
          <w:i w:val="0"/>
          <w:iCs w:val="0"/>
          <w:caps w:val="0"/>
          <w:smallCaps w:val="0"/>
          <w:color w:val="auto"/>
          <w:spacing w:val="-10"/>
          <w:sz w:val="32"/>
          <w:szCs w:val="32"/>
          <w:vertAlign w:val="baseline"/>
          <w:lang w:val="en-US" w:eastAsia="zh-CN"/>
        </w:rPr>
        <w:t>174</w:t>
      </w:r>
      <w:r>
        <w:rPr>
          <w:rFonts w:ascii="宋体" w:eastAsia="宋体" w:cs="宋体" w:hint="eastAsia"/>
          <w:i w:val="0"/>
          <w:iCs w:val="0"/>
          <w:caps w:val="0"/>
          <w:smallCaps w:val="0"/>
          <w:color w:val="auto"/>
          <w:spacing w:val="-10"/>
          <w:sz w:val="32"/>
          <w:szCs w:val="32"/>
          <w:vertAlign w:val="baseline"/>
        </w:rPr>
        <w:t>件；</w:t>
      </w:r>
      <w:r>
        <w:rPr>
          <w:rFonts w:ascii="宋体" w:eastAsia="宋体" w:cs="宋体" w:hint="eastAsia"/>
          <w:i w:val="0"/>
          <w:iCs w:val="0"/>
          <w:caps w:val="0"/>
          <w:smallCaps w:val="0"/>
          <w:color w:val="auto"/>
          <w:spacing w:val="-10"/>
          <w:sz w:val="32"/>
          <w:szCs w:val="32"/>
          <w:vertAlign w:val="baseline"/>
          <w:lang w:val="en-US" w:eastAsia="zh-CN"/>
        </w:rPr>
        <w:t>上门开展免费公证便民服务8次；办理公证业务350件；</w:t>
      </w:r>
      <w:r>
        <w:rPr>
          <w:rFonts w:ascii="宋体" w:eastAsia="宋体" w:cs="宋体" w:hint="eastAsia"/>
          <w:i w:val="0"/>
          <w:iCs w:val="0"/>
          <w:caps w:val="0"/>
          <w:smallCaps w:val="0"/>
          <w:color w:val="auto"/>
          <w:spacing w:val="-10"/>
          <w:sz w:val="32"/>
          <w:szCs w:val="32"/>
          <w:vertAlign w:val="baseline"/>
        </w:rPr>
        <w:t>社区服刑人员重新犯罪0%</w:t>
      </w:r>
      <w:r>
        <w:rPr>
          <w:rFonts w:ascii="宋体" w:eastAsia="宋体" w:cs="宋体" w:hint="eastAsia"/>
          <w:i w:val="0"/>
          <w:iCs w:val="0"/>
          <w:caps w:val="0"/>
          <w:smallCaps w:val="0"/>
          <w:color w:val="auto"/>
          <w:spacing w:val="-10"/>
          <w:sz w:val="32"/>
          <w:szCs w:val="32"/>
          <w:vertAlign w:val="baseline"/>
          <w:lang w:eastAsia="zh-CN"/>
        </w:rPr>
        <w:t>。</w:t>
      </w:r>
      <w:r>
        <w:rPr>
          <w:rFonts w:ascii="宋体" w:eastAsia="宋体" w:cs="宋体" w:hint="eastAsia"/>
          <w:i w:val="0"/>
          <w:iCs w:val="0"/>
          <w:caps w:val="0"/>
          <w:smallCaps w:val="0"/>
          <w:color w:val="auto"/>
          <w:spacing w:val="-10"/>
          <w:sz w:val="32"/>
          <w:szCs w:val="32"/>
          <w:vertAlign w:val="baseline"/>
        </w:rPr>
        <w:t>全部</w:t>
      </w:r>
      <w:r>
        <w:rPr>
          <w:rFonts w:ascii="宋体" w:eastAsia="宋体" w:cs="宋体" w:hint="eastAsia"/>
          <w:i w:val="0"/>
          <w:iCs w:val="0"/>
          <w:caps w:val="0"/>
          <w:smallCaps w:val="0"/>
          <w:color w:val="auto"/>
          <w:spacing w:val="0"/>
          <w:sz w:val="32"/>
          <w:szCs w:val="32"/>
          <w:vertAlign w:val="baseline"/>
        </w:rPr>
        <w:t>指标在202</w:t>
      </w:r>
      <w:r>
        <w:rPr>
          <w:rFonts w:ascii="宋体" w:eastAsia="宋体" w:cs="宋体" w:hint="eastAsia"/>
          <w:i w:val="0"/>
          <w:iCs w:val="0"/>
          <w:caps w:val="0"/>
          <w:smallCaps w:val="0"/>
          <w:color w:val="auto"/>
          <w:spacing w:val="0"/>
          <w:sz w:val="32"/>
          <w:szCs w:val="32"/>
          <w:vertAlign w:val="baseline"/>
          <w:lang w:val="en-US" w:eastAsia="zh-CN"/>
        </w:rPr>
        <w:t>3</w:t>
      </w:r>
      <w:r>
        <w:rPr>
          <w:rFonts w:ascii="宋体" w:eastAsia="宋体" w:cs="宋体" w:hint="eastAsia"/>
          <w:i w:val="0"/>
          <w:iCs w:val="0"/>
          <w:caps w:val="0"/>
          <w:smallCaps w:val="0"/>
          <w:color w:val="auto"/>
          <w:spacing w:val="0"/>
          <w:sz w:val="32"/>
          <w:szCs w:val="32"/>
          <w:vertAlign w:val="baseline"/>
        </w:rPr>
        <w:t>年1月至202</w:t>
      </w:r>
      <w:r>
        <w:rPr>
          <w:rFonts w:ascii="宋体" w:eastAsia="宋体" w:cs="宋体" w:hint="eastAsia"/>
          <w:i w:val="0"/>
          <w:iCs w:val="0"/>
          <w:caps w:val="0"/>
          <w:smallCaps w:val="0"/>
          <w:color w:val="auto"/>
          <w:spacing w:val="0"/>
          <w:sz w:val="32"/>
          <w:szCs w:val="32"/>
          <w:vertAlign w:val="baseline"/>
          <w:lang w:val="en-US" w:eastAsia="zh-CN"/>
        </w:rPr>
        <w:t>3</w:t>
      </w:r>
      <w:r>
        <w:rPr>
          <w:rFonts w:ascii="宋体" w:eastAsia="宋体" w:cs="宋体" w:hint="eastAsia"/>
          <w:i w:val="0"/>
          <w:iCs w:val="0"/>
          <w:caps w:val="0"/>
          <w:smallCaps w:val="0"/>
          <w:color w:val="auto"/>
          <w:spacing w:val="0"/>
          <w:sz w:val="32"/>
          <w:szCs w:val="32"/>
          <w:vertAlign w:val="baseline"/>
        </w:rPr>
        <w:t>年12月圆满完成。</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0" w:beforeAutospacing="0" w:after="0" w:afterAutospacing="0" w:line="580" w:lineRule="exact"/>
        <w:ind w:left="0" w:right="0" w:firstLineChars="200" w:firstLine="596"/>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b w:val="0"/>
          <w:bCs w:val="0"/>
          <w:i w:val="0"/>
          <w:iCs w:val="0"/>
          <w:caps w:val="0"/>
          <w:smallCaps w:val="0"/>
          <w:color w:val="auto"/>
          <w:spacing w:val="-11"/>
          <w:sz w:val="32"/>
          <w:szCs w:val="32"/>
          <w:vertAlign w:val="baseline"/>
        </w:rPr>
        <w:t>3、效益指标情况分析</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0" w:beforeAutospacing="0" w:after="0" w:afterAutospacing="0" w:line="580" w:lineRule="exact"/>
        <w:ind w:left="0" w:right="0" w:firstLineChars="200" w:firstLine="596"/>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b w:val="0"/>
          <w:bCs w:val="0"/>
          <w:i w:val="0"/>
          <w:iCs w:val="0"/>
          <w:caps w:val="0"/>
          <w:smallCaps w:val="0"/>
          <w:color w:val="auto"/>
          <w:spacing w:val="-11"/>
          <w:sz w:val="32"/>
          <w:szCs w:val="32"/>
          <w:vertAlign w:val="baseline"/>
        </w:rPr>
        <w:t>分值30分，自评得分27分。设定效益指标3个二级指标是经济效益指标、社会效益指标、可持续影响指标。二级指标设定3个三级指标，均扣1分。促进全县经济快速稳定发展效果显；公民法治意识、政府可信度明显提高；化解社会矛盾，维护社会和谐稳定，保障人民群众合法权益，推动“法治临武”建设效果显著，但每项工作任务都还需继续努力。</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0" w:beforeAutospacing="0" w:after="0" w:afterAutospacing="0" w:line="580" w:lineRule="exact"/>
        <w:ind w:left="0" w:right="0" w:firstLineChars="200" w:firstLine="596"/>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b w:val="0"/>
          <w:bCs w:val="0"/>
          <w:i w:val="0"/>
          <w:iCs w:val="0"/>
          <w:caps w:val="0"/>
          <w:smallCaps w:val="0"/>
          <w:color w:val="auto"/>
          <w:spacing w:val="-11"/>
          <w:sz w:val="32"/>
          <w:szCs w:val="32"/>
          <w:vertAlign w:val="baseline"/>
        </w:rPr>
        <w:t>4、满意度指标情况分析</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0" w:beforeAutospacing="0" w:after="0" w:afterAutospacing="0" w:line="580" w:lineRule="exact"/>
        <w:ind w:left="0" w:right="0" w:firstLineChars="200" w:firstLine="596"/>
        <w:jc w:val="both"/>
        <w:textAlignment w:val="baseline"/>
        <w:rPr>
          <w:rFonts w:ascii="宋体" w:eastAsia="宋体" w:cs="宋体" w:hint="eastAsia"/>
          <w:b w:val="0"/>
          <w:bCs w:val="0"/>
          <w:i w:val="0"/>
          <w:iCs w:val="0"/>
          <w:caps w:val="0"/>
          <w:smallCaps w:val="0"/>
          <w:color w:val="auto"/>
          <w:spacing w:val="-11"/>
          <w:sz w:val="32"/>
          <w:szCs w:val="32"/>
          <w:vertAlign w:val="baseline"/>
        </w:rPr>
      </w:pPr>
      <w:r>
        <w:rPr>
          <w:rFonts w:ascii="宋体" w:eastAsia="宋体" w:cs="宋体" w:hint="eastAsia"/>
          <w:b w:val="0"/>
          <w:bCs w:val="0"/>
          <w:i w:val="0"/>
          <w:iCs w:val="0"/>
          <w:caps w:val="0"/>
          <w:smallCaps w:val="0"/>
          <w:color w:val="auto"/>
          <w:spacing w:val="-11"/>
          <w:sz w:val="32"/>
          <w:szCs w:val="32"/>
          <w:vertAlign w:val="baseline"/>
        </w:rPr>
        <w:t>分值10分，自评得分10分。设定满意度指标为服务对象的满意度，无扣分情况，本年度工作获得服务对象一致满意。</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0" w:beforeAutospacing="0" w:after="0" w:afterAutospacing="0" w:line="580" w:lineRule="exact"/>
        <w:ind w:left="0" w:right="0" w:firstLineChars="200" w:firstLine="596"/>
        <w:jc w:val="both"/>
        <w:textAlignment w:val="baseline"/>
        <w:rPr>
          <w:rFonts w:ascii="宋体" w:eastAsia="宋体" w:cs="宋体" w:hint="eastAsia"/>
          <w:b w:val="0"/>
          <w:bCs w:val="0"/>
          <w:i w:val="0"/>
          <w:iCs w:val="0"/>
          <w:caps w:val="0"/>
          <w:smallCaps w:val="0"/>
          <w:color w:val="auto"/>
          <w:spacing w:val="-11"/>
          <w:sz w:val="32"/>
          <w:szCs w:val="32"/>
          <w:vertAlign w:val="baseline"/>
        </w:rPr>
      </w:pPr>
      <w:r>
        <w:rPr>
          <w:rFonts w:ascii="黑体" w:eastAsia="黑体" w:cs="黑体" w:hint="eastAsia"/>
          <w:b w:val="0"/>
          <w:bCs w:val="0"/>
          <w:i w:val="0"/>
          <w:iCs w:val="0"/>
          <w:caps w:val="0"/>
          <w:smallCaps w:val="0"/>
          <w:color w:val="auto"/>
          <w:spacing w:val="-11"/>
          <w:sz w:val="32"/>
          <w:szCs w:val="32"/>
          <w:vertAlign w:val="baseline"/>
          <w:lang w:eastAsia="zh-CN"/>
        </w:rPr>
        <w:t>七、</w:t>
      </w:r>
      <w:r>
        <w:rPr>
          <w:rFonts w:ascii="黑体" w:eastAsia="黑体" w:cs="黑体" w:hint="eastAsia"/>
          <w:b w:val="0"/>
          <w:bCs w:val="0"/>
          <w:i w:val="0"/>
          <w:iCs w:val="0"/>
          <w:caps w:val="0"/>
          <w:smallCaps w:val="0"/>
          <w:color w:val="auto"/>
          <w:spacing w:val="-11"/>
          <w:sz w:val="32"/>
          <w:szCs w:val="32"/>
          <w:vertAlign w:val="baseline"/>
        </w:rPr>
        <w:t>存在的问题及原因分析</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0" w:beforeAutospacing="0" w:after="0" w:afterAutospacing="0" w:line="580" w:lineRule="exact"/>
        <w:ind w:left="0" w:right="0" w:firstLineChars="200" w:firstLine="596"/>
        <w:jc w:val="both"/>
        <w:textAlignment w:val="baseline"/>
        <w:rPr>
          <w:rFonts w:ascii="宋体" w:eastAsia="宋体" w:cs="宋体" w:hint="eastAsia"/>
          <w:b w:val="0"/>
          <w:bCs w:val="0"/>
          <w:i w:val="0"/>
          <w:iCs w:val="0"/>
          <w:caps w:val="0"/>
          <w:smallCaps w:val="0"/>
          <w:color w:val="auto"/>
          <w:spacing w:val="-11"/>
          <w:sz w:val="32"/>
          <w:szCs w:val="32"/>
          <w:vertAlign w:val="baseline"/>
          <w:lang w:val="en-US" w:eastAsia="zh-CN"/>
        </w:rPr>
      </w:pPr>
      <w:r>
        <w:rPr>
          <w:rFonts w:ascii="宋体" w:eastAsia="宋体" w:cs="宋体" w:hint="eastAsia"/>
          <w:b w:val="0"/>
          <w:bCs w:val="0"/>
          <w:i w:val="0"/>
          <w:iCs w:val="0"/>
          <w:caps w:val="0"/>
          <w:smallCaps w:val="0"/>
          <w:color w:val="auto"/>
          <w:spacing w:val="-11"/>
          <w:sz w:val="32"/>
          <w:szCs w:val="32"/>
          <w:vertAlign w:val="baseline"/>
          <w:lang w:val="en-US" w:eastAsia="zh-CN"/>
        </w:rPr>
        <w:t>1.公用经费控制有一定难度，基本为刚性支出。</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0" w:beforeAutospacing="0" w:after="0" w:afterAutospacing="0" w:line="580" w:lineRule="exact"/>
        <w:ind w:left="0" w:right="0" w:firstLineChars="200" w:firstLine="596"/>
        <w:jc w:val="both"/>
        <w:textAlignment w:val="baseline"/>
        <w:rPr>
          <w:rFonts w:ascii="宋体" w:eastAsia="宋体" w:cs="宋体" w:hint="eastAsia"/>
          <w:b w:val="0"/>
          <w:bCs w:val="0"/>
          <w:i w:val="0"/>
          <w:iCs w:val="0"/>
          <w:caps w:val="0"/>
          <w:smallCaps w:val="0"/>
          <w:color w:val="auto"/>
          <w:spacing w:val="-11"/>
          <w:sz w:val="32"/>
          <w:szCs w:val="32"/>
          <w:vertAlign w:val="baseline"/>
          <w:lang w:val="en-US" w:eastAsia="zh-CN"/>
        </w:rPr>
      </w:pPr>
      <w:r>
        <w:rPr>
          <w:rFonts w:ascii="宋体" w:eastAsia="宋体" w:cs="宋体" w:hint="eastAsia"/>
          <w:b w:val="0"/>
          <w:bCs w:val="0"/>
          <w:i w:val="0"/>
          <w:iCs w:val="0"/>
          <w:caps w:val="0"/>
          <w:smallCaps w:val="0"/>
          <w:color w:val="auto"/>
          <w:spacing w:val="-11"/>
          <w:sz w:val="32"/>
          <w:szCs w:val="32"/>
          <w:vertAlign w:val="baseline"/>
          <w:lang w:val="en-US" w:eastAsia="zh-CN"/>
        </w:rPr>
        <w:t>2.预算编制合理性需要提高，预算执行力度还要进一步加强。</w:t>
      </w:r>
    </w:p>
    <w:p>
      <w:pPr>
        <w:pStyle w:val="17"/>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0" w:beforeAutospacing="0" w:after="0" w:afterAutospacing="0" w:line="580" w:lineRule="exact"/>
        <w:ind w:left="0" w:right="0" w:firstLineChars="200" w:firstLine="596"/>
        <w:jc w:val="both"/>
        <w:textAlignment w:val="baseline"/>
        <w:rPr>
          <w:rFonts w:ascii="黑体" w:eastAsia="黑体" w:cs="黑体" w:hint="eastAsia"/>
          <w:b w:val="0"/>
          <w:bCs w:val="0"/>
          <w:i w:val="0"/>
          <w:iCs w:val="0"/>
          <w:caps w:val="0"/>
          <w:smallCaps w:val="0"/>
          <w:color w:val="auto"/>
          <w:spacing w:val="-11"/>
          <w:sz w:val="32"/>
          <w:szCs w:val="32"/>
          <w:vertAlign w:val="baseline"/>
        </w:rPr>
      </w:pPr>
      <w:r>
        <w:rPr>
          <w:rFonts w:ascii="黑体" w:eastAsia="黑体" w:cs="黑体" w:hint="eastAsia"/>
          <w:b w:val="0"/>
          <w:bCs w:val="0"/>
          <w:i w:val="0"/>
          <w:iCs w:val="0"/>
          <w:caps w:val="0"/>
          <w:smallCaps w:val="0"/>
          <w:color w:val="auto"/>
          <w:spacing w:val="-11"/>
          <w:sz w:val="32"/>
          <w:szCs w:val="32"/>
          <w:vertAlign w:val="baseline"/>
        </w:rPr>
        <w:t>八、下一步改进措施</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sz w:val="32"/>
          <w:szCs w:val="32"/>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黑体" w:eastAsia="黑体" w:cs="黑体" w:hint="eastAsia"/>
          <w:i w:val="0"/>
          <w:iCs w:val="0"/>
          <w:caps w:val="0"/>
          <w:smallCaps w:val="0"/>
          <w:color w:val="auto"/>
          <w:spacing w:val="0"/>
          <w:kern w:val="0"/>
          <w:sz w:val="32"/>
          <w:szCs w:val="32"/>
          <w:shd w:val="clear" w:color="auto" w:fill="FFFFFF"/>
          <w:vertAlign w:val="baseline"/>
          <w:lang w:val="en-US" w:eastAsia="zh-CN"/>
        </w:rPr>
      </w:pPr>
      <w:r>
        <w:rPr>
          <w:rFonts w:ascii="黑体" w:eastAsia="黑体" w:cs="黑体" w:hint="eastAsia"/>
          <w:i w:val="0"/>
          <w:iCs w:val="0"/>
          <w:caps w:val="0"/>
          <w:smallCaps w:val="0"/>
          <w:color w:val="auto"/>
          <w:spacing w:val="0"/>
          <w:kern w:val="0"/>
          <w:sz w:val="32"/>
          <w:szCs w:val="32"/>
          <w:shd w:val="clear" w:color="auto" w:fill="FFFFFF"/>
          <w:vertAlign w:val="baseline"/>
          <w:lang w:val="en-US" w:eastAsia="zh-CN"/>
        </w:rPr>
        <w:t>九、部门整体支出绩效自评结果拟应用和公开情况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绩效评价结果的运用是预算绩效管理落到实处、取得实效的关键，也是全过程预算绩效管理工作的落脚点。一是运用评价结果，提高资金效益，将绩效因素作为预算安排的重要依据，对上年度绩效完成不好的，减少预算安排加强绩效监督，反之应增加预算安排。二是不断完善预算管理制度，根据新形势和新要求，结合相关法律法规</w:t>
      </w:r>
      <w:bookmarkStart w:id="0" w:name="_GoBack"/>
      <w:bookmarkEnd w:id="0"/>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规定和本单位实际，完善本单位的预算管理制度和财务管理制度。三是强化预算管理制度，将绩效管理贯穿于预算编制、执行、决算等环节。</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我单位按规定在政府门户网站公开了绩效自评的相关信息，数据真实、完整、准确。</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pP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b/>
          <w:bCs/>
          <w:i w:val="0"/>
          <w:iCs w:val="0"/>
          <w:caps w:val="0"/>
          <w:smallCaps w:val="0"/>
          <w:color w:val="auto"/>
          <w:spacing w:val="0"/>
          <w:kern w:val="0"/>
          <w:sz w:val="32"/>
          <w:szCs w:val="32"/>
          <w:shd w:val="clear" w:color="auto" w:fill="FFFFFF"/>
          <w:vertAlign w:val="baseline"/>
          <w:lang w:val="en-US" w:eastAsia="zh-CN"/>
        </w:rPr>
      </w:pPr>
      <w:r>
        <w:rPr>
          <w:rFonts w:ascii="宋体" w:eastAsia="宋体" w:cs="宋体" w:hint="eastAsia"/>
          <w:b/>
          <w:bCs/>
          <w:i w:val="0"/>
          <w:iCs w:val="0"/>
          <w:caps w:val="0"/>
          <w:smallCaps w:val="0"/>
          <w:color w:val="auto"/>
          <w:spacing w:val="0"/>
          <w:kern w:val="0"/>
          <w:sz w:val="32"/>
          <w:szCs w:val="32"/>
          <w:shd w:val="clear" w:color="auto" w:fill="FFFFFF"/>
          <w:vertAlign w:val="baseline"/>
          <w:lang w:val="en-US" w:eastAsia="zh-CN"/>
        </w:rPr>
        <w:t>十、其他需要说明的情况</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kinsoku w:val="0"/>
        <w:wordWrap/>
        <w:overflowPunct/>
        <w:topLinePunct w:val="0"/>
        <w:autoSpaceDE w:val="0"/>
        <w:autoSpaceDN w:val="0"/>
        <w:bidi w:val="0"/>
        <w:adjustRightInd w:val="0"/>
        <w:snapToGrid w:val="0"/>
        <w:spacing w:beforeAutospacing="0" w:after="0" w:afterAutospacing="0" w:line="580" w:lineRule="exact"/>
        <w:ind w:left="0" w:right="0" w:firstLineChars="200" w:firstLine="640"/>
        <w:jc w:val="both"/>
        <w:textAlignment w:val="baseline"/>
        <w:rPr>
          <w:rFonts w:ascii="宋体" w:eastAsia="宋体" w:cs="宋体" w:hint="eastAsia"/>
          <w:i w:val="0"/>
          <w:iCs w:val="0"/>
          <w:caps w:val="0"/>
          <w:smallCaps w:val="0"/>
          <w:color w:val="auto"/>
          <w:spacing w:val="0"/>
          <w:kern w:val="0"/>
          <w:sz w:val="32"/>
          <w:szCs w:val="32"/>
          <w:shd w:val="clear" w:color="auto" w:fill="FFFFFF"/>
          <w:vertAlign w:val="baseline"/>
          <w:lang w:val="en-US" w:eastAsia="zh-CN"/>
          <w:highlight w:val="auto"/>
        </w:rPr>
      </w:pPr>
      <w:r>
        <w:rPr>
          <w:rFonts w:ascii="宋体" w:eastAsia="宋体" w:cs="宋体" w:hint="eastAsia"/>
          <w:i w:val="0"/>
          <w:iCs w:val="0"/>
          <w:caps w:val="0"/>
          <w:smallCaps w:val="0"/>
          <w:color w:val="auto"/>
          <w:spacing w:val="0"/>
          <w:kern w:val="0"/>
          <w:sz w:val="32"/>
          <w:szCs w:val="32"/>
          <w:shd w:val="clear" w:color="auto" w:fill="FFFFFF"/>
          <w:vertAlign w:val="baseline"/>
          <w:lang w:val="en-US" w:eastAsia="zh-CN"/>
        </w:rPr>
        <w:t>无。</w:t>
      </w:r>
    </w:p>
    <w:p>
      <w:pPr>
        <w:keepNext w:val="0"/>
        <w:keepLines w:val="0"/>
        <w:pageBreakBefore w:val="0"/>
        <w:widowControl/>
        <w:shd w:val="clear" w:color="auto" w:fill="auto"/>
        <w:kinsoku w:val="0"/>
        <w:wordWrap/>
        <w:overflowPunct/>
        <w:topLinePunct w:val="0"/>
        <w:autoSpaceDE w:val="0"/>
        <w:autoSpaceDN w:val="0"/>
        <w:bidi w:val="0"/>
        <w:adjustRightInd w:val="0"/>
        <w:snapToGrid w:val="0"/>
        <w:spacing w:line="580" w:lineRule="exact"/>
        <w:ind w:left="0" w:firstLineChars="200" w:firstLine="640"/>
        <w:jc w:val="both"/>
        <w:textAlignment w:val="baseline"/>
        <w:rPr>
          <w:rFonts w:ascii="宋体" w:eastAsia="宋体" w:cs="宋体" w:hint="eastAsia"/>
          <w:color w:val="auto"/>
          <w:sz w:val="32"/>
          <w:szCs w:val="32"/>
          <w:highlight w:val="auto"/>
        </w:rPr>
      </w:pPr>
    </w:p>
    <w:p>
      <w:pPr>
        <w:keepNext w:val="0"/>
        <w:keepLines w:val="0"/>
        <w:pageBreakBefore w:val="0"/>
        <w:widowControl/>
        <w:shd w:val="clear" w:color="auto" w:fill="auto"/>
        <w:kinsoku w:val="0"/>
        <w:wordWrap/>
        <w:overflowPunct/>
        <w:topLinePunct w:val="0"/>
        <w:autoSpaceDE w:val="0"/>
        <w:autoSpaceDN w:val="0"/>
        <w:bidi w:val="0"/>
        <w:adjustRightInd w:val="0"/>
        <w:snapToGrid w:val="0"/>
        <w:spacing w:line="580" w:lineRule="exact"/>
        <w:ind w:left="0" w:firstLineChars="200" w:firstLine="640"/>
        <w:jc w:val="both"/>
        <w:textAlignment w:val="baseline"/>
        <w:rPr>
          <w:rFonts w:ascii="宋体" w:eastAsia="宋体" w:cs="宋体" w:hint="eastAsia"/>
          <w:color w:val="auto"/>
          <w:sz w:val="32"/>
          <w:szCs w:val="32"/>
          <w:highlight w:val="auto"/>
        </w:rPr>
      </w:pPr>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Times New Roman">
    <w:altName w:val="仿宋_GB2312"/>
    <w:panose1 w:val="02020603050405020304"/>
    <w:charset w:val="86"/>
    <w:family w:val="auto"/>
    <w:pitch w:val="variable"/>
    <w:sig w:usb0="E0002AFF" w:usb1="C0007841" w:usb2="00000009" w:usb3="00000000" w:csb0="400001FF" w:csb1="FFFF0000"/>
  </w:font>
  <w:font w:name="Arial">
    <w:altName w:val="仿宋_GB2312"/>
    <w:panose1 w:val="020B0604020202020204"/>
    <w:charset w:val="01"/>
    <w:family w:val="swiss"/>
    <w:pitch w:val="variable"/>
    <w:sig w:usb0="E0002AFF" w:usb1="C0007843" w:usb2="00000009" w:usb3="00000000" w:csb0="400001FF" w:csb1="FFFF0000"/>
  </w:font>
  <w:font w:name="仿宋">
    <w:panose1 w:val="02010609060101010101"/>
    <w:charset w:val="86"/>
    <w:family w:val="modern"/>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before="1" w:line="178" w:lineRule="auto"/>
      <w:ind w:left="7940"/>
      <w:rPr>
        <w:rFonts w:ascii="宋体" w:eastAsia="宋体" w:cs="宋体"/>
        <w:sz w:val="32"/>
        <w:szCs w:val="32"/>
      </w:rPr>
    </w:pPr>
    <w:r>
      <w:rPr>
        <w:sz w:val="32"/>
        <w:lang w:eastAsia="zh-CN"/>
      </w:rPr>
      <mc:AlternateContent>
        <mc:Choice Requires="wps">
          <w:drawing>
            <wp:anchor distT="0" distB="0" distL="114298" distR="114298" simplePos="0" relativeHeight="10" behindDoc="0" locked="0" layoutInCell="1" hidden="0" allowOverlap="1">
              <wp:simplePos x="0" y="0"/>
              <wp:positionH relativeFrom="margin">
                <wp:align>outside</wp:align>
              </wp:positionH>
              <wp:positionV relativeFrom="paragraph">
                <wp:posOffset>0</wp:posOffset>
              </wp:positionV>
              <wp:extent cx="57150" cy="148018"/>
              <wp:effectExtent l="0" t="0" r="0" b="0"/>
              <wp:wrapNone/>
              <wp:docPr id="1" name="文本框 4"/>
              <wp:cNvGraphicFramePr>
                <a:graphicFrameLocks noChangeAspect="0"/>
              </wp:cNvGraphicFramePr>
              <a:graphic>
                <a:graphicData uri="http://schemas.microsoft.com/office/word/2010/wordprocessingShape">
                  <wps:wsp>
                    <wps:cNvSpPr/>
                    <wps:spPr>
                      <a:xfrm rot="0">
                        <a:off x="0" y="0"/>
                        <a:ext cx="57150" cy="148018"/>
                      </a:xfrm>
                      <a:prstGeom prst="rect"/>
                      <a:noFill/>
                      <a:ln w="6350" cmpd="sng" cap="flat">
                        <a:noFill/>
                        <a:prstDash val="solid"/>
                        <a:round/>
                      </a:ln>
                    </wps:spPr>
                    <wps:txbx id="2">
                      <w:txbxContent>
                        <w:p>
                          <w:pPr>
                            <w:pStyle w:val="16"/>
                            <w:tabs>
                              <w:tab w:val="center" w:pos="4153"/>
                              <w:tab w:val="right" w:pos="8306"/>
                            </w:tabs>
                          </w:pPr>
                          <w:r>
                            <w:fldChar w:fldCharType="begin"/>
                          </w:r>
                          <w:r>
                            <w:instrText xml:space="preserve"> PAGE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type="#_x0000_t202" id="文本框 4 3" o:spid="_x0000_s3" filled="f" stroked="f" strokeweight="0.5pt" style="position:absolute;margin-left:0.0pt;margin-top:0.0pt;width:4.500023pt;height:11.655035pt;z-index:10;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6"/>
                      </w:tabs>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1EBE4788"/>
    <w:multiLevelType w:val="singleLevel"/>
    <w:tmpl w:val="1EBE4788"/>
    <w:lvl w:ilvl="0">
      <w:start w:val="2"/>
      <w:numFmt w:val="chineseCounting"/>
      <w:lvlRestart w:val="0"/>
      <w:suff w:val="nothing"/>
      <w:lvlText w:val="（%1）"/>
      <w:lvlJc w:val="left"/>
      <w:pPr>
        <w:tabs>
          <w:tab w:val="num" w:pos="0"/>
        </w:tabs>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isplayBackgroundShape/>
  <w:bordersDoNotSurroundHeader w:val="0"/>
  <w:bordersDoNotSurroundFooter w:val="0"/>
  <w:defaultTabStop w:val="419"/>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OTYxMjhjOGRjY2RmMzY1ZjEwNjlmYzVkMGNmZTk4OTMifQ=="/>
    <w:docVar w:name="KSO_WPS_MARK_KEY" w:val="a06dfec9-1f82-4097-9a14-a5c4ef0b8c71"/>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kinsoku w:val="0"/>
      <w:autoSpaceDE w:val="0"/>
      <w:autoSpaceDN w:val="0"/>
      <w:adjustRightInd w:val="0"/>
      <w:snapToGrid w:val="0"/>
      <w:textAlignment w:val="baseline"/>
    </w:pPr>
    <w:rPr>
      <w:rFonts w:ascii="Arial" w:eastAsia="Arial" w:cs="Arial" w:hAnsi="Arial"/>
      <w:snapToGrid w:val="0"/>
      <w:color w:val="000000"/>
      <w:sz w:val="21"/>
      <w:szCs w:val="21"/>
      <w:lang w:val="en-US" w:eastAsia="en-US" w:bidi="ar-SA"/>
    </w:rPr>
  </w:style>
  <w:style w:type="character" w:default="1" w:styleId="10">
    <w:name w:val="Default Paragraph Font"/>
  </w:style>
  <w:style w:type="paragraph" w:styleId="15">
    <w:name w:val="Body Text"/>
    <w:basedOn w:val="0"/>
    <w:rPr>
      <w:rFonts w:ascii="仿宋" w:eastAsia="仿宋" w:cs="仿宋"/>
      <w:sz w:val="35"/>
      <w:szCs w:val="35"/>
    </w:rPr>
  </w:style>
  <w:style w:type="paragraph" w:styleId="16">
    <w:name w:val="footer"/>
    <w:basedOn w:val="0"/>
    <w:pPr>
      <w:tabs>
        <w:tab w:val="center" w:pos="4153"/>
        <w:tab w:val="right" w:pos="8306"/>
      </w:tabs>
    </w:pPr>
    <w:rPr>
      <w:sz w:val="18"/>
    </w:rPr>
  </w:style>
  <w:style w:type="paragraph" w:styleId="17">
    <w:name w:val="Normal (Web)"/>
    <w:basedOn w:val="0"/>
    <w:pPr>
      <w:spacing w:before="0" w:beforeAutospacing="1" w:after="0" w:afterAutospacing="1"/>
      <w:ind w:left="0" w:right="0"/>
      <w:jc w:val="left"/>
    </w:pPr>
    <w:rPr>
      <w:kern w:val="0"/>
      <w:sz w:val="24"/>
      <w:lang w:val="en-US" w:eastAsia="zh-CN"/>
    </w:rPr>
  </w:style>
  <w:style w:type="paragraph" w:customStyle="1" w:styleId="18">
    <w:name w:val="样式1"/>
    <w:basedOn w:val="0"/>
    <w:next w:val="15"/>
    <w:pPr>
      <w:pBdr>
        <w:top w:val="none" w:sz="0" w:space="0" w:color="auto"/>
        <w:left w:val="none" w:sz="0" w:space="0" w:color="auto"/>
        <w:bottom w:val="none" w:sz="0" w:space="0" w:color="auto"/>
        <w:right w:val="none" w:sz="0" w:space="0" w:color="auto"/>
      </w:pBdr>
      <w:spacing w:line="600" w:lineRule="atLeast"/>
      <w:ind w:firstLine="641"/>
    </w:pPr>
    <w:rPr>
      <w:rFonts w:ascii="宋体" w:eastAsia="宋体" w:cs="宋体"/>
      <w:color w:val="auto"/>
      <w:sz w:val="32"/>
      <w:szCs w:val="32"/>
      <w:shd w:val="clear" w:color="auto" w:fill="FFFFFF"/>
      <w:lang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21</TotalTime>
  <Application>Yozo_Office</Application>
  <Pages>8</Pages>
  <Words>3708</Words>
  <Characters>3901</Characters>
  <Lines>179</Lines>
  <Paragraphs>58</Paragraphs>
  <CharactersWithSpaces>3905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ft</cp:lastModifiedBy>
  <cp:revision>1</cp:revision>
  <dcterms:created xsi:type="dcterms:W3CDTF">2024-05-04T15:33:00Z</dcterms:created>
  <dcterms:modified xsi:type="dcterms:W3CDTF">2024-11-13T07:40:04Z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2052-12.1.0.18608</vt:lpwstr>
  </property>
  <property fmtid="{D5CDD505-2E9C-101B-9397-08002B2CF9AE}" pid="3" name="ICV">
    <vt:lpwstr>BE6CEBBFC003421E9BFE312C0A6FE2D3_13</vt:lpwstr>
  </property>
</Properties>
</file>