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D219">
      <w:pPr>
        <w:widowControl/>
        <w:spacing w:line="240" w:lineRule="auto"/>
        <w:jc w:val="distribute"/>
        <w:rPr>
          <w:rFonts w:hint="eastAsia" w:ascii="黑体" w:hAnsi="黑体" w:eastAsia="黑体"/>
          <w:b/>
          <w:bCs/>
          <w:color w:val="C00000"/>
          <w:kern w:val="0"/>
          <w:sz w:val="32"/>
          <w:szCs w:val="36"/>
          <w:u w:val="double"/>
          <w:lang w:eastAsia="zh-CN"/>
        </w:rPr>
      </w:pPr>
    </w:p>
    <w:p w14:paraId="684A761E">
      <w:pPr>
        <w:widowControl/>
        <w:spacing w:line="600" w:lineRule="exact"/>
        <w:jc w:val="both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 w14:paraId="26E98F36">
      <w:pPr>
        <w:widowControl/>
        <w:spacing w:line="600" w:lineRule="exact"/>
        <w:jc w:val="center"/>
        <w:rPr>
          <w:rFonts w:ascii="黑体" w:hAnsi="黑体" w:eastAsia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临武县财政局</w:t>
      </w:r>
      <w:r>
        <w:rPr>
          <w:rFonts w:ascii="黑体" w:hAnsi="黑体" w:eastAsia="黑体"/>
          <w:b/>
          <w:bCs/>
          <w:kern w:val="0"/>
          <w:sz w:val="36"/>
          <w:szCs w:val="36"/>
        </w:rPr>
        <w:t>20</w:t>
      </w:r>
      <w:r>
        <w:rPr>
          <w:rFonts w:hint="eastAsia" w:ascii="黑体" w:hAnsi="黑体" w:eastAsia="黑体"/>
          <w:b/>
          <w:bCs/>
          <w:kern w:val="0"/>
          <w:sz w:val="36"/>
          <w:szCs w:val="36"/>
        </w:rPr>
        <w:t>2</w:t>
      </w:r>
      <w:r>
        <w:rPr>
          <w:rFonts w:hint="eastAsia" w:ascii="黑体" w:hAnsi="黑体" w:eastAsia="黑体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年度部门整体支出绩效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自</w:t>
      </w:r>
      <w:r>
        <w:rPr>
          <w:rFonts w:hint="eastAsia" w:ascii="黑体" w:hAnsi="黑体" w:eastAsia="黑体"/>
          <w:b/>
          <w:sz w:val="36"/>
          <w:szCs w:val="36"/>
        </w:rPr>
        <w:t>评报告</w:t>
      </w:r>
    </w:p>
    <w:p w14:paraId="5BAE820A">
      <w:pPr>
        <w:ind w:firstLine="640" w:firstLineChars="200"/>
        <w:rPr>
          <w:sz w:val="32"/>
          <w:szCs w:val="32"/>
        </w:rPr>
      </w:pPr>
    </w:p>
    <w:p w14:paraId="0217CA85">
      <w:pPr>
        <w:pStyle w:val="4"/>
        <w:spacing w:beforeAutospacing="0" w:afterAutospacing="0"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湖南省人民政府办公厅关于全面实施预算绩效管理的实施意见》（湘办发〔2019〕10号）文件精神，我单位对202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bidi="ar"/>
        </w:rPr>
        <w:t>年部门整体支出进行了绩效自评，现将绩效自评情况报告如下：</w:t>
      </w:r>
    </w:p>
    <w:p w14:paraId="1AB02581">
      <w:pPr>
        <w:widowControl/>
        <w:numPr>
          <w:ilvl w:val="0"/>
          <w:numId w:val="1"/>
        </w:numPr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部门、单位基本情况</w:t>
      </w:r>
    </w:p>
    <w:p w14:paraId="179A54DE">
      <w:pPr>
        <w:widowControl/>
        <w:spacing w:line="600" w:lineRule="exact"/>
        <w:ind w:firstLine="627" w:firstLineChars="196"/>
        <w:jc w:val="left"/>
        <w:rPr>
          <w:rFonts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宋体" w:hAnsi="宋体"/>
          <w:bCs/>
          <w:kern w:val="0"/>
          <w:sz w:val="32"/>
          <w:szCs w:val="32"/>
        </w:rPr>
        <w:t>单位</w:t>
      </w:r>
      <w:r>
        <w:rPr>
          <w:rFonts w:ascii="宋体" w:hAnsi="宋体"/>
          <w:sz w:val="32"/>
          <w:szCs w:val="32"/>
        </w:rPr>
        <w:t>机构设置和人员</w:t>
      </w:r>
      <w:r>
        <w:rPr>
          <w:rFonts w:ascii="宋体" w:hAnsi="宋体"/>
          <w:bCs/>
          <w:kern w:val="0"/>
          <w:sz w:val="32"/>
          <w:szCs w:val="32"/>
        </w:rPr>
        <w:t>情况</w:t>
      </w:r>
    </w:p>
    <w:p w14:paraId="578C5FDD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年临武县财政局内设</w:t>
      </w:r>
      <w:r>
        <w:rPr>
          <w:rFonts w:hint="eastAsia" w:ascii="宋体" w:hAnsi="宋体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sz w:val="32"/>
          <w:szCs w:val="32"/>
        </w:rPr>
        <w:t>个职能股室、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个局属事业单位、1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个派出机构：</w:t>
      </w:r>
    </w:p>
    <w:p w14:paraId="13886F6B">
      <w:pPr>
        <w:ind w:firstLine="480" w:firstLineChars="15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16个职能股室包括：办公室、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税政法规综合业务股（行政审批股 ）</w:t>
      </w:r>
      <w:r>
        <w:rPr>
          <w:rFonts w:hint="default" w:ascii="Times New Roman" w:hAnsi="Times New Roman" w:cs="Times New Roman"/>
          <w:sz w:val="32"/>
          <w:szCs w:val="32"/>
        </w:rPr>
        <w:t>、预算股（县委财经委员会办公室秘书组）、国库股、行政政法股、教科文股、经济建设股、农业农村股、社会保障股、企业外经股（小微企业助保贷管理中心）、债务与金融股、政府采购和资产管理股、会计与信息股、监督评价股、乡镇财政管理股、人事股。</w:t>
      </w:r>
    </w:p>
    <w:p w14:paraId="0A21A1A8">
      <w:pPr>
        <w:numPr>
          <w:ilvl w:val="0"/>
          <w:numId w:val="2"/>
        </w:numPr>
        <w:ind w:firstLine="480" w:firstLineChars="15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事业单位3个包括：临武县财政事务中心、临武县国库集中支付核算中心、临武县财政投资评审中心。</w:t>
      </w:r>
    </w:p>
    <w:p w14:paraId="0C2C84FE">
      <w:pPr>
        <w:numPr>
          <w:ilvl w:val="0"/>
          <w:numId w:val="2"/>
        </w:num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个派出机构：13个乡镇财政所。</w:t>
      </w:r>
    </w:p>
    <w:p w14:paraId="1C56D7A3">
      <w:pPr>
        <w:widowControl/>
        <w:spacing w:line="600" w:lineRule="exact"/>
        <w:ind w:firstLine="480" w:firstLineChars="150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000000"/>
          <w:sz w:val="32"/>
          <w:szCs w:val="32"/>
        </w:rPr>
        <w:t>4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/>
          <w:color w:val="000000"/>
          <w:sz w:val="32"/>
          <w:szCs w:val="32"/>
        </w:rPr>
        <w:t>、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财政</w:t>
      </w:r>
      <w:r>
        <w:rPr>
          <w:rFonts w:hint="eastAsia" w:ascii="宋体" w:hAnsi="宋体"/>
          <w:color w:val="000000"/>
          <w:sz w:val="32"/>
          <w:szCs w:val="32"/>
        </w:rPr>
        <w:t>局共有人员编制17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color w:val="000000"/>
          <w:sz w:val="32"/>
          <w:szCs w:val="32"/>
        </w:rPr>
        <w:t>个，其中行政编制73个，事业编制76个，工勤编制2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000000"/>
          <w:sz w:val="32"/>
          <w:szCs w:val="32"/>
        </w:rPr>
        <w:t>名。实有人数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249</w:t>
      </w:r>
      <w:r>
        <w:rPr>
          <w:rFonts w:hint="eastAsia" w:ascii="宋体" w:hAnsi="宋体"/>
          <w:color w:val="000000"/>
          <w:sz w:val="32"/>
          <w:szCs w:val="32"/>
        </w:rPr>
        <w:t>人，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其中在</w:t>
      </w:r>
      <w:r>
        <w:rPr>
          <w:rFonts w:hint="eastAsia" w:ascii="宋体" w:hAnsi="宋体"/>
          <w:color w:val="000000"/>
          <w:sz w:val="32"/>
          <w:szCs w:val="32"/>
        </w:rPr>
        <w:t>职人员162人，退休人员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59</w:t>
      </w:r>
      <w:r>
        <w:rPr>
          <w:rFonts w:hint="eastAsia" w:ascii="宋体" w:hAnsi="宋体"/>
          <w:color w:val="000000"/>
          <w:sz w:val="32"/>
          <w:szCs w:val="32"/>
        </w:rPr>
        <w:t>人，遗属人员1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人，临聘人员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color w:val="000000"/>
          <w:sz w:val="32"/>
          <w:szCs w:val="32"/>
        </w:rPr>
        <w:t>人。</w:t>
      </w:r>
    </w:p>
    <w:p w14:paraId="6614449F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 w14:paraId="701E3DD0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2、</w:t>
      </w:r>
      <w:r>
        <w:rPr>
          <w:rFonts w:hint="eastAsia" w:ascii="宋体" w:hAnsi="宋体"/>
          <w:sz w:val="32"/>
          <w:szCs w:val="32"/>
          <w:lang w:eastAsia="zh-CN"/>
        </w:rPr>
        <w:t>主要</w:t>
      </w:r>
      <w:r>
        <w:rPr>
          <w:rFonts w:ascii="宋体" w:hAnsi="宋体"/>
          <w:sz w:val="32"/>
          <w:szCs w:val="32"/>
        </w:rPr>
        <w:t>职能职责</w:t>
      </w:r>
    </w:p>
    <w:p w14:paraId="06173AF4"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组织贯彻执行国家财税方针政策，拟订和执行全县财政政策、改革方案，指导全县财政工作；分析预测全县宏观经济形势，参与制定全县各项宏观经济政策；提出运用财税政策实施宏观调控和综合平衡社会财力的建议；贯彻落实有关财政分配政策，完善鼓励公益事业发展的财税政策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 （二）制定和执行财政、财务、会计管理的制度及办法，参与涉外财政、债务等的谈判并签订有关协议、协定。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 （三）承担县本级各项财政收支管理的责任。负责编制年度县本级预（决）算草案并组织执行。受县人民政府委托，向县人民代表大会报告县本级财政预算及其执行情况，向县人大常委会报告决算情况。组织制定县本级经费开支标准，负责审核批复部门（单位）的年度预（决）算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（四）组织协调财政收入，负责政府非税收入和政府性基金管理，按规定管理行政事业性收费。管理财政票据。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（五）落实国库管理制度、国库集中收付制度，指导和监督县本级国库业务，按规定开展国库现金管理工作。负责制定政府采购制度并监督实施。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（六）负责制定全县行政企事业单位国有资产管理规章制度，按规定管理行政事业单位国有资产。负责财政预算内行政、事业单位和社会团体的非贸易外汇管理。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（七）研究拟订全县财政支农、财政扶贫的政策及资金使用管理办法；会同有关部门分配和管理支农专项资金、财政扶贫资金、特大防汛抗旱资金、农业救灾防灾资金、农业补贴专项资金。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（八）负责办理县财政的经济发展支出、政府性投资项目的财政拨款，参与拟订县建设投资的有关政策，组织实施基本建设财务制度，负责有关政策性补贴和专项储备资金财政管理工作。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（九）会同有关部门管理县财政社会保障和就业及医疗卫生支出，组织实施社会保障资金(基金)的财务管理制度，编制县社会保障预决算草案。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十）贯彻执行全县政府性内外债务管理的政策、制度和办法，防范财政风险。负责统一管理县政府外债，制定债务管理制度。按规定管理外国政府和国际金融组织贷(赠)款。负责全县PPP项目申报及管理，研究制定公私合作相关制度规定，管控项目建设风险。负责全县地方政府性存量债务的新增债券和置换债券管理工作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（十一）负责管理全县的会计工作，监督和规范会计行为，组织实施会计制度，指导和监督注册会计师和会计师事务所的业务，指导和管理社会审计。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（十二）负责全县财源建设项目规划制定，项目的考察、融资、论证、评估、考核与实施，建立财政专项资金投放项目库，承担全县财税领域对外交流与合作的具体工作。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（十三）监督检查全县各部门财税法规、政策的执行情况，反映财政收支管理中的重大问题，提出加强财政管理的政策和建议。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（十四）负责对各乡镇财政所业务指导，承办县委、县政府和上级主管部门交办的其他事项。 </w:t>
      </w:r>
    </w:p>
    <w:p w14:paraId="0F78D508">
      <w:pPr>
        <w:widowControl/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二、一般公共预算支出情况</w:t>
      </w:r>
    </w:p>
    <w:p w14:paraId="4E477C68"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度总收入</w:t>
      </w:r>
      <w:r>
        <w:rPr>
          <w:rFonts w:hint="eastAsia" w:ascii="宋体" w:hAnsi="宋体"/>
          <w:sz w:val="32"/>
          <w:szCs w:val="32"/>
          <w:lang w:val="en-US" w:eastAsia="zh-CN"/>
        </w:rPr>
        <w:t>5286.28</w:t>
      </w:r>
      <w:r>
        <w:rPr>
          <w:rFonts w:hint="eastAsia" w:ascii="宋体" w:hAnsi="宋体"/>
          <w:sz w:val="32"/>
          <w:szCs w:val="32"/>
        </w:rPr>
        <w:t>万元。</w:t>
      </w:r>
      <w:r>
        <w:rPr>
          <w:rFonts w:ascii="宋体" w:hAnsi="宋体"/>
          <w:sz w:val="32"/>
          <w:szCs w:val="32"/>
        </w:rPr>
        <w:t>其中，一般公共预算拨款</w:t>
      </w:r>
      <w:r>
        <w:rPr>
          <w:rFonts w:hint="eastAsia" w:ascii="宋体" w:hAnsi="宋体"/>
          <w:sz w:val="32"/>
          <w:szCs w:val="32"/>
        </w:rPr>
        <w:t>收入</w:t>
      </w:r>
      <w:r>
        <w:rPr>
          <w:rFonts w:hint="eastAsia" w:ascii="宋体" w:hAnsi="宋体"/>
          <w:sz w:val="32"/>
          <w:szCs w:val="32"/>
          <w:lang w:val="en-US" w:eastAsia="zh-CN"/>
        </w:rPr>
        <w:t>3202.01</w:t>
      </w:r>
      <w:r>
        <w:rPr>
          <w:rFonts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</w:rPr>
        <w:t>，政府性基金预算财政拨款收入</w:t>
      </w:r>
      <w:r>
        <w:rPr>
          <w:rFonts w:hint="eastAsia" w:ascii="宋体" w:hAnsi="宋体"/>
          <w:sz w:val="32"/>
          <w:szCs w:val="32"/>
          <w:lang w:val="en-US" w:eastAsia="zh-CN"/>
        </w:rPr>
        <w:t>2084.27万元，</w:t>
      </w:r>
      <w:r>
        <w:rPr>
          <w:rFonts w:hint="eastAsia" w:ascii="宋体" w:hAnsi="宋体"/>
          <w:sz w:val="32"/>
          <w:szCs w:val="32"/>
        </w:rPr>
        <w:t>一般公共预算收入较去年</w:t>
      </w:r>
      <w:r>
        <w:rPr>
          <w:rFonts w:hint="eastAsia" w:ascii="宋体" w:hAnsi="宋体"/>
          <w:sz w:val="32"/>
          <w:szCs w:val="32"/>
          <w:lang w:eastAsia="zh-CN"/>
        </w:rPr>
        <w:t>增加</w:t>
      </w:r>
      <w:r>
        <w:rPr>
          <w:rFonts w:hint="eastAsia" w:ascii="宋体" w:hAnsi="宋体"/>
          <w:sz w:val="32"/>
          <w:szCs w:val="32"/>
        </w:rPr>
        <w:t>了</w:t>
      </w:r>
      <w:r>
        <w:rPr>
          <w:rFonts w:hint="eastAsia" w:ascii="宋体" w:hAnsi="宋体"/>
          <w:sz w:val="32"/>
          <w:szCs w:val="32"/>
          <w:lang w:val="en-US" w:eastAsia="zh-CN"/>
        </w:rPr>
        <w:t>363.75</w:t>
      </w:r>
      <w:r>
        <w:rPr>
          <w:rFonts w:hint="eastAsia" w:ascii="宋体" w:hAnsi="宋体"/>
          <w:sz w:val="32"/>
          <w:szCs w:val="32"/>
        </w:rPr>
        <w:t>万元，</w:t>
      </w:r>
      <w:r>
        <w:rPr>
          <w:rFonts w:hint="eastAsia" w:ascii="宋体" w:hAnsi="宋体"/>
          <w:sz w:val="32"/>
          <w:szCs w:val="32"/>
          <w:lang w:eastAsia="zh-CN"/>
        </w:rPr>
        <w:t>增加的</w:t>
      </w:r>
      <w:r>
        <w:rPr>
          <w:rFonts w:hint="eastAsia" w:ascii="宋体" w:hAnsi="宋体"/>
          <w:sz w:val="32"/>
          <w:szCs w:val="32"/>
        </w:rPr>
        <w:t>主要原因</w:t>
      </w:r>
      <w:r>
        <w:rPr>
          <w:rFonts w:hint="eastAsia" w:ascii="宋体" w:hAnsi="宋体"/>
          <w:sz w:val="32"/>
          <w:szCs w:val="32"/>
          <w:lang w:eastAsia="zh-CN"/>
        </w:rPr>
        <w:t>是新进人员及干部职工工资普调、社保、基础绩效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  <w:lang w:eastAsia="zh-CN"/>
        </w:rPr>
        <w:t>年中增加了其他预算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B6C698D">
      <w:pPr>
        <w:widowControl/>
        <w:spacing w:line="60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度总支出</w:t>
      </w:r>
      <w:r>
        <w:rPr>
          <w:rFonts w:hint="eastAsia" w:ascii="宋体" w:hAnsi="宋体"/>
          <w:sz w:val="32"/>
          <w:szCs w:val="32"/>
          <w:lang w:val="en-US" w:eastAsia="zh-CN"/>
        </w:rPr>
        <w:t>5286.28</w:t>
      </w:r>
      <w:r>
        <w:rPr>
          <w:rFonts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  <w:lang w:eastAsia="zh-CN"/>
        </w:rPr>
        <w:t>。</w:t>
      </w:r>
      <w:r>
        <w:rPr>
          <w:rFonts w:hint="eastAsia" w:ascii="宋体" w:hAnsi="宋体"/>
          <w:sz w:val="32"/>
          <w:szCs w:val="32"/>
        </w:rPr>
        <w:t>其中基本支出</w:t>
      </w:r>
      <w:r>
        <w:rPr>
          <w:rFonts w:hint="eastAsia" w:ascii="宋体" w:hAnsi="宋体"/>
          <w:sz w:val="32"/>
          <w:szCs w:val="32"/>
          <w:lang w:val="en-US" w:eastAsia="zh-CN"/>
        </w:rPr>
        <w:t>2400.21</w:t>
      </w:r>
      <w:r>
        <w:rPr>
          <w:rFonts w:hint="eastAsia" w:ascii="宋体" w:hAnsi="宋体"/>
          <w:sz w:val="32"/>
          <w:szCs w:val="32"/>
        </w:rPr>
        <w:t>万元，包括基本工资、津贴补贴、奖金、社会保障缴费、伙食补助费、绩效工资、离退休费、其他工资福利</w:t>
      </w:r>
      <w:r>
        <w:rPr>
          <w:rFonts w:hint="eastAsia" w:ascii="宋体" w:hAnsi="宋体"/>
          <w:sz w:val="32"/>
          <w:szCs w:val="32"/>
          <w:lang w:eastAsia="zh-CN"/>
        </w:rPr>
        <w:t>、公用经费</w:t>
      </w:r>
      <w:r>
        <w:rPr>
          <w:rFonts w:hint="eastAsia" w:ascii="宋体" w:hAnsi="宋体"/>
          <w:sz w:val="32"/>
          <w:szCs w:val="32"/>
        </w:rPr>
        <w:t>等。</w:t>
      </w:r>
      <w:r>
        <w:rPr>
          <w:rFonts w:ascii="宋体" w:hAnsi="宋体"/>
          <w:sz w:val="32"/>
          <w:szCs w:val="32"/>
        </w:rPr>
        <w:t>项目支出为</w:t>
      </w:r>
      <w:r>
        <w:rPr>
          <w:rFonts w:hint="eastAsia" w:ascii="宋体" w:hAnsi="宋体"/>
          <w:sz w:val="32"/>
          <w:szCs w:val="32"/>
          <w:lang w:val="en-US" w:eastAsia="zh-CN"/>
        </w:rPr>
        <w:t>2886.07</w:t>
      </w:r>
      <w:r>
        <w:rPr>
          <w:rFonts w:ascii="宋体" w:hAnsi="宋体"/>
          <w:sz w:val="32"/>
          <w:szCs w:val="32"/>
        </w:rPr>
        <w:t>万元，是指单位为完成特定行政工作任务或事业发展目标而发生的支出，包括有关事业发展</w:t>
      </w:r>
      <w:r>
        <w:rPr>
          <w:rFonts w:hint="eastAsia" w:ascii="宋体" w:hAnsi="宋体"/>
          <w:sz w:val="32"/>
          <w:szCs w:val="32"/>
          <w:lang w:eastAsia="zh-CN"/>
        </w:rPr>
        <w:t>专项债券咨询服务费、预算绩效评价专项经费、乡镇财政监督专项经费、财政</w:t>
      </w:r>
      <w:r>
        <w:rPr>
          <w:rFonts w:ascii="宋体" w:hAnsi="宋体"/>
          <w:sz w:val="32"/>
          <w:szCs w:val="32"/>
        </w:rPr>
        <w:t>专项业务费、基本建设支出</w:t>
      </w:r>
      <w:r>
        <w:rPr>
          <w:rFonts w:hint="eastAsia" w:ascii="宋体" w:hAnsi="宋体"/>
          <w:sz w:val="32"/>
          <w:szCs w:val="32"/>
        </w:rPr>
        <w:t>、软件购置更新、</w:t>
      </w:r>
      <w:r>
        <w:rPr>
          <w:rFonts w:hint="eastAsia" w:ascii="宋体" w:hAnsi="宋体"/>
          <w:sz w:val="32"/>
          <w:szCs w:val="32"/>
          <w:lang w:eastAsia="zh-CN"/>
        </w:rPr>
        <w:t>系统运行维护经费</w:t>
      </w:r>
      <w:r>
        <w:rPr>
          <w:rFonts w:ascii="宋体" w:hAnsi="宋体"/>
          <w:sz w:val="32"/>
          <w:szCs w:val="32"/>
        </w:rPr>
        <w:t>等。</w:t>
      </w:r>
    </w:p>
    <w:p w14:paraId="208F8286">
      <w:pPr>
        <w:widowControl/>
        <w:spacing w:line="600" w:lineRule="exact"/>
        <w:ind w:firstLine="640" w:firstLineChars="200"/>
        <w:rPr>
          <w:rFonts w:hint="eastAsia" w:ascii="宋体" w:hAnsi="宋体" w:eastAsiaTheme="minorEastAsia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3、</w:t>
      </w:r>
      <w:r>
        <w:rPr>
          <w:rFonts w:ascii="宋体" w:hAnsi="宋体"/>
          <w:sz w:val="32"/>
          <w:szCs w:val="32"/>
        </w:rPr>
        <w:t>“三公”经费</w:t>
      </w:r>
      <w:r>
        <w:rPr>
          <w:rFonts w:hint="eastAsia" w:ascii="宋体" w:hAnsi="宋体"/>
          <w:sz w:val="32"/>
          <w:szCs w:val="32"/>
          <w:lang w:eastAsia="zh-CN"/>
        </w:rPr>
        <w:t>使用和管理情况</w:t>
      </w:r>
    </w:p>
    <w:p w14:paraId="22385DEF">
      <w:pPr>
        <w:widowControl/>
        <w:spacing w:line="600" w:lineRule="exact"/>
        <w:ind w:firstLine="66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eastAsia="zh-CN"/>
        </w:rPr>
        <w:t>度</w:t>
      </w:r>
      <w:r>
        <w:rPr>
          <w:rFonts w:ascii="宋体" w:hAnsi="宋体"/>
          <w:sz w:val="32"/>
          <w:szCs w:val="32"/>
        </w:rPr>
        <w:t>“三公”经费</w:t>
      </w:r>
      <w:r>
        <w:rPr>
          <w:rFonts w:hint="eastAsia" w:ascii="宋体" w:hAnsi="宋体"/>
          <w:sz w:val="32"/>
          <w:szCs w:val="32"/>
          <w:lang w:eastAsia="zh-CN"/>
        </w:rPr>
        <w:t>支出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>6.64</w:t>
      </w:r>
      <w:r>
        <w:rPr>
          <w:rFonts w:ascii="宋体" w:hAnsi="宋体"/>
          <w:sz w:val="32"/>
          <w:szCs w:val="32"/>
        </w:rPr>
        <w:t>万元，其中，公务接待</w:t>
      </w:r>
      <w:r>
        <w:rPr>
          <w:rFonts w:hint="eastAsia" w:ascii="宋体" w:hAnsi="宋体"/>
          <w:sz w:val="32"/>
          <w:szCs w:val="32"/>
          <w:lang w:eastAsia="zh-CN"/>
        </w:rPr>
        <w:t>支出</w:t>
      </w:r>
      <w:r>
        <w:rPr>
          <w:rFonts w:hint="eastAsia" w:ascii="宋体" w:hAnsi="宋体"/>
          <w:sz w:val="32"/>
          <w:szCs w:val="32"/>
          <w:lang w:val="en-US" w:eastAsia="zh-CN"/>
        </w:rPr>
        <w:t>3.64</w:t>
      </w:r>
      <w:r>
        <w:rPr>
          <w:rFonts w:ascii="宋体" w:hAnsi="宋体"/>
          <w:sz w:val="32"/>
          <w:szCs w:val="32"/>
        </w:rPr>
        <w:t>万元，公务用车运行</w:t>
      </w:r>
      <w:r>
        <w:rPr>
          <w:rFonts w:hint="eastAsia" w:ascii="宋体" w:hAnsi="宋体"/>
          <w:sz w:val="32"/>
          <w:szCs w:val="32"/>
          <w:lang w:eastAsia="zh-CN"/>
        </w:rPr>
        <w:t>维护支出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</w:rPr>
        <w:t>认真贯彻落实中央八项规定要求，规范公务接待，严控支出</w:t>
      </w:r>
      <w:r>
        <w:rPr>
          <w:rFonts w:ascii="宋体" w:hAnsi="宋体"/>
          <w:sz w:val="32"/>
          <w:szCs w:val="32"/>
        </w:rPr>
        <w:t>。</w:t>
      </w:r>
    </w:p>
    <w:p w14:paraId="284CC731">
      <w:pPr>
        <w:widowControl/>
        <w:spacing w:line="600" w:lineRule="exact"/>
        <w:ind w:firstLine="640" w:firstLineChars="200"/>
        <w:jc w:val="left"/>
        <w:rPr>
          <w:rFonts w:hint="eastAsia" w:ascii="宋体" w:hAnsi="宋体" w:eastAsiaTheme="minorEastAsia"/>
          <w:sz w:val="32"/>
          <w:szCs w:val="32"/>
          <w:lang w:val="en-US" w:eastAsia="zh-CN"/>
        </w:rPr>
      </w:pPr>
    </w:p>
    <w:p w14:paraId="2B9757F8"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三、部门整体支出绩效情况</w:t>
      </w:r>
    </w:p>
    <w:p w14:paraId="37EFD045">
      <w:pPr>
        <w:ind w:firstLine="480" w:firstLineChars="15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、工作职能清晰明确，基础工作逐年夯实。</w:t>
      </w:r>
    </w:p>
    <w:p w14:paraId="5F450FC5">
      <w:pPr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sz w:val="32"/>
          <w:szCs w:val="32"/>
        </w:rPr>
        <w:t>是预算绩效管理工作职能清晰明确，设立预算绩效管理工作牵头、分工负责股室，职责更加清晰，组织保障更加有力。二是积极研究出台了实施意见和管理办法，制度建设逐步完善，建立了预算管理工作考核机制。</w:t>
      </w:r>
    </w:p>
    <w:p w14:paraId="34E62762">
      <w:pPr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、绩效评价工作稳步开展</w:t>
      </w:r>
    </w:p>
    <w:p w14:paraId="6EFF72AE"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紧紧围绕年初绩效目标不偏不移，严格预算执行管理，将绩效目标完成进度与专项财政支出快慢挂钩，有效避免年底突击花钱现象。</w:t>
      </w:r>
    </w:p>
    <w:p w14:paraId="420A4617">
      <w:pPr>
        <w:ind w:firstLine="640" w:firstLineChars="200"/>
        <w:rPr>
          <w:b/>
          <w:sz w:val="32"/>
          <w:szCs w:val="32"/>
        </w:rPr>
      </w:pPr>
      <w:r>
        <w:rPr>
          <w:sz w:val="32"/>
          <w:szCs w:val="32"/>
        </w:rPr>
        <w:t>3、预算绩效管理工作取得成效</w:t>
      </w:r>
    </w:p>
    <w:p w14:paraId="5F02FE10">
      <w:pPr>
        <w:rPr>
          <w:b/>
          <w:sz w:val="32"/>
          <w:szCs w:val="32"/>
        </w:rPr>
      </w:pPr>
      <w:r>
        <w:rPr>
          <w:sz w:val="32"/>
          <w:szCs w:val="32"/>
        </w:rPr>
        <w:t>一是初步树立了绩效理念；二是增强了部门的责任意识；三是提高了财政资金的使用效益。</w:t>
      </w:r>
    </w:p>
    <w:p w14:paraId="6C0D3BF6"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四、绩效目标完成情况</w:t>
      </w:r>
    </w:p>
    <w:p w14:paraId="7A2E0A89">
      <w:pPr>
        <w:ind w:firstLine="480" w:firstLineChars="150"/>
        <w:rPr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年财政局基本支出</w:t>
      </w:r>
      <w:r>
        <w:rPr>
          <w:rFonts w:hint="eastAsia" w:ascii="宋体" w:hAnsi="宋体"/>
          <w:sz w:val="32"/>
          <w:szCs w:val="32"/>
          <w:lang w:val="en-US" w:eastAsia="zh-CN"/>
        </w:rPr>
        <w:t>2400.2</w:t>
      </w:r>
      <w:r>
        <w:rPr>
          <w:rFonts w:hint="eastAsia" w:ascii="宋体" w:hAnsi="宋体"/>
          <w:sz w:val="32"/>
          <w:szCs w:val="32"/>
        </w:rPr>
        <w:t>万元，有效保障了全局的人员经费、公用经费和住房改革支出；项目支出</w:t>
      </w:r>
      <w:r>
        <w:rPr>
          <w:rFonts w:hint="eastAsia" w:ascii="宋体" w:hAnsi="宋体"/>
          <w:sz w:val="32"/>
          <w:szCs w:val="32"/>
          <w:lang w:val="en-US" w:eastAsia="zh-CN"/>
        </w:rPr>
        <w:t>2886.07</w:t>
      </w:r>
      <w:r>
        <w:rPr>
          <w:rFonts w:hint="eastAsia" w:ascii="宋体" w:hAnsi="宋体"/>
          <w:sz w:val="32"/>
          <w:szCs w:val="32"/>
        </w:rPr>
        <w:t>万元，全面完成年初申报的绩效目标，</w:t>
      </w:r>
      <w:r>
        <w:rPr>
          <w:sz w:val="32"/>
          <w:szCs w:val="32"/>
        </w:rPr>
        <w:t>增强了部门的责任意识，提高了财政资金的使用效益</w:t>
      </w:r>
      <w:r>
        <w:rPr>
          <w:rFonts w:hint="eastAsia"/>
          <w:b/>
          <w:sz w:val="32"/>
          <w:szCs w:val="32"/>
        </w:rPr>
        <w:t>。</w:t>
      </w:r>
    </w:p>
    <w:p w14:paraId="627E373C"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五、存在的问题及原因分析</w:t>
      </w:r>
    </w:p>
    <w:p w14:paraId="7E2BF75B"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通过对我单位整体支出情况的分析，发现存在的主要问题是：因工作特点，有些项目由于工作时长及经费开支集中在下半年，导致预算执行进度与项目执行进度未完全匹配，预算执行序时进度较慢。</w:t>
      </w:r>
    </w:p>
    <w:p w14:paraId="2FE8FDF5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六、下一步改进措施</w:t>
      </w:r>
    </w:p>
    <w:p w14:paraId="56CC8C06"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（一）强化预算编制准确性。加强预算编制的培训和指导，提升全局干部预算意识，根据业务工作需要和制度要求，编实编准编细年度项目支出预算，严格按照预算进行开支。</w:t>
      </w:r>
    </w:p>
    <w:p w14:paraId="61C39DD0"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严控财政资金按预算开支。坚持无预算不开支的原则，落实中央过紧日子的要求，精简一般性支出，把有限的财政资金花在最需要的地方、最有效的地方，以保障重点项目支出，确保重大改革任务、重点工作的经费需求。</w:t>
      </w:r>
    </w:p>
    <w:p w14:paraId="2F269565"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（三）加强预算绩效管理。结合局内部绩效考核办法，按月核查各部门经费使用进度及工作开展情况，及时掌握财政资金执行绩效。</w:t>
      </w:r>
    </w:p>
    <w:p w14:paraId="19A5DA8C"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七、绩效自评结果拟应用和公开情况</w:t>
      </w:r>
    </w:p>
    <w:p w14:paraId="3986657E">
      <w:pPr>
        <w:ind w:firstLine="640" w:firstLineChars="20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我单位按照省财政厅部署的绩效评价工作，认真对照202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年预算、决算情况，开展了部门整体支出绩效自评，并将在指定时间和网站进行评价结果的公开。在以后的财务管理中，将充分利用绩效评价成果，对工作进度及资金使用进度进行动态监控，确保资金绩效做到“三个匹配”，即：工作目标与经费预算相匹配、工作进度与预算执行进度相匹配、最终工作成果与资金消耗量相匹配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 w14:paraId="3D62A382">
      <w:pPr>
        <w:ind w:firstLine="640" w:firstLineChars="200"/>
        <w:rPr>
          <w:rFonts w:hint="eastAsia" w:ascii="宋体" w:hAnsi="宋体"/>
          <w:sz w:val="32"/>
          <w:szCs w:val="32"/>
          <w:lang w:eastAsia="zh-CN"/>
        </w:rPr>
      </w:pPr>
    </w:p>
    <w:p w14:paraId="39E151D8">
      <w:pPr>
        <w:ind w:firstLine="640" w:firstLineChars="200"/>
        <w:jc w:val="center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/>
          <w:sz w:val="32"/>
          <w:szCs w:val="32"/>
          <w:lang w:eastAsia="zh-CN"/>
        </w:rPr>
        <w:t>临武县财政局</w:t>
      </w:r>
    </w:p>
    <w:p w14:paraId="4915AAC0">
      <w:pPr>
        <w:ind w:firstLine="640" w:firstLineChars="200"/>
        <w:jc w:val="right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2024年5月16日</w:t>
      </w:r>
    </w:p>
    <w:p w14:paraId="515AE343">
      <w:pPr>
        <w:rPr>
          <w:b/>
          <w:sz w:val="32"/>
          <w:szCs w:val="32"/>
        </w:rPr>
      </w:pPr>
    </w:p>
    <w:p w14:paraId="1B31E40F">
      <w:pPr>
        <w:rPr>
          <w:b/>
          <w:sz w:val="32"/>
          <w:szCs w:val="32"/>
        </w:rPr>
      </w:pPr>
    </w:p>
    <w:p w14:paraId="3AC02F97">
      <w:pPr>
        <w:rPr>
          <w:b/>
          <w:sz w:val="32"/>
          <w:szCs w:val="32"/>
        </w:rPr>
      </w:pPr>
    </w:p>
    <w:p w14:paraId="076A21A1">
      <w:pPr>
        <w:rPr>
          <w:b/>
          <w:sz w:val="32"/>
          <w:szCs w:val="32"/>
        </w:rPr>
      </w:pPr>
    </w:p>
    <w:p w14:paraId="16FF1BD5">
      <w:pPr>
        <w:rPr>
          <w:b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977FF"/>
    <w:multiLevelType w:val="singleLevel"/>
    <w:tmpl w:val="FEE977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2F6D10"/>
    <w:multiLevelType w:val="singleLevel"/>
    <w:tmpl w:val="4B2F6D1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N2I1ZTc4YzA4NGIyMTliZTE3NTBiNWU0ZWU3YTUifQ=="/>
  </w:docVars>
  <w:rsids>
    <w:rsidRoot w:val="005207BD"/>
    <w:rsid w:val="0006645B"/>
    <w:rsid w:val="000F333C"/>
    <w:rsid w:val="001B4222"/>
    <w:rsid w:val="00256605"/>
    <w:rsid w:val="00261C93"/>
    <w:rsid w:val="002A5B2A"/>
    <w:rsid w:val="00343C99"/>
    <w:rsid w:val="00434B30"/>
    <w:rsid w:val="004634FF"/>
    <w:rsid w:val="00493942"/>
    <w:rsid w:val="004D7F61"/>
    <w:rsid w:val="005207BD"/>
    <w:rsid w:val="00524E14"/>
    <w:rsid w:val="005536D1"/>
    <w:rsid w:val="005719DA"/>
    <w:rsid w:val="005E3049"/>
    <w:rsid w:val="00643574"/>
    <w:rsid w:val="00814961"/>
    <w:rsid w:val="00851AA0"/>
    <w:rsid w:val="00855FDD"/>
    <w:rsid w:val="008D1455"/>
    <w:rsid w:val="00A651D3"/>
    <w:rsid w:val="00AC7F40"/>
    <w:rsid w:val="00B27A03"/>
    <w:rsid w:val="00BD558C"/>
    <w:rsid w:val="00C804C9"/>
    <w:rsid w:val="00D6470A"/>
    <w:rsid w:val="00E232DB"/>
    <w:rsid w:val="00E962A0"/>
    <w:rsid w:val="00EF2786"/>
    <w:rsid w:val="00F21A7F"/>
    <w:rsid w:val="02A96BAC"/>
    <w:rsid w:val="037C7E24"/>
    <w:rsid w:val="04096F7B"/>
    <w:rsid w:val="094D1ED6"/>
    <w:rsid w:val="0BBA6DAD"/>
    <w:rsid w:val="0BE16B97"/>
    <w:rsid w:val="0C212580"/>
    <w:rsid w:val="0DC363ED"/>
    <w:rsid w:val="138003A0"/>
    <w:rsid w:val="15014821"/>
    <w:rsid w:val="182A0E16"/>
    <w:rsid w:val="1F5E3B1A"/>
    <w:rsid w:val="20C867C1"/>
    <w:rsid w:val="217575A6"/>
    <w:rsid w:val="23A02721"/>
    <w:rsid w:val="26563933"/>
    <w:rsid w:val="2661459D"/>
    <w:rsid w:val="27465051"/>
    <w:rsid w:val="277512D3"/>
    <w:rsid w:val="27A42993"/>
    <w:rsid w:val="2ADE4398"/>
    <w:rsid w:val="2BE62266"/>
    <w:rsid w:val="2F6A0915"/>
    <w:rsid w:val="391060DB"/>
    <w:rsid w:val="3A0B4AF4"/>
    <w:rsid w:val="3BB63FCF"/>
    <w:rsid w:val="40DE038F"/>
    <w:rsid w:val="42CC52E8"/>
    <w:rsid w:val="433429C6"/>
    <w:rsid w:val="440B0E26"/>
    <w:rsid w:val="493D7381"/>
    <w:rsid w:val="49A27266"/>
    <w:rsid w:val="4BE9413D"/>
    <w:rsid w:val="4D357A66"/>
    <w:rsid w:val="4FF44C7B"/>
    <w:rsid w:val="505867F1"/>
    <w:rsid w:val="522C6BC3"/>
    <w:rsid w:val="531620E8"/>
    <w:rsid w:val="543C3DD0"/>
    <w:rsid w:val="568A5F15"/>
    <w:rsid w:val="588E2720"/>
    <w:rsid w:val="5A00764E"/>
    <w:rsid w:val="5B0F71A1"/>
    <w:rsid w:val="5D0E5BDE"/>
    <w:rsid w:val="5E7F2B29"/>
    <w:rsid w:val="60BE480F"/>
    <w:rsid w:val="623D5B5E"/>
    <w:rsid w:val="70B55D86"/>
    <w:rsid w:val="74174E2C"/>
    <w:rsid w:val="78566B26"/>
    <w:rsid w:val="79F503F9"/>
    <w:rsid w:val="7B0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2940</Words>
  <Characters>3054</Characters>
  <Lines>12</Lines>
  <Paragraphs>3</Paragraphs>
  <TotalTime>0</TotalTime>
  <ScaleCrop>false</ScaleCrop>
  <LinksUpToDate>false</LinksUpToDate>
  <CharactersWithSpaces>3128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2021-07-20T07:15:00Z</dcterms:created>
  <dc:creator>临武县财政局</dc:creator>
  <cp:lastModifiedBy>Administrator</cp:lastModifiedBy>
  <cp:lastPrinted>2023-07-21T00:54:00Z</cp:lastPrinted>
  <dcterms:modified xsi:type="dcterms:W3CDTF">2024-11-14T07:59:16Z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B7A82617DEF44584A9FE83DB4D3940C9_13</vt:lpwstr>
  </property>
</Properties>
</file>