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667" w:lineRule="exact"/>
        <w:jc w:val="center"/>
        <w:rPr>
          <w:rFonts w:ascii="宋体" w:hAnsi="宋体" w:eastAsia="宋体" w:cs="宋体"/>
          <w:sz w:val="43"/>
          <w:szCs w:val="43"/>
        </w:rPr>
      </w:pPr>
      <w:r>
        <w:rPr>
          <w:rFonts w:hint="eastAsia" w:ascii="宋体" w:hAnsi="宋体" w:eastAsia="宋体" w:cs="宋体"/>
          <w:b/>
          <w:bCs/>
          <w:spacing w:val="-18"/>
          <w:position w:val="16"/>
          <w:sz w:val="43"/>
          <w:szCs w:val="43"/>
          <w:lang w:eastAsia="zh-CN"/>
        </w:rPr>
        <w:t>2024</w:t>
      </w:r>
      <w:r>
        <w:rPr>
          <w:rFonts w:ascii="宋体" w:hAnsi="宋体" w:eastAsia="宋体" w:cs="宋体"/>
          <w:b/>
          <w:bCs/>
          <w:spacing w:val="-18"/>
          <w:position w:val="16"/>
          <w:sz w:val="43"/>
          <w:szCs w:val="43"/>
        </w:rPr>
        <w:t>年度</w:t>
      </w:r>
      <w:r>
        <w:rPr>
          <w:rFonts w:hint="eastAsia" w:ascii="宋体" w:hAnsi="宋体" w:eastAsia="宋体" w:cs="宋体"/>
          <w:b/>
          <w:bCs/>
          <w:spacing w:val="-18"/>
          <w:position w:val="16"/>
          <w:sz w:val="43"/>
          <w:szCs w:val="43"/>
        </w:rPr>
        <w:t>临武县第一中学</w:t>
      </w:r>
      <w:r>
        <w:rPr>
          <w:rFonts w:ascii="宋体" w:hAnsi="宋体" w:eastAsia="宋体" w:cs="宋体"/>
          <w:b/>
          <w:bCs/>
          <w:spacing w:val="-18"/>
          <w:position w:val="16"/>
          <w:sz w:val="43"/>
          <w:szCs w:val="43"/>
        </w:rPr>
        <w:t>部门整体支出</w:t>
      </w:r>
    </w:p>
    <w:p>
      <w:pPr>
        <w:spacing w:before="2" w:line="217" w:lineRule="auto"/>
        <w:ind w:left="3106"/>
        <w:rPr>
          <w:rFonts w:ascii="宋体" w:hAnsi="宋体" w:eastAsia="宋体" w:cs="宋体"/>
          <w:sz w:val="43"/>
          <w:szCs w:val="43"/>
        </w:rPr>
      </w:pPr>
      <w:r>
        <w:rPr>
          <w:rFonts w:ascii="宋体" w:hAnsi="宋体" w:eastAsia="宋体" w:cs="宋体"/>
          <w:b/>
          <w:bCs/>
          <w:spacing w:val="1"/>
          <w:sz w:val="43"/>
          <w:szCs w:val="43"/>
        </w:rPr>
        <w:t>绩效自评报告</w:t>
      </w:r>
    </w:p>
    <w:p>
      <w:pPr>
        <w:pStyle w:val="7"/>
        <w:spacing w:beforeAutospacing="0" w:afterAutospacing="0" w:line="560" w:lineRule="exact"/>
        <w:jc w:val="center"/>
        <w:rPr>
          <w:rFonts w:ascii="方正小标宋简体" w:hAnsi="方正小标宋简体" w:eastAsia="方正小标宋简体" w:cs="方正小标宋简体"/>
          <w:sz w:val="40"/>
          <w:szCs w:val="40"/>
        </w:rPr>
      </w:pPr>
    </w:p>
    <w:p>
      <w:pPr>
        <w:pStyle w:val="7"/>
        <w:spacing w:beforeAutospacing="0" w:afterAutospacing="0" w:line="560" w:lineRule="exact"/>
        <w:ind w:firstLine="640" w:firstLineChars="200"/>
        <w:rPr>
          <w:rFonts w:ascii="仿宋" w:hAnsi="仿宋" w:eastAsia="仿宋" w:cs="仿宋_GB2312"/>
          <w:sz w:val="32"/>
          <w:szCs w:val="32"/>
        </w:rPr>
      </w:pPr>
      <w:r>
        <w:rPr>
          <w:rFonts w:ascii="仿宋" w:hAnsi="仿宋" w:eastAsia="仿宋"/>
          <w:kern w:val="2"/>
          <w:sz w:val="32"/>
          <w:szCs w:val="32"/>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湖南省人民政府办公厅关于全面实施预算绩效管理的实施意见》（湘办发〔2019〕10号）及《湖南省财政厅关于开展</w:t>
      </w:r>
      <w:r>
        <w:rPr>
          <w:rFonts w:hint="eastAsia" w:ascii="仿宋" w:hAnsi="仿宋" w:eastAsia="仿宋"/>
          <w:kern w:val="2"/>
          <w:sz w:val="32"/>
          <w:szCs w:val="32"/>
          <w:lang w:eastAsia="zh-CN"/>
        </w:rPr>
        <w:t>2024</w:t>
      </w:r>
      <w:r>
        <w:rPr>
          <w:rFonts w:ascii="仿宋" w:hAnsi="仿宋" w:eastAsia="仿宋"/>
          <w:kern w:val="2"/>
          <w:sz w:val="32"/>
          <w:szCs w:val="32"/>
        </w:rPr>
        <w:t>年度省级预算部门绩效自评和部门评价的通知》（</w:t>
      </w:r>
      <w:r>
        <w:rPr>
          <w:rFonts w:hint="eastAsia" w:ascii="仿宋" w:hAnsi="仿宋" w:eastAsia="仿宋"/>
          <w:kern w:val="2"/>
          <w:sz w:val="32"/>
          <w:szCs w:val="32"/>
        </w:rPr>
        <w:t>湘</w:t>
      </w:r>
      <w:r>
        <w:rPr>
          <w:rFonts w:ascii="仿宋" w:hAnsi="仿宋" w:eastAsia="仿宋"/>
          <w:kern w:val="2"/>
          <w:sz w:val="32"/>
          <w:szCs w:val="32"/>
        </w:rPr>
        <w:t>财绩〔202</w:t>
      </w:r>
      <w:r>
        <w:rPr>
          <w:rFonts w:hint="eastAsia" w:ascii="仿宋" w:hAnsi="仿宋" w:eastAsia="仿宋"/>
          <w:kern w:val="2"/>
          <w:sz w:val="32"/>
          <w:szCs w:val="32"/>
        </w:rPr>
        <w:t>4</w:t>
      </w:r>
      <w:r>
        <w:rPr>
          <w:rFonts w:ascii="仿宋" w:hAnsi="仿宋" w:eastAsia="仿宋"/>
          <w:kern w:val="2"/>
          <w:sz w:val="32"/>
          <w:szCs w:val="32"/>
        </w:rPr>
        <w:t>〕</w:t>
      </w:r>
      <w:r>
        <w:rPr>
          <w:rFonts w:hint="eastAsia" w:ascii="仿宋" w:hAnsi="仿宋" w:eastAsia="仿宋"/>
          <w:kern w:val="2"/>
          <w:sz w:val="32"/>
          <w:szCs w:val="32"/>
        </w:rPr>
        <w:t>1</w:t>
      </w:r>
      <w:r>
        <w:rPr>
          <w:rFonts w:ascii="仿宋" w:hAnsi="仿宋" w:eastAsia="仿宋"/>
          <w:kern w:val="2"/>
          <w:sz w:val="32"/>
          <w:szCs w:val="32"/>
        </w:rPr>
        <w:t>号）等文件精神，</w:t>
      </w:r>
      <w:r>
        <w:rPr>
          <w:rFonts w:hint="eastAsia" w:ascii="仿宋" w:hAnsi="仿宋" w:eastAsia="仿宋"/>
          <w:kern w:val="2"/>
          <w:sz w:val="32"/>
          <w:szCs w:val="32"/>
        </w:rPr>
        <w:t>我单位对</w:t>
      </w:r>
      <w:r>
        <w:rPr>
          <w:rFonts w:hint="eastAsia" w:ascii="仿宋" w:hAnsi="仿宋" w:eastAsia="仿宋"/>
          <w:kern w:val="2"/>
          <w:sz w:val="32"/>
          <w:szCs w:val="32"/>
          <w:lang w:eastAsia="zh-CN"/>
        </w:rPr>
        <w:t>2024</w:t>
      </w:r>
      <w:r>
        <w:rPr>
          <w:rFonts w:hint="eastAsia" w:ascii="仿宋" w:hAnsi="仿宋" w:eastAsia="仿宋"/>
          <w:kern w:val="2"/>
          <w:sz w:val="32"/>
          <w:szCs w:val="32"/>
        </w:rPr>
        <w:t>年部门整体支出进行了绩效自评，现将绩效自评情况报告如下：</w:t>
      </w:r>
    </w:p>
    <w:p>
      <w:pPr>
        <w:pStyle w:val="7"/>
        <w:spacing w:beforeAutospacing="0" w:afterAutospacing="0" w:line="560" w:lineRule="exact"/>
        <w:ind w:firstLine="640" w:firstLineChars="200"/>
        <w:rPr>
          <w:rFonts w:ascii="仿宋" w:hAnsi="仿宋" w:eastAsia="仿宋" w:cs="黑体"/>
          <w:sz w:val="32"/>
          <w:szCs w:val="32"/>
        </w:rPr>
      </w:pPr>
      <w:r>
        <w:rPr>
          <w:rFonts w:hint="eastAsia" w:ascii="仿宋" w:hAnsi="仿宋" w:eastAsia="仿宋" w:cs="黑体"/>
          <w:sz w:val="32"/>
          <w:szCs w:val="32"/>
        </w:rPr>
        <w:t>一、部门、单位基本情况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（一）机构设置情况</w:t>
      </w:r>
    </w:p>
    <w:p>
      <w:pPr>
        <w:spacing w:line="220" w:lineRule="atLeast"/>
        <w:ind w:firstLine="800" w:firstLineChars="250"/>
        <w:rPr>
          <w:rFonts w:ascii="仿宋" w:hAnsi="仿宋" w:eastAsia="仿宋" w:cs="宋体"/>
          <w:color w:val="000000"/>
          <w:kern w:val="0"/>
          <w:sz w:val="32"/>
          <w:szCs w:val="32"/>
        </w:rPr>
      </w:pPr>
      <w:r>
        <w:rPr>
          <w:rFonts w:hint="eastAsia" w:ascii="仿宋" w:hAnsi="仿宋" w:eastAsia="仿宋" w:cs="宋体"/>
          <w:color w:val="000000"/>
          <w:kern w:val="0"/>
          <w:sz w:val="32"/>
          <w:szCs w:val="32"/>
        </w:rPr>
        <w:t>我校是一所省级示范性高级中学主要实施高中学历教育和相关社会服务。在校学生4</w:t>
      </w:r>
      <w:r>
        <w:rPr>
          <w:rFonts w:hint="eastAsia" w:ascii="仿宋" w:hAnsi="仿宋" w:eastAsia="仿宋" w:cs="宋体"/>
          <w:color w:val="000000"/>
          <w:kern w:val="0"/>
          <w:sz w:val="32"/>
          <w:szCs w:val="32"/>
          <w:lang w:val="en-US" w:eastAsia="zh-CN"/>
        </w:rPr>
        <w:t>451</w:t>
      </w:r>
      <w:r>
        <w:rPr>
          <w:rFonts w:hint="eastAsia" w:ascii="仿宋" w:hAnsi="仿宋" w:eastAsia="仿宋" w:cs="宋体"/>
          <w:color w:val="000000"/>
          <w:kern w:val="0"/>
          <w:sz w:val="32"/>
          <w:szCs w:val="32"/>
        </w:rPr>
        <w:t xml:space="preserve">生。学校教育管理机构设置有党政办公室、政务处、教务处、教研室、总务处、财务室、电教室、体艺处、工会、团委、后勤服务中心。 </w:t>
      </w:r>
    </w:p>
    <w:p>
      <w:pPr>
        <w:pStyle w:val="7"/>
        <w:spacing w:beforeAutospacing="0" w:afterAutospacing="0" w:line="560" w:lineRule="exact"/>
        <w:ind w:firstLine="480" w:firstLineChars="150"/>
        <w:rPr>
          <w:rFonts w:ascii="仿宋" w:hAnsi="仿宋" w:eastAsia="仿宋" w:cs="仿宋_GB2312"/>
          <w:sz w:val="32"/>
          <w:szCs w:val="32"/>
        </w:rPr>
      </w:pPr>
      <w:r>
        <w:rPr>
          <w:rFonts w:hint="eastAsia" w:ascii="仿宋" w:hAnsi="仿宋" w:eastAsia="仿宋" w:cs="仿宋_GB2312"/>
          <w:sz w:val="32"/>
          <w:szCs w:val="32"/>
        </w:rPr>
        <w:t>（二）人员编制情况</w:t>
      </w:r>
    </w:p>
    <w:p>
      <w:pPr>
        <w:pStyle w:val="7"/>
        <w:spacing w:beforeAutospacing="0" w:afterAutospacing="0" w:line="5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我校为财政全额拨款正科级事业单位，学校核定编制410人，其中</w:t>
      </w:r>
      <w:r>
        <w:rPr>
          <w:rFonts w:hint="eastAsia" w:ascii="仿宋" w:hAnsi="仿宋" w:eastAsia="仿宋"/>
          <w:kern w:val="2"/>
          <w:sz w:val="32"/>
          <w:szCs w:val="32"/>
        </w:rPr>
        <w:t>全拨事业</w:t>
      </w:r>
      <w:r>
        <w:rPr>
          <w:rFonts w:hint="eastAsia" w:ascii="仿宋" w:hAnsi="仿宋" w:eastAsia="仿宋" w:cs="宋体"/>
          <w:color w:val="000000"/>
          <w:sz w:val="32"/>
          <w:szCs w:val="32"/>
        </w:rPr>
        <w:t>编408人，自收自支编2人；实有在编在岗人员3</w:t>
      </w:r>
      <w:r>
        <w:rPr>
          <w:rFonts w:hint="eastAsia" w:ascii="仿宋" w:hAnsi="仿宋" w:eastAsia="仿宋" w:cs="宋体"/>
          <w:color w:val="000000"/>
          <w:sz w:val="32"/>
          <w:szCs w:val="32"/>
          <w:lang w:val="en-US" w:eastAsia="zh-CN"/>
        </w:rPr>
        <w:t>99</w:t>
      </w:r>
      <w:r>
        <w:rPr>
          <w:rFonts w:hint="eastAsia" w:ascii="仿宋" w:hAnsi="仿宋" w:eastAsia="仿宋" w:cs="宋体"/>
          <w:color w:val="000000"/>
          <w:sz w:val="32"/>
          <w:szCs w:val="32"/>
        </w:rPr>
        <w:t>人,其中，实有全拨事业编3</w:t>
      </w:r>
      <w:r>
        <w:rPr>
          <w:rFonts w:hint="eastAsia" w:ascii="仿宋" w:hAnsi="仿宋" w:eastAsia="仿宋" w:cs="宋体"/>
          <w:color w:val="000000"/>
          <w:sz w:val="32"/>
          <w:szCs w:val="32"/>
          <w:lang w:val="en-US" w:eastAsia="zh-CN"/>
        </w:rPr>
        <w:t>97</w:t>
      </w:r>
      <w:r>
        <w:rPr>
          <w:rFonts w:hint="eastAsia" w:ascii="仿宋" w:hAnsi="仿宋" w:eastAsia="仿宋" w:cs="宋体"/>
          <w:color w:val="000000"/>
          <w:sz w:val="32"/>
          <w:szCs w:val="32"/>
        </w:rPr>
        <w:t>名，自收自支编2名；退休人员88人。</w:t>
      </w:r>
    </w:p>
    <w:p>
      <w:pPr>
        <w:pStyle w:val="7"/>
        <w:numPr>
          <w:ilvl w:val="0"/>
          <w:numId w:val="1"/>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主要职能职责</w:t>
      </w:r>
    </w:p>
    <w:p>
      <w:pPr>
        <w:spacing w:line="22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临武县第一中学是一所省级示范性高级中学主要实施高中学历教育和相关社会服务</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（四）绩效目标设定情况</w:t>
      </w:r>
    </w:p>
    <w:p>
      <w:pPr>
        <w:pStyle w:val="7"/>
        <w:spacing w:beforeAutospacing="0" w:afterAutospacing="0"/>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全力提升教育教学质量。巩固湖南省文明卫生校园、全国足球特色校园创建成果，强化安全卫生管理。加强教师队伍建设，全面发展学生德智体美劳。全面落实教育厅《关于进一步加强“五项管理”工作的通知》要求，多措并举落实教研先行，高效开展教学和教研工作。围绕“重课堂、强教研”的工作思路，从备、教、批、辅、改上下功夫，求真务实抓教研，全力以赴促教学。</w:t>
      </w:r>
    </w:p>
    <w:p>
      <w:pPr>
        <w:pStyle w:val="7"/>
        <w:spacing w:beforeAutospacing="0" w:afterAutospacing="0" w:line="560" w:lineRule="exact"/>
        <w:ind w:firstLine="640" w:firstLineChars="200"/>
        <w:rPr>
          <w:rFonts w:ascii="仿宋" w:hAnsi="仿宋" w:eastAsia="仿宋" w:cs="黑体"/>
          <w:sz w:val="32"/>
          <w:szCs w:val="32"/>
        </w:rPr>
      </w:pPr>
      <w:r>
        <w:rPr>
          <w:rFonts w:hint="eastAsia" w:ascii="仿宋" w:hAnsi="仿宋" w:eastAsia="仿宋" w:cs="黑体"/>
          <w:sz w:val="32"/>
          <w:szCs w:val="32"/>
        </w:rPr>
        <w:t>二、一般公共预算支出情况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（一）经批复的预、决算情况</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1.预算批复情况</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收入预算：</w:t>
      </w:r>
      <w:r>
        <w:rPr>
          <w:rFonts w:hint="eastAsia" w:ascii="仿宋" w:hAnsi="仿宋" w:eastAsia="仿宋" w:cs="仿宋_GB2312"/>
          <w:color w:val="000000" w:themeColor="text1"/>
          <w:sz w:val="32"/>
          <w:szCs w:val="32"/>
          <w:lang w:eastAsia="zh-CN"/>
          <w14:textFill>
            <w14:solidFill>
              <w14:schemeClr w14:val="tx1"/>
            </w14:solidFill>
          </w14:textFill>
        </w:rPr>
        <w:t>2024</w:t>
      </w:r>
      <w:r>
        <w:rPr>
          <w:rFonts w:hint="eastAsia" w:ascii="仿宋" w:hAnsi="仿宋" w:eastAsia="仿宋" w:cs="仿宋_GB2312"/>
          <w:color w:val="000000" w:themeColor="text1"/>
          <w:sz w:val="32"/>
          <w:szCs w:val="32"/>
          <w14:textFill>
            <w14:solidFill>
              <w14:schemeClr w14:val="tx1"/>
            </w14:solidFill>
          </w14:textFill>
        </w:rPr>
        <w:t>年初预算数</w:t>
      </w:r>
      <w:r>
        <w:rPr>
          <w:rFonts w:hint="eastAsia" w:ascii="仿宋" w:hAnsi="仿宋" w:eastAsia="仿宋" w:cs="仿宋_GB2312"/>
          <w:color w:val="000000" w:themeColor="text1"/>
          <w:sz w:val="32"/>
          <w:szCs w:val="32"/>
          <w:lang w:val="en-US" w:eastAsia="zh-CN"/>
          <w14:textFill>
            <w14:solidFill>
              <w14:schemeClr w14:val="tx1"/>
            </w14:solidFill>
          </w14:textFill>
        </w:rPr>
        <w:t>6833.68</w:t>
      </w:r>
      <w:r>
        <w:rPr>
          <w:rFonts w:hint="eastAsia" w:ascii="仿宋" w:hAnsi="仿宋" w:eastAsia="仿宋" w:cs="仿宋_GB2312"/>
          <w:color w:val="000000" w:themeColor="text1"/>
          <w:sz w:val="32"/>
          <w:szCs w:val="32"/>
          <w14:textFill>
            <w14:solidFill>
              <w14:schemeClr w14:val="tx1"/>
            </w14:solidFill>
          </w14:textFill>
        </w:rPr>
        <w:t>万元；其中：财政一般预算拨款</w:t>
      </w:r>
      <w:r>
        <w:rPr>
          <w:rFonts w:hint="eastAsia" w:ascii="仿宋" w:hAnsi="仿宋" w:eastAsia="仿宋" w:cs="仿宋_GB2312"/>
          <w:color w:val="000000" w:themeColor="text1"/>
          <w:sz w:val="32"/>
          <w:szCs w:val="32"/>
          <w:lang w:val="en-US" w:eastAsia="zh-CN"/>
          <w14:textFill>
            <w14:solidFill>
              <w14:schemeClr w14:val="tx1"/>
            </w14:solidFill>
          </w14:textFill>
        </w:rPr>
        <w:t>6833.68</w:t>
      </w:r>
      <w:r>
        <w:rPr>
          <w:rFonts w:hint="eastAsia" w:ascii="仿宋" w:hAnsi="仿宋" w:eastAsia="仿宋" w:cs="仿宋_GB2312"/>
          <w:color w:val="000000" w:themeColor="text1"/>
          <w:sz w:val="32"/>
          <w:szCs w:val="32"/>
          <w14:textFill>
            <w14:solidFill>
              <w14:schemeClr w14:val="tx1"/>
            </w14:solidFill>
          </w14:textFill>
        </w:rPr>
        <w:t>万元。</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2.决算批复情况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（1）全年收入情况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2022年度收入合计</w:t>
      </w:r>
      <w:r>
        <w:rPr>
          <w:rFonts w:hint="eastAsia" w:ascii="仿宋" w:hAnsi="仿宋" w:eastAsia="仿宋" w:cs="仿宋_GB2312"/>
          <w:color w:val="000000" w:themeColor="text1"/>
          <w:sz w:val="32"/>
          <w:szCs w:val="32"/>
          <w14:textFill>
            <w14:solidFill>
              <w14:schemeClr w14:val="tx1"/>
            </w14:solidFill>
          </w14:textFill>
        </w:rPr>
        <w:t>数</w:t>
      </w:r>
      <w:r>
        <w:rPr>
          <w:rFonts w:hint="eastAsia" w:ascii="仿宋" w:hAnsi="仿宋" w:eastAsia="仿宋" w:cs="仿宋_GB2312"/>
          <w:color w:val="000000" w:themeColor="text1"/>
          <w:sz w:val="32"/>
          <w:szCs w:val="32"/>
          <w:lang w:val="en-US" w:eastAsia="zh-CN"/>
          <w14:textFill>
            <w14:solidFill>
              <w14:schemeClr w14:val="tx1"/>
            </w14:solidFill>
          </w14:textFill>
        </w:rPr>
        <w:t>7264.92</w:t>
      </w:r>
      <w:r>
        <w:rPr>
          <w:rFonts w:hint="eastAsia" w:ascii="仿宋" w:hAnsi="仿宋" w:eastAsia="仿宋" w:cs="仿宋_GB2312"/>
          <w:sz w:val="32"/>
          <w:szCs w:val="32"/>
        </w:rPr>
        <w:t>万元，其中：财政拨款收入</w:t>
      </w:r>
      <w:r>
        <w:rPr>
          <w:rFonts w:hint="eastAsia" w:ascii="仿宋" w:hAnsi="仿宋" w:eastAsia="仿宋" w:cs="仿宋_GB2312"/>
          <w:color w:val="000000" w:themeColor="text1"/>
          <w:sz w:val="32"/>
          <w:szCs w:val="32"/>
          <w14:textFill>
            <w14:solidFill>
              <w14:schemeClr w14:val="tx1"/>
            </w14:solidFill>
          </w14:textFill>
        </w:rPr>
        <w:t>数</w:t>
      </w:r>
      <w:r>
        <w:rPr>
          <w:rFonts w:hint="eastAsia" w:ascii="仿宋" w:hAnsi="仿宋" w:eastAsia="仿宋" w:cs="仿宋_GB2312"/>
          <w:color w:val="000000" w:themeColor="text1"/>
          <w:sz w:val="32"/>
          <w:szCs w:val="32"/>
          <w:lang w:val="en-US" w:eastAsia="zh-CN"/>
          <w14:textFill>
            <w14:solidFill>
              <w14:schemeClr w14:val="tx1"/>
            </w14:solidFill>
          </w14:textFill>
        </w:rPr>
        <w:t>7264.928</w:t>
      </w:r>
      <w:r>
        <w:rPr>
          <w:rFonts w:hint="eastAsia" w:ascii="仿宋" w:hAnsi="仿宋" w:eastAsia="仿宋" w:cs="仿宋_GB2312"/>
          <w:sz w:val="32"/>
          <w:szCs w:val="32"/>
        </w:rPr>
        <w:t>万元，占100%；上级补助收入0万元，占0%；事业收入0万元，占0%；经营收入0万元，占0%；附属单位上缴收入0万元，占0%；其他收入0万元，占0%。</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（2）全年支出情况</w:t>
      </w:r>
    </w:p>
    <w:p>
      <w:pPr>
        <w:pStyle w:val="7"/>
        <w:spacing w:beforeAutospacing="0" w:afterAutospacing="0" w:line="560" w:lineRule="exact"/>
        <w:ind w:firstLine="640" w:firstLineChars="200"/>
        <w:jc w:val="both"/>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2022年度支出合计7264.92万元，其中：基本支出6451.75万元，占88.81%；项目支出813.17万元，占11.19 %；上缴上级支出0万元，占0%；经营支出0万元，占0%；对附属单位补助支出0万元，占0%。</w:t>
      </w:r>
    </w:p>
    <w:p>
      <w:pPr>
        <w:pStyle w:val="7"/>
        <w:numPr>
          <w:ilvl w:val="0"/>
          <w:numId w:val="2"/>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部门预算执行情况</w:t>
      </w:r>
    </w:p>
    <w:p>
      <w:pPr>
        <w:pStyle w:val="7"/>
        <w:numPr>
          <w:ilvl w:val="0"/>
          <w:numId w:val="3"/>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基本支出情况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年度财政拨款基本支出</w:t>
      </w:r>
      <w:r>
        <w:rPr>
          <w:rFonts w:hint="eastAsia" w:ascii="仿宋" w:hAnsi="仿宋" w:eastAsia="仿宋" w:cs="仿宋_GB2312"/>
          <w:color w:val="000000" w:themeColor="text1"/>
          <w:sz w:val="32"/>
          <w:szCs w:val="32"/>
          <w14:textFill>
            <w14:solidFill>
              <w14:schemeClr w14:val="tx1"/>
            </w14:solidFill>
          </w14:textFill>
        </w:rPr>
        <w:t>6451.75</w:t>
      </w:r>
      <w:r>
        <w:rPr>
          <w:rFonts w:hint="eastAsia" w:ascii="仿宋" w:hAnsi="仿宋" w:eastAsia="仿宋" w:cs="仿宋_GB2312"/>
          <w:sz w:val="32"/>
          <w:szCs w:val="32"/>
        </w:rPr>
        <w:t>万元，其中：工资福利支出5608.05万元，占基本支出的86.92 %</w:t>
      </w:r>
      <w:r>
        <w:rPr>
          <w:rFonts w:hint="eastAsia" w:ascii="仿宋" w:hAnsi="仿宋" w:eastAsia="仿宋" w:cs="仿宋_GB2312"/>
          <w:sz w:val="32"/>
          <w:szCs w:val="32"/>
          <w:lang w:eastAsia="zh-CN"/>
        </w:rPr>
        <w:t>；</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843.70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 xml:space="preserve">13.08 </w:t>
      </w:r>
      <w:r>
        <w:rPr>
          <w:rFonts w:ascii="Times New Roman" w:hAnsi="Times New Roman" w:eastAsia="仿宋_GB2312" w:cs="Times New Roman"/>
          <w:color w:val="auto"/>
          <w:sz w:val="32"/>
          <w:szCs w:val="32"/>
        </w:rPr>
        <w:t>%</w:t>
      </w:r>
      <w:r>
        <w:rPr>
          <w:rFonts w:hint="eastAsia" w:ascii="仿宋" w:hAnsi="仿宋" w:eastAsia="仿宋" w:cs="仿宋_GB2312"/>
          <w:sz w:val="32"/>
          <w:szCs w:val="32"/>
        </w:rPr>
        <w:t>。</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2.项目支出情况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年度项目支出813.17万元：</w:t>
      </w:r>
      <w:r>
        <w:rPr>
          <w:rFonts w:hint="eastAsia" w:ascii="仿宋" w:hAnsi="仿宋" w:eastAsia="仿宋" w:cs="仿宋"/>
          <w:sz w:val="32"/>
          <w:szCs w:val="32"/>
        </w:rPr>
        <w:t>篮球场pu铲除及铺设</w:t>
      </w:r>
      <w:r>
        <w:rPr>
          <w:rFonts w:hint="eastAsia" w:ascii="仿宋" w:hAnsi="仿宋" w:eastAsia="仿宋" w:cs="仿宋"/>
          <w:sz w:val="32"/>
          <w:szCs w:val="32"/>
          <w:lang w:val="en-US" w:eastAsia="zh-CN"/>
        </w:rPr>
        <w:t>43.87</w:t>
      </w:r>
      <w:r>
        <w:rPr>
          <w:rFonts w:hint="eastAsia" w:ascii="仿宋" w:hAnsi="仿宋" w:eastAsia="仿宋" w:cs="仿宋"/>
          <w:sz w:val="32"/>
          <w:szCs w:val="32"/>
        </w:rPr>
        <w:t>万元，课后服务专项支出</w:t>
      </w:r>
      <w:r>
        <w:rPr>
          <w:rFonts w:hint="eastAsia" w:ascii="仿宋" w:hAnsi="仿宋" w:eastAsia="仿宋" w:cs="仿宋"/>
          <w:sz w:val="32"/>
          <w:szCs w:val="32"/>
          <w:lang w:val="en-US" w:eastAsia="zh-CN"/>
        </w:rPr>
        <w:t>769.3</w:t>
      </w:r>
      <w:r>
        <w:rPr>
          <w:rFonts w:hint="eastAsia" w:ascii="仿宋" w:hAnsi="仿宋" w:eastAsia="仿宋" w:cs="仿宋"/>
          <w:sz w:val="32"/>
          <w:szCs w:val="32"/>
        </w:rPr>
        <w:t>万元。</w:t>
      </w:r>
    </w:p>
    <w:p>
      <w:pPr>
        <w:pStyle w:val="7"/>
        <w:spacing w:beforeAutospacing="0" w:afterAutospacing="0"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篮球场pu铲除及铺设</w:t>
      </w:r>
      <w:r>
        <w:rPr>
          <w:rFonts w:hint="eastAsia" w:ascii="仿宋" w:hAnsi="仿宋" w:eastAsia="仿宋" w:cs="仿宋_GB2312"/>
          <w:sz w:val="32"/>
          <w:szCs w:val="32"/>
          <w:lang w:val="en-US" w:eastAsia="zh-CN"/>
        </w:rPr>
        <w:t>43.87</w:t>
      </w:r>
      <w:r>
        <w:rPr>
          <w:rFonts w:hint="eastAsia" w:ascii="仿宋" w:hAnsi="仿宋" w:eastAsia="仿宋" w:cs="仿宋_GB2312"/>
          <w:sz w:val="32"/>
          <w:szCs w:val="32"/>
        </w:rPr>
        <w:t>万元</w:t>
      </w:r>
      <w:r>
        <w:rPr>
          <w:rFonts w:hint="eastAsia" w:ascii="仿宋" w:hAnsi="仿宋" w:eastAsia="仿宋" w:cs="仿宋_GB2312"/>
          <w:sz w:val="32"/>
          <w:szCs w:val="32"/>
          <w:lang w:eastAsia="zh-CN"/>
        </w:rPr>
        <w:t>，消除了安全隐患，为师生提供了更好的运动场地。</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年为我校4</w:t>
      </w:r>
      <w:r>
        <w:rPr>
          <w:rFonts w:hint="eastAsia" w:ascii="仿宋" w:hAnsi="仿宋" w:eastAsia="仿宋" w:cs="仿宋_GB2312"/>
          <w:sz w:val="32"/>
          <w:szCs w:val="32"/>
          <w:lang w:val="en-US" w:eastAsia="zh-CN"/>
        </w:rPr>
        <w:t>451</w:t>
      </w:r>
      <w:r>
        <w:rPr>
          <w:rFonts w:hint="eastAsia" w:ascii="仿宋" w:hAnsi="仿宋" w:eastAsia="仿宋" w:cs="仿宋_GB2312"/>
          <w:sz w:val="32"/>
          <w:szCs w:val="32"/>
        </w:rPr>
        <w:t>名学生提供了课后服务，开展了辅差培优、书法、绘画、音乐、计算机及其他社团活动等课后服务，减轻家长课外辅导的困难和经济支出，提升了学生各项素质。</w:t>
      </w:r>
    </w:p>
    <w:p>
      <w:pPr>
        <w:pStyle w:val="7"/>
        <w:spacing w:beforeAutospacing="0" w:afterAutospacing="0" w:line="560" w:lineRule="exact"/>
        <w:ind w:firstLine="640" w:firstLineChars="200"/>
        <w:rPr>
          <w:rFonts w:ascii="仿宋" w:hAnsi="仿宋" w:eastAsia="仿宋" w:cs="黑体"/>
          <w:sz w:val="32"/>
          <w:szCs w:val="32"/>
        </w:rPr>
      </w:pPr>
      <w:r>
        <w:rPr>
          <w:rFonts w:hint="eastAsia" w:ascii="仿宋" w:hAnsi="仿宋" w:eastAsia="仿宋" w:cs="黑体"/>
          <w:sz w:val="32"/>
          <w:szCs w:val="32"/>
        </w:rPr>
        <w:t>（三）“三公”经费使用和管理情况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“三公经费”控制情况：贯彻落实上级有关精神，严格控制“三公经费”支出，取得了良好效果。</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年度“三公经费”0万元，比去年</w:t>
      </w:r>
      <w:r>
        <w:rPr>
          <w:rFonts w:hint="eastAsia" w:ascii="仿宋" w:hAnsi="仿宋" w:eastAsia="仿宋" w:cs="仿宋_GB2312"/>
          <w:sz w:val="32"/>
          <w:szCs w:val="32"/>
          <w:lang w:eastAsia="zh-CN"/>
        </w:rPr>
        <w:t>减少</w:t>
      </w:r>
      <w:r>
        <w:rPr>
          <w:rFonts w:hint="eastAsia" w:ascii="仿宋" w:hAnsi="仿宋" w:eastAsia="仿宋" w:cs="仿宋_GB2312"/>
          <w:sz w:val="32"/>
          <w:szCs w:val="32"/>
        </w:rPr>
        <w:t>0.1339万元，比去年</w:t>
      </w:r>
      <w:r>
        <w:rPr>
          <w:rFonts w:hint="eastAsia" w:ascii="仿宋" w:hAnsi="仿宋" w:eastAsia="仿宋" w:cs="仿宋_GB2312"/>
          <w:sz w:val="32"/>
          <w:szCs w:val="32"/>
          <w:lang w:eastAsia="zh-CN"/>
        </w:rPr>
        <w:t>下降</w:t>
      </w:r>
      <w:r>
        <w:rPr>
          <w:rFonts w:hint="eastAsia" w:ascii="仿宋" w:hAnsi="仿宋" w:eastAsia="仿宋" w:cs="仿宋_GB2312"/>
          <w:sz w:val="32"/>
          <w:szCs w:val="32"/>
        </w:rPr>
        <w:t>100%。其中：公务接待费0.1339万元</w:t>
      </w:r>
      <w:r>
        <w:rPr>
          <w:rFonts w:ascii="仿宋" w:hAnsi="仿宋" w:eastAsia="仿宋" w:cs="仿宋_GB2312"/>
          <w:sz w:val="32"/>
          <w:szCs w:val="32"/>
        </w:rPr>
        <w:t>,</w:t>
      </w:r>
      <w:r>
        <w:rPr>
          <w:rFonts w:hint="eastAsia" w:ascii="仿宋" w:hAnsi="仿宋" w:eastAsia="仿宋" w:cs="仿宋_GB2312"/>
          <w:sz w:val="32"/>
          <w:szCs w:val="32"/>
        </w:rPr>
        <w:t>比去年</w:t>
      </w:r>
      <w:r>
        <w:rPr>
          <w:rFonts w:hint="eastAsia" w:ascii="仿宋" w:hAnsi="仿宋" w:eastAsia="仿宋" w:cs="仿宋_GB2312"/>
          <w:sz w:val="32"/>
          <w:szCs w:val="32"/>
          <w:lang w:eastAsia="zh-CN"/>
        </w:rPr>
        <w:t>减少</w:t>
      </w:r>
      <w:r>
        <w:rPr>
          <w:rFonts w:hint="eastAsia" w:ascii="仿宋" w:hAnsi="仿宋" w:eastAsia="仿宋" w:cs="仿宋_GB2312"/>
          <w:sz w:val="32"/>
          <w:szCs w:val="32"/>
        </w:rPr>
        <w:t>0.1339万元，比去年</w:t>
      </w:r>
      <w:r>
        <w:rPr>
          <w:rFonts w:hint="eastAsia" w:ascii="仿宋" w:hAnsi="仿宋" w:eastAsia="仿宋" w:cs="仿宋_GB2312"/>
          <w:sz w:val="32"/>
          <w:szCs w:val="32"/>
          <w:lang w:eastAsia="zh-CN"/>
        </w:rPr>
        <w:t>下降</w:t>
      </w:r>
      <w:r>
        <w:rPr>
          <w:rFonts w:hint="eastAsia" w:ascii="仿宋" w:hAnsi="仿宋" w:eastAsia="仿宋" w:cs="仿宋_GB2312"/>
          <w:sz w:val="32"/>
          <w:szCs w:val="32"/>
        </w:rPr>
        <w:t>100%。；无因公出国（境）费。同时，按照上级的要求，在政府门户网站对“三公”经费情况进行了公示。</w:t>
      </w:r>
    </w:p>
    <w:p>
      <w:pPr>
        <w:pStyle w:val="7"/>
        <w:numPr>
          <w:ilvl w:val="0"/>
          <w:numId w:val="2"/>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资金结转和结余情况</w:t>
      </w:r>
    </w:p>
    <w:p>
      <w:pPr>
        <w:pStyle w:val="7"/>
        <w:spacing w:beforeAutospacing="0" w:afterAutospacing="0" w:line="560" w:lineRule="exact"/>
        <w:ind w:left="420" w:leftChars="200"/>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年度无资金结转和结余</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（五）部门整体支出管理与制度建设情况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在规范单位整体支出管理与制度建设方面，主要做到以下几点：</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1.提高单位人员的财务意识</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从单位领导出发，加强对各项政策和财经法规知识的学习，提高法规意识，对财务工作的内容进行规范化。提高财务人员的会计核算能力，确保会计数据的准确性和会计信息的真实性、合法性及有效性。</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2.规范单位内部财务管理制度</w:t>
      </w:r>
    </w:p>
    <w:p>
      <w:pPr>
        <w:pStyle w:val="7"/>
        <w:spacing w:beforeAutospacing="0" w:afterAutospacing="0" w:line="560" w:lineRule="exact"/>
        <w:ind w:firstLine="640" w:firstLineChars="200"/>
        <w:rPr>
          <w:rFonts w:ascii="仿宋" w:hAnsi="仿宋" w:eastAsia="仿宋" w:cs="仿宋_GB2312"/>
          <w:sz w:val="32"/>
          <w:szCs w:val="32"/>
        </w:rPr>
      </w:pPr>
      <w:r>
        <w:rPr>
          <w:rFonts w:ascii="仿宋" w:hAnsi="仿宋" w:eastAsia="仿宋" w:cs="仿宋_GB2312"/>
          <w:sz w:val="32"/>
          <w:szCs w:val="32"/>
        </w:rPr>
        <w:t>遵循科学性和准确性原则</w:t>
      </w:r>
      <w:r>
        <w:rPr>
          <w:rFonts w:hint="eastAsia" w:ascii="仿宋" w:hAnsi="仿宋" w:eastAsia="仿宋" w:cs="仿宋_GB2312"/>
          <w:sz w:val="32"/>
          <w:szCs w:val="32"/>
        </w:rPr>
        <w:t>，制定单位财务管理制度和内部控制管理制度，</w:t>
      </w:r>
      <w:r>
        <w:rPr>
          <w:rFonts w:ascii="仿宋" w:hAnsi="仿宋" w:eastAsia="仿宋" w:cs="仿宋_GB2312"/>
          <w:sz w:val="32"/>
          <w:szCs w:val="32"/>
        </w:rPr>
        <w:t>根据本单位经济活动的特征与规律，制定符合本单位的预算编制，明确支出项目和支出内容。</w:t>
      </w:r>
      <w:r>
        <w:rPr>
          <w:rFonts w:hint="eastAsia" w:ascii="仿宋" w:hAnsi="仿宋" w:eastAsia="仿宋" w:cs="仿宋_GB2312"/>
          <w:sz w:val="32"/>
          <w:szCs w:val="32"/>
        </w:rPr>
        <w:t>贯彻落实厉行节约、严控“三公”经费、降低一般运行经费、压缩一般性支出，</w:t>
      </w:r>
      <w:r>
        <w:rPr>
          <w:rFonts w:ascii="仿宋" w:hAnsi="仿宋" w:eastAsia="仿宋" w:cs="仿宋_GB2312"/>
          <w:sz w:val="32"/>
          <w:szCs w:val="32"/>
        </w:rPr>
        <w:t>将预算管理做到精细化、科学化，使单位财务管理更加透明</w:t>
      </w:r>
      <w:r>
        <w:rPr>
          <w:rFonts w:hint="eastAsia" w:ascii="仿宋" w:hAnsi="仿宋" w:eastAsia="仿宋" w:cs="仿宋_GB2312"/>
          <w:sz w:val="32"/>
          <w:szCs w:val="32"/>
        </w:rPr>
        <w:t>。</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3.加强监督机制</w:t>
      </w:r>
    </w:p>
    <w:p>
      <w:pPr>
        <w:pStyle w:val="7"/>
        <w:spacing w:beforeAutospacing="0" w:afterAutospacing="0" w:line="560" w:lineRule="exact"/>
        <w:ind w:firstLine="640" w:firstLineChars="200"/>
        <w:rPr>
          <w:rFonts w:ascii="仿宋" w:hAnsi="仿宋" w:eastAsia="仿宋" w:cs="仿宋_GB2312"/>
          <w:sz w:val="32"/>
          <w:szCs w:val="32"/>
        </w:rPr>
      </w:pPr>
      <w:r>
        <w:rPr>
          <w:rFonts w:ascii="仿宋" w:hAnsi="仿宋" w:eastAsia="仿宋" w:cs="仿宋_GB2312"/>
          <w:sz w:val="32"/>
          <w:szCs w:val="32"/>
        </w:rPr>
        <w:t>结合本单位经济活动特征和支出管理需要，健全支出管理的内部控制制度，在确保工作流程科学、严谨的基础上，实行经济事项的</w:t>
      </w:r>
      <w:r>
        <w:rPr>
          <w:rFonts w:hint="eastAsia" w:ascii="仿宋" w:hAnsi="仿宋" w:eastAsia="仿宋" w:cs="仿宋_GB2312"/>
          <w:sz w:val="32"/>
          <w:szCs w:val="32"/>
        </w:rPr>
        <w:t>决策、执行、监督</w:t>
      </w:r>
      <w:r>
        <w:rPr>
          <w:rFonts w:ascii="仿宋" w:hAnsi="仿宋" w:eastAsia="仿宋" w:cs="仿宋_GB2312"/>
          <w:sz w:val="32"/>
          <w:szCs w:val="32"/>
        </w:rPr>
        <w:t>等岗位职责分离。使得各项经济支出能够受到严格的控制和检查。</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黑体"/>
          <w:sz w:val="32"/>
          <w:szCs w:val="32"/>
        </w:rPr>
        <w:t>三、</w:t>
      </w:r>
      <w:r>
        <w:rPr>
          <w:rFonts w:hint="eastAsia" w:ascii="仿宋" w:hAnsi="仿宋" w:eastAsia="仿宋" w:cs="仿宋_GB2312"/>
          <w:sz w:val="32"/>
          <w:szCs w:val="32"/>
        </w:rPr>
        <w:t>政府性基金预算支出情况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年度本单位无政府性基金预算支出。</w:t>
      </w:r>
    </w:p>
    <w:p>
      <w:pPr>
        <w:pStyle w:val="7"/>
        <w:numPr>
          <w:ilvl w:val="0"/>
          <w:numId w:val="4"/>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国有资本经营预算支出情况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年度本单位无国有资本经营预算支出。</w:t>
      </w:r>
    </w:p>
    <w:p>
      <w:pPr>
        <w:pStyle w:val="7"/>
        <w:numPr>
          <w:ilvl w:val="0"/>
          <w:numId w:val="4"/>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社会保险基金预算支出情况</w:t>
      </w:r>
    </w:p>
    <w:p>
      <w:pPr>
        <w:pStyle w:val="7"/>
        <w:spacing w:beforeAutospacing="0" w:afterAutospacing="0" w:line="560" w:lineRule="exact"/>
        <w:ind w:firstLine="640" w:firstLineChars="200"/>
        <w:rPr>
          <w:rFonts w:ascii="仿宋" w:hAnsi="仿宋" w:eastAsia="仿宋"/>
          <w:kern w:val="2"/>
          <w:sz w:val="32"/>
          <w:szCs w:val="32"/>
        </w:rPr>
      </w:pPr>
      <w:r>
        <w:rPr>
          <w:rFonts w:hint="eastAsia" w:ascii="仿宋" w:hAnsi="仿宋" w:eastAsia="仿宋"/>
          <w:kern w:val="2"/>
          <w:sz w:val="32"/>
          <w:szCs w:val="32"/>
          <w:lang w:eastAsia="zh-CN"/>
        </w:rPr>
        <w:t>2024</w:t>
      </w:r>
      <w:r>
        <w:rPr>
          <w:rFonts w:hint="eastAsia" w:ascii="仿宋" w:hAnsi="仿宋" w:eastAsia="仿宋"/>
          <w:kern w:val="2"/>
          <w:sz w:val="32"/>
          <w:szCs w:val="32"/>
        </w:rPr>
        <w:t>年度无社会保险基金预算支出。</w:t>
      </w:r>
    </w:p>
    <w:p>
      <w:pPr>
        <w:pStyle w:val="7"/>
        <w:spacing w:beforeAutospacing="0" w:afterAutospacing="0" w:line="560" w:lineRule="exact"/>
        <w:ind w:firstLine="640" w:firstLineChars="200"/>
        <w:rPr>
          <w:rFonts w:ascii="仿宋" w:hAnsi="仿宋" w:eastAsia="仿宋" w:cs="黑体"/>
          <w:sz w:val="32"/>
          <w:szCs w:val="32"/>
        </w:rPr>
      </w:pPr>
      <w:r>
        <w:rPr>
          <w:rFonts w:hint="eastAsia" w:ascii="仿宋" w:hAnsi="仿宋" w:eastAsia="仿宋" w:cs="黑体"/>
          <w:sz w:val="32"/>
          <w:szCs w:val="32"/>
        </w:rPr>
        <w:t>六、部门整体支出绩效情况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（一）综合评价结论。</w:t>
      </w:r>
    </w:p>
    <w:p>
      <w:pPr>
        <w:pStyle w:val="5"/>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年，我单位认真重视预算执行工作，依据国家的法律法规，加强预算治理，不断完善内部管理制度，取得了较好的预算执行效果，达到预期绩效目标，我单位</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年度部门整体支出绩效自评得分为优。</w:t>
      </w:r>
    </w:p>
    <w:p>
      <w:pPr>
        <w:pStyle w:val="7"/>
        <w:numPr>
          <w:ilvl w:val="0"/>
          <w:numId w:val="5"/>
        </w:numPr>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评价指标分析（或综合评价情况）。</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1、产出指标完成情况分析。</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（1）数量指标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ascii="仿宋" w:hAnsi="仿宋" w:eastAsia="仿宋" w:cs="Calibri"/>
          <w:kern w:val="2"/>
          <w:sz w:val="32"/>
          <w:szCs w:val="32"/>
        </w:rPr>
        <w:t>①</w:t>
      </w:r>
      <w:r>
        <w:rPr>
          <w:rFonts w:hint="eastAsia" w:ascii="仿宋" w:hAnsi="仿宋" w:eastAsia="仿宋" w:cs="仿宋_GB2312"/>
          <w:kern w:val="2"/>
          <w:sz w:val="32"/>
          <w:szCs w:val="32"/>
        </w:rPr>
        <w:t>新招高一年级学生指标，指标值为1272人以上，实际完成1272人，完成率100%。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ascii="仿宋" w:hAnsi="仿宋" w:eastAsia="仿宋" w:cs="Calibri"/>
          <w:kern w:val="2"/>
          <w:sz w:val="32"/>
          <w:szCs w:val="32"/>
        </w:rPr>
        <w:t>②</w:t>
      </w:r>
      <w:r>
        <w:rPr>
          <w:rFonts w:hint="eastAsia" w:ascii="仿宋" w:hAnsi="仿宋" w:eastAsia="仿宋" w:cs="仿宋_GB2312"/>
          <w:kern w:val="2"/>
          <w:sz w:val="32"/>
          <w:szCs w:val="32"/>
        </w:rPr>
        <w:t>开展校园足球比赛场次指标，指标值为10场及以上，实际完成48场，完成率100%。</w:t>
      </w:r>
    </w:p>
    <w:p>
      <w:pPr>
        <w:pStyle w:val="7"/>
        <w:spacing w:beforeAutospacing="0" w:afterAutospacing="0" w:line="560" w:lineRule="exact"/>
        <w:ind w:firstLine="640" w:firstLineChars="200"/>
        <w:rPr>
          <w:rFonts w:ascii="仿宋" w:hAnsi="仿宋" w:eastAsia="仿宋" w:cs="微软雅黑"/>
          <w:kern w:val="2"/>
          <w:sz w:val="32"/>
          <w:szCs w:val="32"/>
        </w:rPr>
      </w:pPr>
      <w:r>
        <w:rPr>
          <w:rFonts w:ascii="仿宋" w:hAnsi="仿宋" w:eastAsia="仿宋" w:cs="Calibri"/>
          <w:kern w:val="2"/>
          <w:sz w:val="32"/>
          <w:szCs w:val="32"/>
        </w:rPr>
        <w:t>③</w:t>
      </w:r>
      <w:r>
        <w:rPr>
          <w:rFonts w:hint="eastAsia" w:ascii="仿宋" w:hAnsi="仿宋" w:eastAsia="仿宋" w:cs="仿宋_GB2312"/>
          <w:kern w:val="2"/>
          <w:sz w:val="32"/>
          <w:szCs w:val="32"/>
        </w:rPr>
        <w:t>教师培训次数指标，指标值为20次以上，实际完成24次以上，完成率100%。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微软雅黑"/>
          <w:kern w:val="2"/>
          <w:sz w:val="32"/>
          <w:szCs w:val="32"/>
        </w:rPr>
        <w:t>④</w:t>
      </w:r>
      <w:r>
        <w:rPr>
          <w:rFonts w:hint="eastAsia" w:ascii="仿宋" w:hAnsi="仿宋" w:eastAsia="仿宋" w:cs="仿宋_GB2312"/>
          <w:kern w:val="2"/>
          <w:sz w:val="32"/>
          <w:szCs w:val="32"/>
        </w:rPr>
        <w:t>教师培训人次指标，指标值为80人次以上，实际完成311人次以上，完成率100%。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（2）质量指标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ascii="仿宋" w:hAnsi="仿宋" w:eastAsia="仿宋" w:cs="Calibri"/>
          <w:kern w:val="2"/>
          <w:sz w:val="32"/>
          <w:szCs w:val="32"/>
        </w:rPr>
        <w:t>①</w:t>
      </w:r>
      <w:r>
        <w:rPr>
          <w:rFonts w:hint="eastAsia" w:ascii="仿宋" w:hAnsi="仿宋" w:eastAsia="仿宋" w:cs="仿宋_GB2312"/>
          <w:kern w:val="2"/>
          <w:sz w:val="32"/>
          <w:szCs w:val="32"/>
        </w:rPr>
        <w:t>高中毕业合格率指标，指标值为95%以上，实际完成100%，完成率100%。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ascii="仿宋" w:hAnsi="仿宋" w:eastAsia="仿宋" w:cs="Calibri"/>
          <w:kern w:val="2"/>
          <w:sz w:val="32"/>
          <w:szCs w:val="32"/>
        </w:rPr>
        <w:t>②</w:t>
      </w:r>
      <w:r>
        <w:rPr>
          <w:rFonts w:hint="eastAsia" w:ascii="仿宋" w:hAnsi="仿宋" w:eastAsia="仿宋" w:cs="仿宋_GB2312"/>
          <w:kern w:val="2"/>
          <w:sz w:val="32"/>
          <w:szCs w:val="32"/>
        </w:rPr>
        <w:t>参加市运动会金牌数指标，指标值为2枚以上，实际完成11枚，完成率100%。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微软雅黑"/>
          <w:kern w:val="2"/>
          <w:sz w:val="32"/>
          <w:szCs w:val="32"/>
        </w:rPr>
        <w:t>③</w:t>
      </w:r>
      <w:r>
        <w:rPr>
          <w:rFonts w:hint="eastAsia" w:ascii="仿宋" w:hAnsi="仿宋" w:eastAsia="仿宋" w:cs="仿宋_GB2312"/>
          <w:kern w:val="2"/>
          <w:sz w:val="32"/>
          <w:szCs w:val="32"/>
        </w:rPr>
        <w:t>专任教师合格率指标，指标值为100%，实际完成100%，完成率100%。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微软雅黑"/>
          <w:kern w:val="2"/>
          <w:sz w:val="32"/>
          <w:szCs w:val="32"/>
        </w:rPr>
        <w:t>④</w:t>
      </w:r>
      <w:r>
        <w:rPr>
          <w:rFonts w:hint="eastAsia" w:ascii="仿宋" w:hAnsi="仿宋" w:eastAsia="仿宋" w:cs="仿宋_GB2312"/>
          <w:kern w:val="2"/>
          <w:sz w:val="32"/>
          <w:szCs w:val="32"/>
        </w:rPr>
        <w:t>教师培训合格率指标，指标值为100%，实际完成100%，完成率100%。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（3）时效指标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①预算执行率指标，指标值为90%，实际完成108.4%，完成率100%。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②教学任务完成及时率指标，指标值为100%，实际完成100%，完成率100%。</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（4）成本指标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①基本支出指标，指标值为</w:t>
      </w:r>
      <w:r>
        <w:rPr>
          <w:rFonts w:hint="eastAsia" w:ascii="仿宋" w:hAnsi="仿宋" w:eastAsia="仿宋" w:cs="仿宋_GB2312"/>
          <w:kern w:val="2"/>
          <w:sz w:val="32"/>
          <w:szCs w:val="32"/>
          <w:lang w:val="en-US" w:eastAsia="zh-CN"/>
        </w:rPr>
        <w:t>4605.68</w:t>
      </w:r>
      <w:r>
        <w:rPr>
          <w:rFonts w:hint="eastAsia" w:ascii="仿宋" w:hAnsi="仿宋" w:eastAsia="仿宋" w:cs="仿宋_GB2312"/>
          <w:kern w:val="2"/>
          <w:sz w:val="32"/>
          <w:szCs w:val="32"/>
        </w:rPr>
        <w:t>万元，实际完成6451.75万元，完成率140.08 %。</w:t>
      </w:r>
    </w:p>
    <w:p>
      <w:pPr>
        <w:pStyle w:val="7"/>
        <w:spacing w:beforeAutospacing="0" w:afterAutospacing="0" w:line="560" w:lineRule="exact"/>
        <w:ind w:firstLine="640" w:firstLineChars="200"/>
        <w:rPr>
          <w:rFonts w:ascii="仿宋" w:hAnsi="仿宋" w:eastAsia="仿宋" w:cs="仿宋_GB2312"/>
          <w:kern w:val="2"/>
          <w:sz w:val="32"/>
          <w:szCs w:val="32"/>
        </w:rPr>
      </w:pPr>
      <w:r>
        <w:rPr>
          <w:rFonts w:ascii="仿宋" w:hAnsi="仿宋" w:eastAsia="仿宋" w:cs="Calibri"/>
          <w:kern w:val="2"/>
          <w:sz w:val="32"/>
          <w:szCs w:val="32"/>
        </w:rPr>
        <w:t>②</w:t>
      </w:r>
      <w:r>
        <w:rPr>
          <w:rFonts w:hint="eastAsia" w:ascii="仿宋" w:hAnsi="仿宋" w:eastAsia="仿宋" w:cs="仿宋_GB2312"/>
          <w:kern w:val="2"/>
          <w:sz w:val="32"/>
          <w:szCs w:val="32"/>
        </w:rPr>
        <w:t>项目支出指标，指标值为22</w:t>
      </w:r>
      <w:r>
        <w:rPr>
          <w:rFonts w:hint="eastAsia" w:ascii="仿宋" w:hAnsi="仿宋" w:eastAsia="仿宋" w:cs="仿宋_GB2312"/>
          <w:kern w:val="2"/>
          <w:sz w:val="32"/>
          <w:szCs w:val="32"/>
          <w:lang w:val="en-US" w:eastAsia="zh-CN"/>
        </w:rPr>
        <w:t>28</w:t>
      </w:r>
      <w:r>
        <w:rPr>
          <w:rFonts w:hint="eastAsia" w:ascii="仿宋" w:hAnsi="仿宋" w:eastAsia="仿宋" w:cs="仿宋_GB2312"/>
          <w:kern w:val="2"/>
          <w:sz w:val="32"/>
          <w:szCs w:val="32"/>
        </w:rPr>
        <w:t>万元，实际完成813.17万元，完成率36.50 %。</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2、效益指标完成情况分析。</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（1）社会效益指标</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kern w:val="2"/>
          <w:sz w:val="32"/>
          <w:szCs w:val="32"/>
        </w:rPr>
        <w:t>①辍学率指标，指标值为等于或小于1%，实际完成0.00%，完成率100%</w:t>
      </w:r>
      <w:r>
        <w:rPr>
          <w:rFonts w:hint="eastAsia" w:ascii="仿宋" w:hAnsi="仿宋" w:eastAsia="仿宋" w:cs="仿宋_GB2312"/>
          <w:sz w:val="32"/>
          <w:szCs w:val="32"/>
        </w:rPr>
        <w:t>。</w:t>
      </w:r>
    </w:p>
    <w:p>
      <w:pPr>
        <w:pStyle w:val="7"/>
        <w:numPr>
          <w:ilvl w:val="0"/>
          <w:numId w:val="6"/>
        </w:numPr>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生态效益指标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 xml:space="preserve"> ①校园绿化率指标，指标值为逐步提高，实际完成为逐步提高，完成率100%，我单位</w:t>
      </w:r>
      <w:r>
        <w:rPr>
          <w:rFonts w:hint="eastAsia" w:ascii="仿宋" w:hAnsi="仿宋" w:eastAsia="仿宋" w:cs="仿宋_GB2312"/>
          <w:kern w:val="2"/>
          <w:sz w:val="32"/>
          <w:szCs w:val="32"/>
          <w:lang w:eastAsia="zh-CN"/>
        </w:rPr>
        <w:t>2024</w:t>
      </w:r>
      <w:r>
        <w:rPr>
          <w:rFonts w:hint="eastAsia" w:ascii="仿宋" w:hAnsi="仿宋" w:eastAsia="仿宋" w:cs="仿宋_GB2312"/>
          <w:kern w:val="2"/>
          <w:sz w:val="32"/>
          <w:szCs w:val="32"/>
        </w:rPr>
        <w:t>年新增花箱30个，增加校内劳动基地500多平方米。</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（3）可持续影响指标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①教师的专业知识与技能指标，指标值为逐步提高，实际完成为逐步提高，完成率100%，我单位积极民主推选市级、县级、校极骨干教师、优秀教师，并利用他们的模范作用，影响和带动了一大批教师的成长。</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3、满意度指标完成情况分析。</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（1）服务对象满意度指标</w:t>
      </w:r>
    </w:p>
    <w:p>
      <w:pPr>
        <w:pStyle w:val="7"/>
        <w:spacing w:beforeAutospacing="0" w:afterAutospacing="0" w:line="56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①服务对象满意度指标，指标值＞95%，实际完成100%，完成率100%。</w:t>
      </w:r>
    </w:p>
    <w:p>
      <w:pPr>
        <w:pStyle w:val="7"/>
        <w:spacing w:beforeAutospacing="0" w:afterAutospacing="0" w:line="560" w:lineRule="exact"/>
        <w:ind w:firstLine="640" w:firstLineChars="200"/>
        <w:rPr>
          <w:rFonts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七、存在的问题及原因分析</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1.公用经费控制有一定难度，基本为刚性支出。</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2.预算编制合理性需要提高，预算执行力度还要进一步加强。</w:t>
      </w:r>
    </w:p>
    <w:p>
      <w:pPr>
        <w:snapToGrid w:val="0"/>
        <w:spacing w:line="52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设施设备严重老化。</w:t>
      </w:r>
      <w:r>
        <w:rPr>
          <w:rFonts w:hint="eastAsia" w:ascii="仿宋" w:hAnsi="仿宋" w:eastAsia="仿宋" w:cs="仿宋"/>
          <w:color w:val="000000" w:themeColor="text1"/>
          <w:sz w:val="32"/>
          <w:szCs w:val="32"/>
          <w14:textFill>
            <w14:solidFill>
              <w14:schemeClr w14:val="tx1"/>
            </w14:solidFill>
          </w14:textFill>
        </w:rPr>
        <w:t>最主要是部分班级的班班通设备、电教设备严重老化，不能及时得维护维修。严重制约学校教育教学工作的高水平发展。</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4、家庭教育滞后，由于家庭教育的缺失，叛逆，厌学、等现象偶有发生，这需要社会各界共同关注，家校合力、真正做到立德树人。</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八、</w:t>
      </w:r>
      <w:r>
        <w:rPr>
          <w:rFonts w:hint="eastAsia" w:ascii="仿宋" w:hAnsi="仿宋" w:eastAsia="仿宋" w:cs="仿宋_GB2312"/>
          <w:color w:val="000000" w:themeColor="text1"/>
          <w:sz w:val="32"/>
          <w:szCs w:val="32"/>
          <w14:textFill>
            <w14:solidFill>
              <w14:schemeClr w14:val="tx1"/>
            </w14:solidFill>
          </w14:textFill>
        </w:rPr>
        <w:t>下一步改进措施</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2、合理使用有限的资金逐步改进设备设施，确保教育教学正常开展。</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3、加强学生的养成教育，培养学生良好的行为习惯，注重心理教育，促使学生健康成长，提升学生各项素质，提高学生的教育质量。</w:t>
      </w:r>
    </w:p>
    <w:p>
      <w:pPr>
        <w:pStyle w:val="7"/>
        <w:spacing w:beforeAutospacing="0" w:afterAutospacing="0" w:line="56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4、加强学生安全教育，每月开展专题安全教育，每天进行安全提醒，并定期进行安全隐患排查。</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5、加强学校与家长的联系，成立家委会，开展多形式的家庭教育讲座。通过家长会、家委会等方式提高家庭教育成效，</w:t>
      </w:r>
      <w:r>
        <w:rPr>
          <w:rFonts w:hint="eastAsia" w:ascii="仿宋" w:hAnsi="仿宋" w:eastAsia="仿宋" w:cs="仿宋"/>
          <w:color w:val="000000" w:themeColor="text1"/>
          <w:sz w:val="32"/>
          <w:szCs w:val="32"/>
          <w14:textFill>
            <w14:solidFill>
              <w14:schemeClr w14:val="tx1"/>
            </w14:solidFill>
          </w14:textFill>
        </w:rPr>
        <w:t>采用正确的教育方式施教，真正做到立德树人。</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黑体"/>
          <w:sz w:val="32"/>
          <w:szCs w:val="32"/>
        </w:rPr>
        <w:t>九、</w:t>
      </w:r>
      <w:r>
        <w:rPr>
          <w:rFonts w:hint="eastAsia" w:ascii="仿宋" w:hAnsi="仿宋" w:eastAsia="仿宋" w:cs="仿宋_GB2312"/>
          <w:sz w:val="32"/>
          <w:szCs w:val="32"/>
        </w:rPr>
        <w:t>其他需要说明的情况</w:t>
      </w:r>
    </w:p>
    <w:p>
      <w:pPr>
        <w:pStyle w:val="7"/>
        <w:spacing w:beforeAutospacing="0" w:afterAutospacing="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无其他情况说明。</w:t>
      </w:r>
    </w:p>
    <w:p>
      <w:pPr>
        <w:pStyle w:val="7"/>
        <w:spacing w:beforeAutospacing="0" w:afterAutospacing="0" w:line="560" w:lineRule="exact"/>
        <w:ind w:firstLine="640" w:firstLineChars="200"/>
        <w:rPr>
          <w:rFonts w:ascii="仿宋_GB2312" w:hAnsi="仿宋_GB2312" w:eastAsia="仿宋_GB2312" w:cs="仿宋_GB2312"/>
          <w:sz w:val="32"/>
          <w:szCs w:val="32"/>
        </w:rPr>
      </w:pPr>
    </w:p>
    <w:p>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30991"/>
    <w:multiLevelType w:val="singleLevel"/>
    <w:tmpl w:val="9B430991"/>
    <w:lvl w:ilvl="0" w:tentative="0">
      <w:start w:val="4"/>
      <w:numFmt w:val="chineseCounting"/>
      <w:suff w:val="nothing"/>
      <w:lvlText w:val="%1、"/>
      <w:lvlJc w:val="left"/>
      <w:rPr>
        <w:rFonts w:hint="eastAsia"/>
      </w:rPr>
    </w:lvl>
  </w:abstractNum>
  <w:abstractNum w:abstractNumId="1">
    <w:nsid w:val="A06DD6F0"/>
    <w:multiLevelType w:val="singleLevel"/>
    <w:tmpl w:val="A06DD6F0"/>
    <w:lvl w:ilvl="0" w:tentative="0">
      <w:start w:val="2"/>
      <w:numFmt w:val="decimal"/>
      <w:suff w:val="nothing"/>
      <w:lvlText w:val="（%1）"/>
      <w:lvlJc w:val="left"/>
    </w:lvl>
  </w:abstractNum>
  <w:abstractNum w:abstractNumId="2">
    <w:nsid w:val="B10189B0"/>
    <w:multiLevelType w:val="singleLevel"/>
    <w:tmpl w:val="B10189B0"/>
    <w:lvl w:ilvl="0" w:tentative="0">
      <w:start w:val="2"/>
      <w:numFmt w:val="chineseCounting"/>
      <w:suff w:val="nothing"/>
      <w:lvlText w:val="（%1）"/>
      <w:lvlJc w:val="left"/>
      <w:rPr>
        <w:rFonts w:hint="eastAsia"/>
      </w:rPr>
    </w:lvl>
  </w:abstractNum>
  <w:abstractNum w:abstractNumId="3">
    <w:nsid w:val="EBF32A03"/>
    <w:multiLevelType w:val="singleLevel"/>
    <w:tmpl w:val="EBF32A03"/>
    <w:lvl w:ilvl="0" w:tentative="0">
      <w:start w:val="3"/>
      <w:numFmt w:val="chineseCounting"/>
      <w:suff w:val="nothing"/>
      <w:lvlText w:val="（%1）"/>
      <w:lvlJc w:val="left"/>
      <w:rPr>
        <w:rFonts w:hint="eastAsia"/>
      </w:rPr>
    </w:lvl>
  </w:abstractNum>
  <w:abstractNum w:abstractNumId="4">
    <w:nsid w:val="4073A305"/>
    <w:multiLevelType w:val="singleLevel"/>
    <w:tmpl w:val="4073A305"/>
    <w:lvl w:ilvl="0" w:tentative="0">
      <w:start w:val="2"/>
      <w:numFmt w:val="chineseCounting"/>
      <w:suff w:val="nothing"/>
      <w:lvlText w:val="（%1）"/>
      <w:lvlJc w:val="left"/>
      <w:rPr>
        <w:rFonts w:hint="eastAsia"/>
      </w:rPr>
    </w:lvl>
  </w:abstractNum>
  <w:abstractNum w:abstractNumId="5">
    <w:nsid w:val="678DE9FE"/>
    <w:multiLevelType w:val="singleLevel"/>
    <w:tmpl w:val="678DE9FE"/>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Zjk1MmEyNDQ0ZTc0MWM1YzA4NGNjMTMwMWUzN2MifQ=="/>
  </w:docVars>
  <w:rsids>
    <w:rsidRoot w:val="7A776074"/>
    <w:rsid w:val="00035641"/>
    <w:rsid w:val="0006592F"/>
    <w:rsid w:val="000A5CEB"/>
    <w:rsid w:val="001B4962"/>
    <w:rsid w:val="002247CF"/>
    <w:rsid w:val="0022705F"/>
    <w:rsid w:val="00236F23"/>
    <w:rsid w:val="00240E29"/>
    <w:rsid w:val="002F718F"/>
    <w:rsid w:val="00324428"/>
    <w:rsid w:val="0033428F"/>
    <w:rsid w:val="00357023"/>
    <w:rsid w:val="004112BB"/>
    <w:rsid w:val="004213E1"/>
    <w:rsid w:val="00445D88"/>
    <w:rsid w:val="004467A5"/>
    <w:rsid w:val="00453F07"/>
    <w:rsid w:val="0046240E"/>
    <w:rsid w:val="00493243"/>
    <w:rsid w:val="004959DC"/>
    <w:rsid w:val="0055496B"/>
    <w:rsid w:val="00597BE9"/>
    <w:rsid w:val="005C7DB0"/>
    <w:rsid w:val="005F7829"/>
    <w:rsid w:val="00611371"/>
    <w:rsid w:val="00685C8B"/>
    <w:rsid w:val="0077057F"/>
    <w:rsid w:val="00773AE5"/>
    <w:rsid w:val="00795A5C"/>
    <w:rsid w:val="007A6370"/>
    <w:rsid w:val="007B4721"/>
    <w:rsid w:val="007E5E90"/>
    <w:rsid w:val="008577BF"/>
    <w:rsid w:val="00866D4A"/>
    <w:rsid w:val="0088009D"/>
    <w:rsid w:val="008A7035"/>
    <w:rsid w:val="008B0EFD"/>
    <w:rsid w:val="008D5054"/>
    <w:rsid w:val="008E53AD"/>
    <w:rsid w:val="008F5003"/>
    <w:rsid w:val="009707AC"/>
    <w:rsid w:val="009E735D"/>
    <w:rsid w:val="00A80C08"/>
    <w:rsid w:val="00A96B45"/>
    <w:rsid w:val="00B50E7B"/>
    <w:rsid w:val="00BF2D0F"/>
    <w:rsid w:val="00C63342"/>
    <w:rsid w:val="00C76400"/>
    <w:rsid w:val="00D01CAB"/>
    <w:rsid w:val="00D436D2"/>
    <w:rsid w:val="00D770B0"/>
    <w:rsid w:val="00E3543B"/>
    <w:rsid w:val="00E63064"/>
    <w:rsid w:val="00E84E7F"/>
    <w:rsid w:val="00E91F35"/>
    <w:rsid w:val="00EF7F26"/>
    <w:rsid w:val="00F56FE7"/>
    <w:rsid w:val="00F93D92"/>
    <w:rsid w:val="00F944FD"/>
    <w:rsid w:val="047022AD"/>
    <w:rsid w:val="05AA4740"/>
    <w:rsid w:val="07D2665E"/>
    <w:rsid w:val="0B650FD5"/>
    <w:rsid w:val="0D9C4974"/>
    <w:rsid w:val="0E6E1665"/>
    <w:rsid w:val="1DCA7323"/>
    <w:rsid w:val="1EA2204E"/>
    <w:rsid w:val="20542ED4"/>
    <w:rsid w:val="22755A65"/>
    <w:rsid w:val="23E634F2"/>
    <w:rsid w:val="2584600A"/>
    <w:rsid w:val="25BD776E"/>
    <w:rsid w:val="2F1E438E"/>
    <w:rsid w:val="2FD1009E"/>
    <w:rsid w:val="3AFA4A24"/>
    <w:rsid w:val="417E03F0"/>
    <w:rsid w:val="44CE0BF8"/>
    <w:rsid w:val="47135863"/>
    <w:rsid w:val="4F7D417A"/>
    <w:rsid w:val="564B654C"/>
    <w:rsid w:val="5DA36C6E"/>
    <w:rsid w:val="5F1A6E4D"/>
    <w:rsid w:val="639343EA"/>
    <w:rsid w:val="65DB3221"/>
    <w:rsid w:val="675872D4"/>
    <w:rsid w:val="70052A0B"/>
    <w:rsid w:val="77095DD4"/>
    <w:rsid w:val="7A776074"/>
    <w:rsid w:val="7D58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r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6"/>
    <w:qFormat/>
    <w:uiPriority w:val="0"/>
    <w:pPr>
      <w:spacing w:before="240" w:after="60"/>
      <w:jc w:val="center"/>
      <w:outlineLvl w:val="0"/>
    </w:pPr>
    <w:rPr>
      <w:rFonts w:eastAsia="宋体" w:asciiTheme="majorHAnsi" w:hAnsiTheme="majorHAnsi" w:cstheme="majorBidi"/>
      <w:b/>
      <w:bCs/>
      <w:sz w:val="32"/>
      <w:szCs w:val="32"/>
    </w:rPr>
  </w:style>
  <w:style w:type="paragraph" w:customStyle="1" w:styleId="11">
    <w:name w:val="正文首行缩进1"/>
    <w:basedOn w:val="1"/>
    <w:next w:val="1"/>
    <w:qFormat/>
    <w:uiPriority w:val="0"/>
    <w:pPr>
      <w:spacing w:after="120"/>
      <w:ind w:firstLine="420" w:firstLineChars="100"/>
    </w:pPr>
    <w:rPr>
      <w:rFonts w:hint="eastAsia"/>
      <w:szCs w:val="20"/>
    </w:rPr>
  </w:style>
  <w:style w:type="character" w:customStyle="1" w:styleId="12">
    <w:name w:val="页眉 Char"/>
    <w:basedOn w:val="10"/>
    <w:link w:val="6"/>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 w:type="character" w:customStyle="1" w:styleId="14">
    <w:name w:val="标题 2 Char"/>
    <w:basedOn w:val="10"/>
    <w:link w:val="3"/>
    <w:uiPriority w:val="0"/>
    <w:rPr>
      <w:rFonts w:asciiTheme="majorHAnsi" w:hAnsiTheme="majorHAnsi" w:eastAsiaTheme="majorEastAsia" w:cstheme="majorBidi"/>
      <w:b/>
      <w:bCs/>
      <w:kern w:val="2"/>
      <w:sz w:val="32"/>
      <w:szCs w:val="32"/>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character" w:customStyle="1" w:styleId="16">
    <w:name w:val="标题 Char"/>
    <w:basedOn w:val="10"/>
    <w:link w:val="8"/>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3970</Words>
  <Characters>4428</Characters>
  <Lines>32</Lines>
  <Paragraphs>9</Paragraphs>
  <TotalTime>5</TotalTime>
  <ScaleCrop>false</ScaleCrop>
  <LinksUpToDate>false</LinksUpToDate>
  <CharactersWithSpaces>4439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2024-04-30T02:27:00Z</dcterms:created>
  <dc:creator>人生如梦</dc:creator>
  <cp:lastModifiedBy>Administrator</cp:lastModifiedBy>
  <dcterms:modified xsi:type="dcterms:W3CDTF">2025-10-22T07:44:56Z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22C9F0986F344B78AB8C81AC99B6130B_13</vt:lpwstr>
  </property>
</Properties>
</file>