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C52B">
      <w:pPr>
        <w:spacing w:before="69" w:line="224" w:lineRule="auto"/>
        <w:rPr>
          <w:rFonts w:ascii="黑体" w:hAnsi="黑体" w:eastAsia="黑体" w:cs="黑体"/>
          <w:b/>
          <w:bCs/>
          <w:color w:val="auto"/>
          <w:spacing w:val="21"/>
          <w:sz w:val="31"/>
          <w:szCs w:val="31"/>
          <w:highlight w:val="none"/>
        </w:rPr>
      </w:pPr>
      <w:bookmarkStart w:id="0" w:name="_GoBack"/>
      <w:bookmarkEnd w:id="0"/>
    </w:p>
    <w:p w14:paraId="110691FE">
      <w:pPr>
        <w:spacing w:line="266" w:lineRule="auto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eastAsia="宋体"/>
          <w:color w:val="auto"/>
          <w:highlight w:val="none"/>
          <w:lang w:val="en-US" w:eastAsia="zh-CN"/>
        </w:rPr>
        <w:t xml:space="preserve">   </w:t>
      </w:r>
    </w:p>
    <w:p w14:paraId="515BAF76">
      <w:pPr>
        <w:spacing w:line="266" w:lineRule="auto"/>
        <w:rPr>
          <w:rFonts w:hint="eastAsia" w:eastAsia="宋体"/>
          <w:color w:val="auto"/>
          <w:highlight w:val="none"/>
          <w:lang w:val="en-US" w:eastAsia="zh-CN"/>
        </w:rPr>
      </w:pPr>
    </w:p>
    <w:p w14:paraId="55877D0C">
      <w:pPr>
        <w:spacing w:line="266" w:lineRule="auto"/>
        <w:rPr>
          <w:rFonts w:hint="eastAsia" w:eastAsia="宋体"/>
          <w:color w:val="auto"/>
          <w:highlight w:val="none"/>
          <w:lang w:val="en-US" w:eastAsia="zh-CN"/>
        </w:rPr>
      </w:pPr>
    </w:p>
    <w:p w14:paraId="7BD5DF15">
      <w:pPr>
        <w:spacing w:line="266" w:lineRule="auto"/>
        <w:rPr>
          <w:rFonts w:hint="eastAsia" w:eastAsia="宋体"/>
          <w:color w:val="auto"/>
          <w:highlight w:val="none"/>
          <w:lang w:val="en-US" w:eastAsia="zh-CN"/>
        </w:rPr>
      </w:pPr>
    </w:p>
    <w:p w14:paraId="7551387B">
      <w:pPr>
        <w:spacing w:line="266" w:lineRule="auto"/>
        <w:rPr>
          <w:rFonts w:hint="eastAsia" w:eastAsia="宋体"/>
          <w:color w:val="auto"/>
          <w:highlight w:val="none"/>
          <w:lang w:val="en-US" w:eastAsia="zh-CN"/>
        </w:rPr>
      </w:pPr>
    </w:p>
    <w:p w14:paraId="36EA3221">
      <w:pPr>
        <w:spacing w:line="266" w:lineRule="auto"/>
        <w:rPr>
          <w:rFonts w:hint="default" w:eastAsia="宋体"/>
          <w:color w:val="auto"/>
          <w:highlight w:val="none"/>
          <w:lang w:val="en-US" w:eastAsia="zh-CN"/>
        </w:rPr>
      </w:pPr>
    </w:p>
    <w:p w14:paraId="22174C4D">
      <w:pPr>
        <w:spacing w:before="163" w:line="787" w:lineRule="exact"/>
        <w:jc w:val="both"/>
        <w:rPr>
          <w:rFonts w:ascii="仿宋" w:hAnsi="仿宋" w:eastAsia="仿宋" w:cs="仿宋"/>
          <w:color w:val="auto"/>
          <w:sz w:val="50"/>
          <w:szCs w:val="5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position w:val="20"/>
          <w:sz w:val="50"/>
          <w:szCs w:val="50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b/>
          <w:bCs/>
          <w:color w:val="auto"/>
          <w:spacing w:val="15"/>
          <w:position w:val="20"/>
          <w:sz w:val="50"/>
          <w:szCs w:val="50"/>
          <w:highlight w:val="none"/>
        </w:rPr>
        <w:t>年度</w:t>
      </w:r>
      <w:r>
        <w:rPr>
          <w:rFonts w:hint="eastAsia" w:ascii="仿宋" w:hAnsi="仿宋" w:eastAsia="仿宋" w:cs="仿宋"/>
          <w:b/>
          <w:bCs/>
          <w:color w:val="auto"/>
          <w:spacing w:val="15"/>
          <w:position w:val="20"/>
          <w:sz w:val="50"/>
          <w:szCs w:val="50"/>
          <w:highlight w:val="none"/>
          <w:lang w:val="en-US" w:eastAsia="zh-CN"/>
        </w:rPr>
        <w:t>临武县第六中学</w:t>
      </w:r>
      <w:r>
        <w:rPr>
          <w:rFonts w:hint="eastAsia" w:ascii="仿宋" w:hAnsi="仿宋" w:eastAsia="仿宋" w:cs="仿宋"/>
          <w:b/>
          <w:bCs/>
          <w:color w:val="auto"/>
          <w:spacing w:val="15"/>
          <w:position w:val="20"/>
          <w:sz w:val="50"/>
          <w:szCs w:val="50"/>
          <w:highlight w:val="none"/>
        </w:rPr>
        <w:t>整体支出</w:t>
      </w:r>
    </w:p>
    <w:p w14:paraId="0940350F">
      <w:pPr>
        <w:spacing w:before="2" w:line="217" w:lineRule="auto"/>
        <w:jc w:val="center"/>
        <w:rPr>
          <w:rFonts w:ascii="仿宋" w:hAnsi="仿宋" w:eastAsia="仿宋" w:cs="仿宋"/>
          <w:color w:val="auto"/>
          <w:sz w:val="50"/>
          <w:szCs w:val="5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50"/>
          <w:szCs w:val="50"/>
          <w:highlight w:val="none"/>
        </w:rPr>
        <w:t>绩效自评报告</w:t>
      </w:r>
    </w:p>
    <w:p w14:paraId="6E385316">
      <w:pPr>
        <w:spacing w:line="246" w:lineRule="auto"/>
        <w:rPr>
          <w:color w:val="auto"/>
          <w:highlight w:val="none"/>
        </w:rPr>
      </w:pPr>
    </w:p>
    <w:p w14:paraId="24EEB237">
      <w:pPr>
        <w:spacing w:line="246" w:lineRule="auto"/>
        <w:rPr>
          <w:color w:val="auto"/>
          <w:highlight w:val="none"/>
        </w:rPr>
      </w:pPr>
    </w:p>
    <w:p w14:paraId="04F888ED">
      <w:pPr>
        <w:spacing w:line="246" w:lineRule="auto"/>
        <w:rPr>
          <w:color w:val="auto"/>
          <w:highlight w:val="none"/>
        </w:rPr>
      </w:pPr>
    </w:p>
    <w:p w14:paraId="3BD9F549">
      <w:pPr>
        <w:spacing w:line="246" w:lineRule="auto"/>
        <w:rPr>
          <w:color w:val="auto"/>
          <w:highlight w:val="none"/>
        </w:rPr>
      </w:pPr>
    </w:p>
    <w:p w14:paraId="41BB5295">
      <w:pPr>
        <w:spacing w:line="246" w:lineRule="auto"/>
        <w:rPr>
          <w:color w:val="auto"/>
          <w:highlight w:val="none"/>
        </w:rPr>
      </w:pPr>
    </w:p>
    <w:p w14:paraId="55B5AFA6">
      <w:pPr>
        <w:spacing w:line="246" w:lineRule="auto"/>
        <w:rPr>
          <w:color w:val="auto"/>
          <w:highlight w:val="none"/>
        </w:rPr>
      </w:pPr>
    </w:p>
    <w:p w14:paraId="2CAB523B">
      <w:pPr>
        <w:spacing w:line="246" w:lineRule="auto"/>
        <w:rPr>
          <w:color w:val="auto"/>
          <w:highlight w:val="none"/>
        </w:rPr>
      </w:pPr>
    </w:p>
    <w:p w14:paraId="15F81254">
      <w:pPr>
        <w:spacing w:line="246" w:lineRule="auto"/>
        <w:rPr>
          <w:color w:val="auto"/>
          <w:highlight w:val="none"/>
        </w:rPr>
      </w:pPr>
    </w:p>
    <w:p w14:paraId="4EFC5D0D">
      <w:pPr>
        <w:spacing w:line="247" w:lineRule="auto"/>
        <w:rPr>
          <w:color w:val="auto"/>
          <w:highlight w:val="none"/>
        </w:rPr>
      </w:pPr>
    </w:p>
    <w:p w14:paraId="63A717DB">
      <w:pPr>
        <w:spacing w:line="247" w:lineRule="auto"/>
        <w:rPr>
          <w:color w:val="auto"/>
          <w:highlight w:val="none"/>
        </w:rPr>
      </w:pPr>
    </w:p>
    <w:p w14:paraId="70A04CBD">
      <w:pPr>
        <w:spacing w:line="247" w:lineRule="auto"/>
        <w:rPr>
          <w:color w:val="auto"/>
          <w:highlight w:val="none"/>
        </w:rPr>
      </w:pPr>
    </w:p>
    <w:p w14:paraId="76FE0061">
      <w:pPr>
        <w:spacing w:line="247" w:lineRule="auto"/>
        <w:rPr>
          <w:color w:val="auto"/>
          <w:highlight w:val="none"/>
        </w:rPr>
      </w:pPr>
    </w:p>
    <w:p w14:paraId="7C039475">
      <w:pPr>
        <w:spacing w:line="247" w:lineRule="auto"/>
        <w:rPr>
          <w:color w:val="auto"/>
          <w:highlight w:val="none"/>
        </w:rPr>
      </w:pPr>
    </w:p>
    <w:p w14:paraId="3C426269">
      <w:pPr>
        <w:spacing w:line="247" w:lineRule="auto"/>
        <w:rPr>
          <w:color w:val="auto"/>
          <w:highlight w:val="none"/>
        </w:rPr>
      </w:pPr>
    </w:p>
    <w:p w14:paraId="6DF39712">
      <w:pPr>
        <w:spacing w:line="247" w:lineRule="auto"/>
        <w:rPr>
          <w:color w:val="auto"/>
          <w:highlight w:val="none"/>
        </w:rPr>
      </w:pPr>
    </w:p>
    <w:p w14:paraId="36595157">
      <w:pPr>
        <w:spacing w:line="247" w:lineRule="auto"/>
        <w:rPr>
          <w:color w:val="auto"/>
          <w:highlight w:val="none"/>
        </w:rPr>
      </w:pPr>
    </w:p>
    <w:p w14:paraId="6DD7AF42">
      <w:pPr>
        <w:spacing w:line="247" w:lineRule="auto"/>
        <w:rPr>
          <w:color w:val="auto"/>
          <w:highlight w:val="none"/>
        </w:rPr>
      </w:pPr>
    </w:p>
    <w:p w14:paraId="23C3CEEF">
      <w:pPr>
        <w:spacing w:line="247" w:lineRule="auto"/>
        <w:rPr>
          <w:color w:val="auto"/>
          <w:highlight w:val="none"/>
        </w:rPr>
      </w:pPr>
    </w:p>
    <w:p w14:paraId="7B446A68">
      <w:pPr>
        <w:spacing w:line="247" w:lineRule="auto"/>
        <w:rPr>
          <w:color w:val="auto"/>
          <w:highlight w:val="none"/>
        </w:rPr>
      </w:pPr>
    </w:p>
    <w:p w14:paraId="5C903928">
      <w:pPr>
        <w:pStyle w:val="2"/>
        <w:spacing w:before="87" w:line="221" w:lineRule="auto"/>
        <w:ind w:left="1825"/>
        <w:rPr>
          <w:color w:val="auto"/>
          <w:sz w:val="27"/>
          <w:szCs w:val="27"/>
          <w:highlight w:val="none"/>
        </w:rPr>
      </w:pPr>
      <w:r>
        <w:rPr>
          <w:color w:val="auto"/>
          <w:spacing w:val="-21"/>
          <w:sz w:val="27"/>
          <w:szCs w:val="27"/>
          <w:highlight w:val="none"/>
        </w:rPr>
        <w:t>部 门</w:t>
      </w:r>
      <w:r>
        <w:rPr>
          <w:color w:val="auto"/>
          <w:spacing w:val="8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( 单</w:t>
      </w:r>
      <w:r>
        <w:rPr>
          <w:color w:val="auto"/>
          <w:spacing w:val="-29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位</w:t>
      </w:r>
      <w:r>
        <w:rPr>
          <w:color w:val="auto"/>
          <w:spacing w:val="-38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)</w:t>
      </w:r>
      <w:r>
        <w:rPr>
          <w:color w:val="auto"/>
          <w:spacing w:val="-29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名</w:t>
      </w:r>
      <w:r>
        <w:rPr>
          <w:color w:val="auto"/>
          <w:spacing w:val="-31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称</w:t>
      </w:r>
      <w:r>
        <w:rPr>
          <w:color w:val="auto"/>
          <w:spacing w:val="-48"/>
          <w:sz w:val="27"/>
          <w:szCs w:val="27"/>
          <w:highlight w:val="none"/>
        </w:rPr>
        <w:t xml:space="preserve"> </w:t>
      </w:r>
      <w:r>
        <w:rPr>
          <w:color w:val="auto"/>
          <w:spacing w:val="-21"/>
          <w:sz w:val="27"/>
          <w:szCs w:val="27"/>
          <w:highlight w:val="none"/>
        </w:rPr>
        <w:t>：</w:t>
      </w:r>
      <w:r>
        <w:rPr>
          <w:color w:val="auto"/>
          <w:spacing w:val="-21"/>
          <w:sz w:val="27"/>
          <w:szCs w:val="27"/>
          <w:highlight w:val="none"/>
          <w:u w:val="single"/>
        </w:rPr>
        <w:t xml:space="preserve">  </w:t>
      </w:r>
      <w:r>
        <w:rPr>
          <w:rFonts w:hint="eastAsia"/>
          <w:color w:val="auto"/>
          <w:spacing w:val="-21"/>
          <w:sz w:val="27"/>
          <w:szCs w:val="27"/>
          <w:highlight w:val="none"/>
          <w:u w:val="single"/>
          <w:lang w:val="en-US" w:eastAsia="zh-CN"/>
        </w:rPr>
        <w:t>临武县第六中学</w:t>
      </w:r>
      <w:r>
        <w:rPr>
          <w:color w:val="auto"/>
          <w:spacing w:val="-21"/>
          <w:sz w:val="27"/>
          <w:szCs w:val="27"/>
          <w:highlight w:val="none"/>
          <w:u w:val="single"/>
        </w:rPr>
        <w:t xml:space="preserve">  </w:t>
      </w:r>
    </w:p>
    <w:p w14:paraId="45BB360E">
      <w:pPr>
        <w:spacing w:before="308" w:line="225" w:lineRule="auto"/>
        <w:ind w:left="3065" w:firstLine="246" w:firstLineChars="100"/>
        <w:jc w:val="both"/>
        <w:rPr>
          <w:rFonts w:hint="eastAsia" w:ascii="楷体" w:hAnsi="楷体" w:eastAsia="楷体" w:cs="楷体"/>
          <w:color w:val="auto"/>
          <w:spacing w:val="-12"/>
          <w:sz w:val="27"/>
          <w:szCs w:val="27"/>
          <w:highlight w:val="none"/>
          <w:lang w:val="en-US" w:eastAsia="zh-CN"/>
        </w:rPr>
      </w:pPr>
    </w:p>
    <w:p w14:paraId="6ED3AA3C">
      <w:pPr>
        <w:spacing w:before="308" w:line="225" w:lineRule="auto"/>
        <w:ind w:left="3065" w:firstLine="246" w:firstLineChars="100"/>
        <w:jc w:val="both"/>
        <w:rPr>
          <w:rFonts w:hint="eastAsia" w:ascii="楷体" w:hAnsi="楷体" w:eastAsia="楷体" w:cs="楷体"/>
          <w:color w:val="auto"/>
          <w:spacing w:val="-12"/>
          <w:sz w:val="27"/>
          <w:szCs w:val="27"/>
          <w:highlight w:val="none"/>
          <w:lang w:val="en-US" w:eastAsia="zh-CN"/>
        </w:rPr>
      </w:pPr>
    </w:p>
    <w:p w14:paraId="63098168">
      <w:pPr>
        <w:spacing w:before="308" w:line="225" w:lineRule="auto"/>
        <w:ind w:left="3065" w:firstLine="246" w:firstLineChars="100"/>
        <w:jc w:val="both"/>
        <w:rPr>
          <w:rFonts w:hint="eastAsia" w:ascii="楷体" w:hAnsi="楷体" w:eastAsia="楷体" w:cs="楷体"/>
          <w:color w:val="auto"/>
          <w:spacing w:val="-12"/>
          <w:sz w:val="27"/>
          <w:szCs w:val="27"/>
          <w:highlight w:val="none"/>
          <w:lang w:val="en-US" w:eastAsia="zh-CN"/>
        </w:rPr>
      </w:pPr>
    </w:p>
    <w:p w14:paraId="53734E6D">
      <w:pPr>
        <w:spacing w:before="308" w:line="225" w:lineRule="auto"/>
        <w:ind w:left="3065" w:firstLine="246" w:firstLineChars="100"/>
        <w:jc w:val="both"/>
        <w:rPr>
          <w:color w:val="auto"/>
          <w:highlight w:val="none"/>
        </w:rPr>
      </w:pPr>
      <w:r>
        <w:rPr>
          <w:rFonts w:hint="eastAsia" w:ascii="楷体" w:hAnsi="楷体" w:eastAsia="楷体" w:cs="楷体"/>
          <w:color w:val="auto"/>
          <w:spacing w:val="-12"/>
          <w:sz w:val="27"/>
          <w:szCs w:val="27"/>
          <w:highlight w:val="none"/>
          <w:lang w:val="en-US" w:eastAsia="zh-CN"/>
        </w:rPr>
        <w:t>2025</w:t>
      </w:r>
      <w:r>
        <w:rPr>
          <w:rFonts w:ascii="楷体" w:hAnsi="楷体" w:eastAsia="楷体" w:cs="楷体"/>
          <w:color w:val="auto"/>
          <w:spacing w:val="-12"/>
          <w:sz w:val="27"/>
          <w:szCs w:val="27"/>
          <w:highlight w:val="none"/>
        </w:rPr>
        <w:t>年</w:t>
      </w:r>
      <w:r>
        <w:rPr>
          <w:rFonts w:ascii="楷体" w:hAnsi="楷体" w:eastAsia="楷体" w:cs="楷体"/>
          <w:color w:val="auto"/>
          <w:spacing w:val="2"/>
          <w:sz w:val="27"/>
          <w:szCs w:val="27"/>
          <w:highlight w:val="none"/>
        </w:rPr>
        <w:t xml:space="preserve">  </w:t>
      </w:r>
      <w:r>
        <w:rPr>
          <w:rFonts w:hint="eastAsia" w:ascii="楷体" w:hAnsi="楷体" w:eastAsia="楷体" w:cs="楷体"/>
          <w:color w:val="auto"/>
          <w:spacing w:val="2"/>
          <w:sz w:val="27"/>
          <w:szCs w:val="27"/>
          <w:highlight w:val="none"/>
          <w:lang w:val="en-US" w:eastAsia="zh-CN"/>
        </w:rPr>
        <w:t>6</w:t>
      </w:r>
      <w:r>
        <w:rPr>
          <w:rFonts w:ascii="楷体" w:hAnsi="楷体" w:eastAsia="楷体" w:cs="楷体"/>
          <w:color w:val="auto"/>
          <w:spacing w:val="2"/>
          <w:sz w:val="27"/>
          <w:szCs w:val="27"/>
          <w:highlight w:val="none"/>
        </w:rPr>
        <w:t xml:space="preserve"> </w:t>
      </w:r>
      <w:r>
        <w:rPr>
          <w:rFonts w:ascii="楷体" w:hAnsi="楷体" w:eastAsia="楷体" w:cs="楷体"/>
          <w:color w:val="auto"/>
          <w:spacing w:val="-12"/>
          <w:sz w:val="27"/>
          <w:szCs w:val="27"/>
          <w:highlight w:val="none"/>
        </w:rPr>
        <w:t>月</w:t>
      </w:r>
      <w:r>
        <w:rPr>
          <w:rFonts w:ascii="楷体" w:hAnsi="楷体" w:eastAsia="楷体" w:cs="楷体"/>
          <w:color w:val="auto"/>
          <w:spacing w:val="6"/>
          <w:sz w:val="27"/>
          <w:szCs w:val="27"/>
          <w:highlight w:val="none"/>
        </w:rPr>
        <w:t xml:space="preserve"> </w:t>
      </w:r>
      <w:r>
        <w:rPr>
          <w:rFonts w:hint="eastAsia" w:ascii="楷体" w:hAnsi="楷体" w:eastAsia="楷体" w:cs="楷体"/>
          <w:color w:val="auto"/>
          <w:spacing w:val="6"/>
          <w:sz w:val="27"/>
          <w:szCs w:val="27"/>
          <w:highlight w:val="none"/>
          <w:lang w:val="en-US" w:eastAsia="zh-CN"/>
        </w:rPr>
        <w:t xml:space="preserve">9 </w:t>
      </w:r>
      <w:r>
        <w:rPr>
          <w:rFonts w:ascii="楷体" w:hAnsi="楷体" w:eastAsia="楷体" w:cs="楷体"/>
          <w:color w:val="auto"/>
          <w:spacing w:val="-12"/>
          <w:sz w:val="27"/>
          <w:szCs w:val="27"/>
          <w:highlight w:val="none"/>
        </w:rPr>
        <w:t>日</w:t>
      </w:r>
    </w:p>
    <w:p w14:paraId="5332811A">
      <w:pPr>
        <w:pStyle w:val="2"/>
        <w:spacing w:before="101" w:line="224" w:lineRule="auto"/>
        <w:ind w:left="3265"/>
        <w:jc w:val="both"/>
        <w:rPr>
          <w:color w:val="auto"/>
          <w:sz w:val="31"/>
          <w:szCs w:val="31"/>
          <w:highlight w:val="none"/>
        </w:rPr>
      </w:pPr>
      <w:r>
        <w:rPr>
          <w:color w:val="auto"/>
          <w:spacing w:val="18"/>
          <w:sz w:val="31"/>
          <w:szCs w:val="31"/>
          <w:highlight w:val="none"/>
        </w:rPr>
        <w:t>(此页为封面)</w:t>
      </w:r>
    </w:p>
    <w:p w14:paraId="1413593C">
      <w:pPr>
        <w:spacing w:line="224" w:lineRule="auto"/>
        <w:jc w:val="both"/>
        <w:rPr>
          <w:color w:val="auto"/>
          <w:sz w:val="31"/>
          <w:szCs w:val="31"/>
          <w:highlight w:val="none"/>
        </w:rPr>
        <w:sectPr>
          <w:footerReference r:id="rId3" w:type="default"/>
          <w:pgSz w:w="12130" w:h="16980"/>
          <w:pgMar w:top="1443" w:right="1812" w:bottom="1538" w:left="1744" w:header="0" w:footer="1229" w:gutter="0"/>
          <w:cols w:space="720" w:num="1"/>
        </w:sectPr>
      </w:pPr>
    </w:p>
    <w:p w14:paraId="0BE58450">
      <w:pPr>
        <w:spacing w:line="268" w:lineRule="auto"/>
        <w:rPr>
          <w:color w:val="auto"/>
          <w:highlight w:val="none"/>
        </w:rPr>
      </w:pPr>
    </w:p>
    <w:p w14:paraId="02E223FA">
      <w:pPr>
        <w:spacing w:before="140" w:line="667" w:lineRule="exact"/>
        <w:jc w:val="center"/>
        <w:rPr>
          <w:rFonts w:ascii="宋体" w:hAnsi="宋体" w:eastAsia="宋体" w:cs="宋体"/>
          <w:color w:val="auto"/>
          <w:sz w:val="43"/>
          <w:szCs w:val="43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8"/>
          <w:position w:val="16"/>
          <w:sz w:val="43"/>
          <w:szCs w:val="43"/>
          <w:highlight w:val="none"/>
          <w:lang w:eastAsia="zh-CN"/>
        </w:rPr>
        <w:t>2024</w:t>
      </w:r>
      <w:r>
        <w:rPr>
          <w:rFonts w:ascii="宋体" w:hAnsi="宋体" w:eastAsia="宋体" w:cs="宋体"/>
          <w:b/>
          <w:bCs/>
          <w:color w:val="auto"/>
          <w:spacing w:val="-18"/>
          <w:position w:val="16"/>
          <w:sz w:val="43"/>
          <w:szCs w:val="43"/>
          <w:highlight w:val="none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-18"/>
          <w:position w:val="16"/>
          <w:sz w:val="43"/>
          <w:szCs w:val="43"/>
          <w:highlight w:val="none"/>
          <w:lang w:val="en-US" w:eastAsia="zh-CN"/>
        </w:rPr>
        <w:t>临武县第六中学</w:t>
      </w:r>
      <w:r>
        <w:rPr>
          <w:rFonts w:ascii="宋体" w:hAnsi="宋体" w:eastAsia="宋体" w:cs="宋体"/>
          <w:b/>
          <w:bCs/>
          <w:color w:val="auto"/>
          <w:spacing w:val="-18"/>
          <w:position w:val="16"/>
          <w:sz w:val="43"/>
          <w:szCs w:val="43"/>
          <w:highlight w:val="none"/>
        </w:rPr>
        <w:t>整体支出</w:t>
      </w:r>
    </w:p>
    <w:p w14:paraId="74A4A893">
      <w:pPr>
        <w:spacing w:before="2" w:line="217" w:lineRule="auto"/>
        <w:jc w:val="center"/>
        <w:rPr>
          <w:rFonts w:ascii="宋体" w:hAnsi="宋体" w:eastAsia="宋体" w:cs="宋体"/>
          <w:color w:val="auto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43"/>
          <w:szCs w:val="43"/>
          <w:highlight w:val="none"/>
        </w:rPr>
        <w:t>绩效自评报告</w:t>
      </w:r>
    </w:p>
    <w:p w14:paraId="71C4E959">
      <w:pPr>
        <w:spacing w:line="307" w:lineRule="auto"/>
        <w:ind w:firstLine="63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4"/>
          <w:sz w:val="31"/>
          <w:szCs w:val="31"/>
          <w:highlight w:val="none"/>
          <w:lang w:val="en-US" w:eastAsia="zh-CN"/>
        </w:rPr>
        <w:t>一、</w:t>
      </w:r>
      <w:r>
        <w:rPr>
          <w:rFonts w:ascii="黑体" w:hAnsi="黑体" w:eastAsia="黑体" w:cs="黑体"/>
          <w:color w:val="auto"/>
          <w:spacing w:val="4"/>
          <w:sz w:val="31"/>
          <w:szCs w:val="31"/>
          <w:highlight w:val="none"/>
        </w:rPr>
        <w:t>基本情况</w:t>
      </w:r>
    </w:p>
    <w:p w14:paraId="109B2811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我校是一所初中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三年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义务教育学校，全校在校学生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5060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人，其中：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七年级1645人，八年级1756人，九年级1659人，我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校教育管理机构设置有党政办公室、政务处、教务处、教研室、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督导室、党建办、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财务室、电教室、工会、团委、后勤服务中心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。</w:t>
      </w:r>
    </w:p>
    <w:p w14:paraId="33608B39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）人员编制情况</w:t>
      </w:r>
    </w:p>
    <w:p w14:paraId="437A5D18">
      <w:pPr>
        <w:spacing w:line="307" w:lineRule="auto"/>
        <w:ind w:firstLine="596" w:firstLineChars="200"/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我校为财政全额拨款正科级事业单位，学校核定编制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254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人，其中全拨事业编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254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人，自收自支编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实有在编在岗人员245人，自收自支编1人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。</w:t>
      </w:r>
    </w:p>
    <w:p w14:paraId="33F2F5B8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二）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主要职能职责</w:t>
      </w:r>
    </w:p>
    <w:p w14:paraId="3559FD62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1、临武县第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中学全面贯彻国家教育方针，坚持为党育人、为国育才，培养学生的创新精神与实践能力，使之成为社会主义事业的建设者和接班人。</w:t>
      </w:r>
    </w:p>
    <w:p w14:paraId="5AB52E89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2、负责片区内学生义务阶段学生教育教学工作，着力培养会做人，能励志，善学习，有特长的学生。</w:t>
      </w:r>
    </w:p>
    <w:p w14:paraId="4D45EEBD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）绩效目标设定情况</w:t>
      </w:r>
    </w:p>
    <w:p w14:paraId="7F2DB634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全力提升教育教学质量。巩固湖南省文明标兵校园、全国足球特色校园创建成果，强化安全卫生管理。加强教师队伍建设。全面发展德智体美劳。全面落实教育厅《关于进一步加强“五项管理”工作的通知》要求，多措并举落实对中学生作业管理、睡眠管理、手机管理、课外读物管理、体质健康管理。</w:t>
      </w:r>
    </w:p>
    <w:p w14:paraId="692536EA">
      <w:pPr>
        <w:spacing w:before="211" w:line="221" w:lineRule="auto"/>
        <w:ind w:left="680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75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z w:val="31"/>
          <w:szCs w:val="31"/>
          <w:highlight w:val="none"/>
        </w:rPr>
        <w:t>一般公共预算支出情况</w:t>
      </w:r>
    </w:p>
    <w:p w14:paraId="20ED4B15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</w:rPr>
        <w:t>(一)基本支出情况</w:t>
      </w:r>
    </w:p>
    <w:p w14:paraId="58DE2B2F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1、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经批复的预、决算情况</w:t>
      </w:r>
    </w:p>
    <w:p w14:paraId="587B35B1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收入预算：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2024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年初预算数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3420.05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万元；其中：财政一般预算拨款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3420.05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2024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年收入预算较去年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增加 511.1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万元，主要是:一般公共服务支出、社会保障和就业支出、卫生健康支出、住房保障支出增加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645.25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万元，开展课后服务带来财政专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户管理的非税收入拨款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648.16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万元。</w:t>
      </w:r>
    </w:p>
    <w:p w14:paraId="59132906">
      <w:pPr>
        <w:spacing w:line="307" w:lineRule="auto"/>
        <w:ind w:firstLine="596" w:firstLineChars="200"/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支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出预算：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2024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年初预算数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3420.05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万元，其中：一般公共服务支出0.00万元，教育支出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2774.8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万元，社会保障和就业支出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270.53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万元，卫生健康支出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131.05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万元，住房保障支出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243.67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万元。支出较去年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减少413.34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万元，主要是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减少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公用经费支出。</w:t>
      </w:r>
    </w:p>
    <w:p w14:paraId="1890AF9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 w:firstLineChars="200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2024</w:t>
      </w: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年度决算收入总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4097.78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万元。与上年相比，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减少1219.32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万元，主要是因为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根据上级指示开源节流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仔细规划公用经费节省开支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。</w:t>
      </w:r>
    </w:p>
    <w:p w14:paraId="5B49178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 w:firstLineChars="200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年度决算支出总计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4097.78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万元。与上年相比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，减少1219.32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万元，主要是因为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根据上级指示开源节流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仔细规划公用经费节省开支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。</w:t>
      </w:r>
    </w:p>
    <w:p w14:paraId="005B1B8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（二）部门预算执行情况</w:t>
      </w:r>
    </w:p>
    <w:p w14:paraId="2598CE2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1. 基本支出情况</w:t>
      </w:r>
    </w:p>
    <w:p w14:paraId="62DBA14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年度财政拨款基本支出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3449.61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万元，其中：人员经费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2707.03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78.47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%,主要包括基本工资、津贴补贴、奖金、伙食补助费等；公用经费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742.57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21.53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%，主要包括办公费、印刷费、咨询费、手续费、专用材料费等。</w:t>
      </w:r>
    </w:p>
    <w:p w14:paraId="3EEF90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</w:t>
      </w:r>
      <w:r>
        <w:rPr>
          <w:rFonts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项目支出情况</w:t>
      </w:r>
    </w:p>
    <w:p w14:paraId="45D8EF9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（1）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年度课后服务项目支出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648.16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年为我校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5060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名学生提供了课后服务，开展了辅差培优班、书法、绘画、音乐、计算机等课后服务，减轻家长课外辅导的困难和经济支出，提升了学生各项素质。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年课后服务教师报酬支出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589.24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万元，课后服务设备、低值易耗品支出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48.7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万元，水电费支出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10.22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万元。</w:t>
      </w:r>
    </w:p>
    <w:p w14:paraId="06F5138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（三）“三公”经费使用和管理情况</w:t>
      </w:r>
    </w:p>
    <w:p w14:paraId="314C1D6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“三公经费”控制情况：贯彻落实上级有关精神，严格控制“三公经费”支出，取得了良好效果。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年度“三公经费”0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元。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同时，按照上级的要求，在政府门户网站对“三公”经费情况进行了公示。</w:t>
      </w:r>
    </w:p>
    <w:p w14:paraId="379A569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）资金结转和结余情况</w:t>
      </w:r>
    </w:p>
    <w:p w14:paraId="0401EE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年度无资金结转和结余</w:t>
      </w:r>
    </w:p>
    <w:p w14:paraId="4F2BD38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（五）部门整体支出管理与制度建设情况</w:t>
      </w:r>
    </w:p>
    <w:p w14:paraId="6FB9F53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在规范单位整体支出管理与制度建设方面，主要做到以下几点：</w:t>
      </w:r>
    </w:p>
    <w:p w14:paraId="174FA9A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1.提高单位人员的财务意识</w:t>
      </w:r>
    </w:p>
    <w:p w14:paraId="36FAED6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从单位领导出发，加强对各项政策和财经法规知识的学习，提高法规意识，对财务工作的内容进行规范化。提高财务人员的会计核算能力，确保会计数据的准确性和会计信息的真实性、合法性及有效性。</w:t>
      </w:r>
    </w:p>
    <w:p w14:paraId="41031C2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2.规范单位内部财务管理制度</w:t>
      </w:r>
    </w:p>
    <w:p w14:paraId="55431C6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遵循科学性和准确性原则，制定单位财务管理制度和内部控制管理制度，根据本单位经济活动的特征与规律，制定符合本单位的预算编制，明确支出项目和支出内容。贯彻落实厉行节约、严控“三公”经费、降低一般运行经费、压缩一般性支出，将预算管理做到精细化、科学化，使单位财务管理更加透明。</w:t>
      </w:r>
    </w:p>
    <w:p w14:paraId="2577CAD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3.加强监督机制</w:t>
      </w:r>
    </w:p>
    <w:p w14:paraId="093B3A4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结合本单位经济活动特征和支出管理需要，健全支出管理的内部控制制度，在确保工作流程科学、严谨的基础上，实行经济事项的决策、执行、监督等岗位职责分离。使得各项经济支出能够受到严格的控制和检查。</w:t>
      </w:r>
    </w:p>
    <w:p w14:paraId="53837E7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三、政府性基金预算支出情况</w:t>
      </w:r>
    </w:p>
    <w:p w14:paraId="2DF1D5E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年度本单位无政府性基金预算支出。</w:t>
      </w:r>
    </w:p>
    <w:p w14:paraId="36892C5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四、国有资本经营预算支出情况</w:t>
      </w:r>
    </w:p>
    <w:p w14:paraId="5D417B0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年度本单位无国有资本经营预算支出。</w:t>
      </w:r>
    </w:p>
    <w:p w14:paraId="403B7E8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五、社会保险基金预算支出情况</w:t>
      </w:r>
    </w:p>
    <w:p w14:paraId="59C0E71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年度无社会保险基金预算支出。</w:t>
      </w:r>
    </w:p>
    <w:p w14:paraId="38D4E90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六、部门整体支出绩效情况</w:t>
      </w:r>
    </w:p>
    <w:p w14:paraId="5921A74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（一）综合评价结论。</w:t>
      </w:r>
    </w:p>
    <w:p w14:paraId="549B984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年，我单位认真重视预算执行工作，依据国家的法律法规，加强预算治理，不断完善内部管理制度，取得了较好的预算执行效果，达到预期绩效目标，我单位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2024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年度部门整体支出绩效自评得分为优。</w:t>
      </w:r>
    </w:p>
    <w:p w14:paraId="7630819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（二）评价指标分析（或综合评价情况）。</w:t>
      </w:r>
    </w:p>
    <w:p w14:paraId="56E3CD4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1、产出指标完成情况分析。</w:t>
      </w:r>
    </w:p>
    <w:p w14:paraId="186FF5F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（1）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产出指标</w:t>
      </w:r>
    </w:p>
    <w:p w14:paraId="3C294A0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①教师培训人次指标，指标值为80人次以上，实际完成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246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人次以上，完成率100%。</w:t>
      </w:r>
    </w:p>
    <w:p w14:paraId="339B847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②开展校园足球比赛场次指标，指标值为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场及以上，实际完成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56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场，完成率100%。</w:t>
      </w:r>
    </w:p>
    <w:p w14:paraId="44072FB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③新招七年级学生指标，指标值为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1300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人以上，实际完成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1645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人，完成率100%。</w:t>
      </w:r>
    </w:p>
    <w:p w14:paraId="410E82B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④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中考800分以上人数指标，指标值为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50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人以上，实际完成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81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人以上，完成率100%。</w:t>
      </w:r>
    </w:p>
    <w:p w14:paraId="42BFC44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⑤教师培训合格率指标，指标值为100%，实际完成100%，完成率100%。</w:t>
      </w:r>
    </w:p>
    <w:p w14:paraId="35A4E2C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⑥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初三毕业合格率指标，指标值为90%以上，实际完成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100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%，完成率100%。</w:t>
      </w:r>
    </w:p>
    <w:p w14:paraId="180CD3F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⑦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专任教师合格率指标，指标值为100%，实际完成100%，完成率100%。</w:t>
      </w:r>
    </w:p>
    <w:p w14:paraId="155547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 w:firstLineChars="200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⑧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预算执行率指标，指标值为90%，实际完成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91.71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%，完成率100%。</w:t>
      </w:r>
    </w:p>
    <w:p w14:paraId="2238B60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⑨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教学任务完成及时率指标，指标值为100%，实际完成100%，完成率100%。</w:t>
      </w:r>
    </w:p>
    <w:p w14:paraId="59B178F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2、效益指标完成情况分析。</w:t>
      </w:r>
    </w:p>
    <w:p w14:paraId="12F7A0D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①初中辍学率指标，指标值为等于或小于2%，实际完成0%，完成率100%。</w:t>
      </w:r>
    </w:p>
    <w:p w14:paraId="0500441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②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提升学校知名度指标，指标值为逐步提升，我校知名度有所提升。</w:t>
      </w:r>
    </w:p>
    <w:p w14:paraId="2ABE98F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②学生适应社会能力指标，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指标值为逐步提高，实际完成为逐步提高，完成率100%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07A0884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/>
        <w:jc w:val="both"/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③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校园绿化率指标，指标值为逐步提高，实际完成为逐步提高，完成率100%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43A9F31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596" w:firstLineChars="200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④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教师的专业知识与技能指标，指标值为逐步提高，实际完成为逐步提高，完成率100%，我单位积极民主推选市级、县级、校级骨干教师、优秀教师，并利用他们的模范作用，影响和带动了一大批教师的成长。</w:t>
      </w:r>
    </w:p>
    <w:p w14:paraId="3430810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3、满意度指标完成情况分析。</w:t>
      </w:r>
    </w:p>
    <w:p w14:paraId="68A4BD1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①服务对象满意度指标，指标值＞95%，实际完成100%，完成率100%。</w:t>
      </w:r>
    </w:p>
    <w:p w14:paraId="5B9273C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七、存在的问题及原因分析</w:t>
      </w:r>
    </w:p>
    <w:p w14:paraId="560E848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1.公用经费控制有一定难度，基本为刚性支出。</w:t>
      </w:r>
    </w:p>
    <w:p w14:paraId="54CD9D7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2.预算编制合理性需要提高，预算执行力度还要进一步加强。</w:t>
      </w:r>
    </w:p>
    <w:p w14:paraId="222F713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3、学生管理还需加强。受划片招生政策的影响，我校生源结构以周边村委、进城务工、附近楼盘为主，大多综合素质不高，今年校园欺凌现象比较严重，学生心理问题严重，学生不文明现象很多，这也反映了我们在学生管理方面还是有欠缺。</w:t>
      </w:r>
    </w:p>
    <w:p w14:paraId="3E93FE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、安全隐患不容忽视。部分家长和师生安全意识淡薄，特别是交通安全方面，部分家长与学生驾乘摩托车闯红灯，不戴头盔；部分学生横穿马路不过人行横道；部分家长对家中摩托车监管不到位，学生飙车现象时有发生等。同时学校门禁系统要进一步规范，做到全天24小时正常值守，坚决做到不让任何一个学生违规离开校园。</w:t>
      </w:r>
    </w:p>
    <w:p w14:paraId="2C0CC4B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、家庭教育严重滞后。留守儿童、单亲儿童较多，由于家庭教育的缺失，叛逆，手机滥用、飙车、厌学、抽烟、谈恋爱甚至带有校园欺凌性质的现象时有发生，这需要我们全体教师凝心聚力，采用正确的教育方式施教，真正做到立德树人。</w:t>
      </w:r>
    </w:p>
    <w:p w14:paraId="331D84B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八、下一步改进措施</w:t>
      </w:r>
    </w:p>
    <w:p w14:paraId="66428B4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18196C9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2、合理使用有限的资金逐步改进设备设施，确保教育教学正常开展。</w:t>
      </w:r>
    </w:p>
    <w:p w14:paraId="3659309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3、加强学生的养成教育，培养学生良好的行为习惯，注重心理教育，促使学生健康成长，提升学生各项素质，提高学生的教育质量。</w:t>
      </w:r>
    </w:p>
    <w:p w14:paraId="7A3BE62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4、加强学生安全教育，每月开展专题安全教育，每天进行安全提醒，并定期进行安全隐患排查。</w:t>
      </w:r>
    </w:p>
    <w:p w14:paraId="6690BE9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5、加强学校与家长的联系，成立家委会，开展多形式的家庭教育讲座。通过家长会、家委会等方式提高家庭教育成效，采用正确的教育方式施教，真正做到立德树人。</w:t>
      </w:r>
    </w:p>
    <w:p w14:paraId="5C40559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</w:t>
      </w:r>
      <w:r>
        <w:rPr>
          <w:rFonts w:ascii="Times New Roman" w:hAnsi="Times New Roman" w:eastAsia="仿宋_GB2312" w:cs="Times New Roman"/>
          <w:b/>
          <w:bCs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九、其他需要说明的情况</w:t>
      </w:r>
    </w:p>
    <w:p w14:paraId="5277A49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en-US" w:bidi="ar-SA"/>
        </w:rPr>
        <w:t>　　无其他情况说明。</w:t>
      </w:r>
    </w:p>
    <w:p w14:paraId="63BC91F5">
      <w:pPr>
        <w:spacing w:line="252" w:lineRule="auto"/>
        <w:rPr>
          <w:color w:val="auto"/>
          <w:highlight w:val="none"/>
        </w:rPr>
      </w:pPr>
    </w:p>
    <w:p w14:paraId="468C0D63">
      <w:pPr>
        <w:pStyle w:val="2"/>
        <w:spacing w:line="600" w:lineRule="exact"/>
        <w:rPr>
          <w:color w:val="auto"/>
          <w:sz w:val="31"/>
          <w:szCs w:val="31"/>
          <w:highlight w:val="none"/>
        </w:rPr>
      </w:pPr>
      <w:r>
        <w:rPr>
          <w:color w:val="auto"/>
          <w:sz w:val="31"/>
          <w:szCs w:val="31"/>
          <w:highlight w:val="none"/>
        </w:rPr>
        <w:t>附件：1、部门整体支出绩效评价基础数据表</w:t>
      </w:r>
    </w:p>
    <w:p w14:paraId="510BE1A7">
      <w:pPr>
        <w:pStyle w:val="2"/>
        <w:spacing w:line="600" w:lineRule="exact"/>
        <w:ind w:firstLine="930" w:firstLineChars="300"/>
        <w:rPr>
          <w:color w:val="auto"/>
          <w:sz w:val="31"/>
          <w:szCs w:val="31"/>
          <w:highlight w:val="none"/>
        </w:rPr>
      </w:pPr>
      <w:r>
        <w:rPr>
          <w:color w:val="auto"/>
          <w:sz w:val="31"/>
          <w:szCs w:val="31"/>
          <w:highlight w:val="none"/>
        </w:rPr>
        <w:t>2、 部门整体支出绩效自评表</w:t>
      </w:r>
    </w:p>
    <w:p w14:paraId="7BF107B6">
      <w:pPr>
        <w:pStyle w:val="2"/>
        <w:spacing w:line="600" w:lineRule="exact"/>
        <w:ind w:firstLine="930" w:firstLineChars="300"/>
        <w:rPr>
          <w:rFonts w:hint="eastAsia"/>
          <w:color w:val="auto"/>
          <w:sz w:val="31"/>
          <w:szCs w:val="31"/>
          <w:highlight w:val="none"/>
          <w:lang w:eastAsia="zh-CN"/>
        </w:rPr>
      </w:pPr>
      <w:r>
        <w:rPr>
          <w:color w:val="auto"/>
          <w:sz w:val="31"/>
          <w:szCs w:val="31"/>
          <w:highlight w:val="none"/>
        </w:rPr>
        <w:t>3、 项目支出绩效自评表(每个一级项目一张表</w:t>
      </w:r>
      <w:r>
        <w:rPr>
          <w:rFonts w:hint="eastAsia"/>
          <w:color w:val="auto"/>
          <w:sz w:val="31"/>
          <w:szCs w:val="31"/>
          <w:highlight w:val="none"/>
          <w:lang w:eastAsia="zh-CN"/>
        </w:rPr>
        <w:t>）</w:t>
      </w:r>
    </w:p>
    <w:p w14:paraId="462B9DDE">
      <w:pPr>
        <w:spacing w:line="242" w:lineRule="auto"/>
        <w:rPr>
          <w:color w:val="auto"/>
          <w:highlight w:val="none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10B93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3BF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3BF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D2FDD">
    <w:pPr>
      <w:spacing w:before="1" w:line="177" w:lineRule="auto"/>
      <w:ind w:left="7940"/>
      <w:rPr>
        <w:rFonts w:ascii="宋体" w:hAnsi="宋体" w:eastAsia="宋体" w:cs="宋体"/>
        <w:sz w:val="32"/>
        <w:szCs w:val="32"/>
      </w:rPr>
    </w:pPr>
    <w:r>
      <w:rPr>
        <w:sz w:val="32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D26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D26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zU3ZDU2NzgxOTZkNTc1MGRiM2VhNmU5MjhmYmIifQ=="/>
  </w:docVars>
  <w:rsids>
    <w:rsidRoot w:val="38042692"/>
    <w:rsid w:val="047343F5"/>
    <w:rsid w:val="0ADD4CBE"/>
    <w:rsid w:val="0E39403D"/>
    <w:rsid w:val="0F5D63CD"/>
    <w:rsid w:val="0FE10DAC"/>
    <w:rsid w:val="0FEE7934"/>
    <w:rsid w:val="14DE2734"/>
    <w:rsid w:val="1B103296"/>
    <w:rsid w:val="1DD92799"/>
    <w:rsid w:val="21731A80"/>
    <w:rsid w:val="2BAA0794"/>
    <w:rsid w:val="2C02237E"/>
    <w:rsid w:val="346F4329"/>
    <w:rsid w:val="35CE0152"/>
    <w:rsid w:val="38042692"/>
    <w:rsid w:val="38EA0422"/>
    <w:rsid w:val="3DA75BC6"/>
    <w:rsid w:val="41E71E74"/>
    <w:rsid w:val="449248FC"/>
    <w:rsid w:val="49107A31"/>
    <w:rsid w:val="49D53B9D"/>
    <w:rsid w:val="49F41EC5"/>
    <w:rsid w:val="4EB33338"/>
    <w:rsid w:val="53F71F19"/>
    <w:rsid w:val="54C618EB"/>
    <w:rsid w:val="59367040"/>
    <w:rsid w:val="5A2152D2"/>
    <w:rsid w:val="5DEF3C61"/>
    <w:rsid w:val="5E3A1BB3"/>
    <w:rsid w:val="655A52E2"/>
    <w:rsid w:val="6D1C4A77"/>
    <w:rsid w:val="6F481423"/>
    <w:rsid w:val="763C15B6"/>
    <w:rsid w:val="7FB16B71"/>
    <w:rsid w:val="7FB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8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7620</Words>
  <Characters>8178</Characters>
  <Lines>0</Lines>
  <Paragraphs>0</Paragraphs>
  <TotalTime>373</TotalTime>
  <ScaleCrop>false</ScaleCrop>
  <LinksUpToDate>false</LinksUpToDate>
  <CharactersWithSpaces>8419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2024-04-22T02:18:00Z</dcterms:created>
  <dc:creator>Administrator</dc:creator>
  <cp:lastModifiedBy>･度</cp:lastModifiedBy>
  <cp:lastPrinted>2025-06-09T07:50:34Z</cp:lastPrinted>
  <dcterms:modified xsi:type="dcterms:W3CDTF">2025-06-09T07:51:53Z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A2EF6DD37B4E4CD09451EF84B216352E_13</vt:lpwstr>
  </property>
  <property fmtid="{D5CDD505-2E9C-101B-9397-08002B2CF9AE}" pid="4" name="KSOTemplateDocerSaveRecord">
    <vt:lpwstr>eyJoZGlkIjoiODJiMzU3ZDU2NzgxOTZkNTc1MGRiM2VhNmU5MjhmYmIiLCJ1c2VySWQiOiIyNzg3OTkzNzYifQ==</vt:lpwstr>
  </property>
</Properties>
</file>