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sz w:val="52"/>
          <w:szCs w:val="52"/>
        </w:rPr>
      </w:pPr>
      <w:r>
        <w:rPr>
          <w:rFonts w:hint="default" w:ascii="Times New Roman" w:hAnsi="Times New Roman" w:eastAsia="黑体" w:cs="Times New Roman"/>
          <w:sz w:val="24"/>
          <w:szCs w:val="24"/>
        </w:rPr>
        <w:t>附件</w:t>
      </w:r>
      <w:r>
        <w:rPr>
          <w:rFonts w:hint="default" w:ascii="Times New Roman" w:hAnsi="Times New Roman" w:eastAsia="黑体" w:cs="Times New Roman"/>
          <w:sz w:val="24"/>
          <w:szCs w:val="24"/>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2024年度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sz w:val="52"/>
          <w:szCs w:val="52"/>
        </w:rPr>
      </w:pPr>
      <w:r>
        <w:rPr>
          <w:rFonts w:hint="eastAsia" w:ascii="仿宋" w:hAnsi="仿宋" w:eastAsia="仿宋" w:cs="仿宋"/>
          <w:b/>
          <w:bCs/>
          <w:sz w:val="44"/>
          <w:szCs w:val="44"/>
          <w:lang w:val="en-US" w:eastAsia="zh-CN"/>
        </w:rPr>
        <w:t xml:space="preserve">中共临武县委网络安全和信息化委员会办公室部门整体支出绩效自评报告 </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pPr>
        <w:pStyle w:val="9"/>
        <w:rPr>
          <w:rFonts w:hint="default"/>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单位名称：</w:t>
      </w:r>
      <w:r>
        <w:rPr>
          <w:rFonts w:hint="default" w:ascii="Times New Roman" w:hAnsi="Times New Roman" w:eastAsia="仿宋" w:cs="Times New Roman"/>
          <w:sz w:val="32"/>
          <w:szCs w:val="32"/>
          <w:u w:val="single"/>
        </w:rPr>
        <w:t>（盖章）</w:t>
      </w: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  月  日</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（此页为封面）</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rPr>
      </w:pPr>
      <w:bookmarkStart w:id="0" w:name="_Toc280893384_WPSOffice_Level1"/>
      <w:r>
        <w:rPr>
          <w:rFonts w:hint="eastAsia" w:ascii="楷体" w:hAnsi="楷体" w:eastAsia="楷体" w:cs="楷体"/>
          <w:sz w:val="44"/>
          <w:szCs w:val="44"/>
        </w:rPr>
        <w:t>202</w:t>
      </w:r>
      <w:r>
        <w:rPr>
          <w:rFonts w:hint="eastAsia" w:ascii="楷体" w:hAnsi="楷体" w:eastAsia="楷体" w:cs="楷体"/>
          <w:sz w:val="44"/>
          <w:szCs w:val="44"/>
          <w:lang w:val="en-US" w:eastAsia="zh-CN"/>
        </w:rPr>
        <w:t>4</w:t>
      </w:r>
      <w:r>
        <w:rPr>
          <w:rFonts w:hint="eastAsia" w:ascii="楷体" w:hAnsi="楷体" w:eastAsia="楷体" w:cs="楷体"/>
          <w:sz w:val="44"/>
          <w:szCs w:val="44"/>
        </w:rPr>
        <w:t>年度</w:t>
      </w:r>
      <w:r>
        <w:rPr>
          <w:rFonts w:hint="eastAsia" w:ascii="楷体" w:hAnsi="楷体" w:eastAsia="楷体" w:cs="楷体"/>
          <w:sz w:val="44"/>
          <w:szCs w:val="44"/>
          <w:lang w:eastAsia="zh-CN"/>
        </w:rPr>
        <w:t>中共临武县委网络安全和信息化委员会办公室</w:t>
      </w:r>
      <w:r>
        <w:rPr>
          <w:rFonts w:hint="eastAsia" w:ascii="楷体" w:hAnsi="楷体" w:eastAsia="楷体" w:cs="楷体"/>
          <w:sz w:val="44"/>
          <w:szCs w:val="44"/>
        </w:rPr>
        <w:t>部门整体支出</w:t>
      </w:r>
      <w:bookmarkEnd w:id="0"/>
      <w:bookmarkStart w:id="1" w:name="_Toc1766696696_WPSOffice_Level1"/>
      <w:r>
        <w:rPr>
          <w:rFonts w:hint="eastAsia" w:ascii="楷体" w:hAnsi="楷体" w:eastAsia="楷体" w:cs="楷体"/>
          <w:sz w:val="44"/>
          <w:szCs w:val="44"/>
        </w:rPr>
        <w:t>绩效自评报告</w:t>
      </w:r>
      <w:bookmarkEnd w:id="1"/>
    </w:p>
    <w:p>
      <w:pPr>
        <w:keepNext w:val="0"/>
        <w:keepLines w:val="0"/>
        <w:pageBreakBefore w:val="0"/>
        <w:widowControl w:val="0"/>
        <w:kinsoku/>
        <w:wordWrap/>
        <w:overflowPunct/>
        <w:topLinePunct w:val="0"/>
        <w:autoSpaceDE/>
        <w:autoSpaceDN/>
        <w:bidi w:val="0"/>
        <w:adjustRightInd/>
        <w:snapToGrid/>
        <w:spacing w:line="360" w:lineRule="auto"/>
        <w:ind w:firstLine="596"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一、部门（单位）基本情况</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val="0"/>
          <w:bCs w:val="0"/>
          <w:i w:val="0"/>
          <w:iCs w:val="0"/>
          <w:caps w:val="0"/>
          <w:color w:val="000000"/>
          <w:spacing w:val="0"/>
          <w:sz w:val="32"/>
          <w:szCs w:val="32"/>
          <w:lang w:eastAsia="zh-CN"/>
        </w:rPr>
      </w:pPr>
      <w:r>
        <w:rPr>
          <w:rFonts w:hint="eastAsia" w:ascii="楷体" w:hAnsi="楷体" w:eastAsia="楷体" w:cs="楷体"/>
          <w:b w:val="0"/>
          <w:bCs w:val="0"/>
          <w:i w:val="0"/>
          <w:iCs w:val="0"/>
          <w:caps w:val="0"/>
          <w:color w:val="000000"/>
          <w:spacing w:val="0"/>
          <w:sz w:val="32"/>
          <w:szCs w:val="32"/>
          <w:lang w:eastAsia="zh-CN"/>
        </w:rPr>
        <w:t>（一）机构设置情况</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val="0"/>
          <w:bCs w:val="0"/>
          <w:i w:val="0"/>
          <w:iCs w:val="0"/>
          <w:caps w:val="0"/>
          <w:color w:val="000000"/>
          <w:spacing w:val="0"/>
          <w:sz w:val="32"/>
          <w:szCs w:val="32"/>
          <w:lang w:eastAsia="zh-CN"/>
        </w:rPr>
      </w:pPr>
      <w:r>
        <w:rPr>
          <w:rFonts w:hint="eastAsia" w:ascii="楷体" w:hAnsi="楷体" w:eastAsia="楷体" w:cs="楷体"/>
          <w:b w:val="0"/>
          <w:bCs w:val="0"/>
          <w:i w:val="0"/>
          <w:iCs w:val="0"/>
          <w:caps w:val="0"/>
          <w:color w:val="000000"/>
          <w:spacing w:val="0"/>
          <w:sz w:val="32"/>
          <w:szCs w:val="32"/>
          <w:lang w:eastAsia="zh-CN"/>
        </w:rPr>
        <w:t>中共临武县委网络安全和信息化委员会办公室于2019年3月份新成立，为中共临武县委网络安全和信息化委员会的办事机构，作为县委工作机关，为正科级，加挂县互联网信息办公室牌子，内设临武县网络安全和舆情监测中心1个股级公益一类事业单位。</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val="0"/>
          <w:bCs w:val="0"/>
          <w:i w:val="0"/>
          <w:iCs w:val="0"/>
          <w:caps w:val="0"/>
          <w:color w:val="000000"/>
          <w:spacing w:val="0"/>
          <w:sz w:val="32"/>
          <w:szCs w:val="32"/>
          <w:lang w:eastAsia="zh-CN"/>
        </w:rPr>
      </w:pPr>
      <w:r>
        <w:rPr>
          <w:rFonts w:hint="eastAsia" w:ascii="楷体" w:hAnsi="楷体" w:eastAsia="楷体" w:cs="楷体"/>
          <w:b w:val="0"/>
          <w:bCs w:val="0"/>
          <w:i w:val="0"/>
          <w:iCs w:val="0"/>
          <w:caps w:val="0"/>
          <w:color w:val="000000"/>
          <w:spacing w:val="0"/>
          <w:sz w:val="32"/>
          <w:szCs w:val="32"/>
          <w:lang w:eastAsia="zh-CN"/>
        </w:rPr>
        <w:t>（二）人员编制情况</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val="0"/>
          <w:bCs w:val="0"/>
          <w:i w:val="0"/>
          <w:iCs w:val="0"/>
          <w:caps w:val="0"/>
          <w:color w:val="000000"/>
          <w:spacing w:val="0"/>
          <w:sz w:val="32"/>
          <w:szCs w:val="32"/>
          <w:lang w:eastAsia="zh-CN"/>
        </w:rPr>
      </w:pPr>
      <w:r>
        <w:rPr>
          <w:rFonts w:hint="eastAsia" w:ascii="楷体" w:hAnsi="楷体" w:eastAsia="楷体" w:cs="楷体"/>
          <w:b w:val="0"/>
          <w:bCs w:val="0"/>
          <w:i w:val="0"/>
          <w:iCs w:val="0"/>
          <w:caps w:val="0"/>
          <w:color w:val="000000"/>
          <w:spacing w:val="0"/>
          <w:sz w:val="32"/>
          <w:szCs w:val="32"/>
          <w:lang w:eastAsia="zh-CN"/>
        </w:rPr>
        <w:t>中共临武县委网络安全和信息化委员会办公室核定行政编制4名，其中领导职数:主任1名，副主任2名，目前实有行政编制4人。内设临武县网络安全和舆情监测中心1个股级公益一类事业单位，核定全额拨款事业编5名，目前实有全额拨款事业编2人。</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val="0"/>
          <w:bCs w:val="0"/>
          <w:i w:val="0"/>
          <w:iCs w:val="0"/>
          <w:caps w:val="0"/>
          <w:color w:val="000000"/>
          <w:spacing w:val="0"/>
          <w:sz w:val="32"/>
          <w:szCs w:val="32"/>
          <w:lang w:eastAsia="zh-CN"/>
        </w:rPr>
      </w:pP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val="0"/>
          <w:bCs w:val="0"/>
          <w:i w:val="0"/>
          <w:iCs w:val="0"/>
          <w:caps w:val="0"/>
          <w:color w:val="000000"/>
          <w:spacing w:val="0"/>
          <w:sz w:val="32"/>
          <w:szCs w:val="32"/>
          <w:lang w:eastAsia="zh-CN"/>
        </w:rPr>
      </w:pPr>
      <w:r>
        <w:rPr>
          <w:rFonts w:hint="eastAsia" w:ascii="楷体" w:hAnsi="楷体" w:eastAsia="楷体" w:cs="楷体"/>
          <w:b w:val="0"/>
          <w:bCs w:val="0"/>
          <w:i w:val="0"/>
          <w:iCs w:val="0"/>
          <w:caps w:val="0"/>
          <w:color w:val="000000"/>
          <w:spacing w:val="0"/>
          <w:sz w:val="32"/>
          <w:szCs w:val="32"/>
          <w:lang w:eastAsia="zh-CN"/>
        </w:rPr>
        <w:t>（三）单位职责职能</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楷体" w:hAnsi="楷体" w:eastAsia="楷体" w:cs="楷体"/>
          <w:b w:val="0"/>
          <w:bCs w:val="0"/>
          <w:i w:val="0"/>
          <w:iCs w:val="0"/>
          <w:caps w:val="0"/>
          <w:color w:val="000000"/>
          <w:spacing w:val="0"/>
          <w:sz w:val="32"/>
          <w:szCs w:val="32"/>
          <w:lang w:eastAsia="zh-CN"/>
        </w:rPr>
      </w:pPr>
      <w:r>
        <w:rPr>
          <w:rFonts w:hint="eastAsia" w:ascii="楷体" w:hAnsi="楷体" w:eastAsia="楷体" w:cs="楷体"/>
          <w:b w:val="0"/>
          <w:bCs w:val="0"/>
          <w:i w:val="0"/>
          <w:iCs w:val="0"/>
          <w:caps w:val="0"/>
          <w:color w:val="000000"/>
          <w:spacing w:val="0"/>
          <w:sz w:val="32"/>
          <w:szCs w:val="32"/>
          <w:lang w:eastAsia="zh-CN"/>
        </w:rPr>
        <w:t>此项内容涉密，依法不予公开。</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val="0"/>
          <w:bCs w:val="0"/>
          <w:i w:val="0"/>
          <w:iCs w:val="0"/>
          <w:caps w:val="0"/>
          <w:color w:val="000000"/>
          <w:spacing w:val="0"/>
          <w:sz w:val="32"/>
          <w:szCs w:val="32"/>
          <w:lang w:val="en-US" w:eastAsia="zh-CN"/>
        </w:rPr>
      </w:pPr>
      <w:r>
        <w:rPr>
          <w:rFonts w:hint="eastAsia" w:ascii="楷体" w:hAnsi="楷体" w:eastAsia="楷体" w:cs="楷体"/>
          <w:b w:val="0"/>
          <w:bCs w:val="0"/>
          <w:i w:val="0"/>
          <w:iCs w:val="0"/>
          <w:caps w:val="0"/>
          <w:color w:val="000000"/>
          <w:spacing w:val="0"/>
          <w:sz w:val="32"/>
          <w:szCs w:val="32"/>
          <w:lang w:val="en-US" w:eastAsia="zh-CN"/>
        </w:rPr>
        <w:t>（四）绩效目标设定情况</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楷体" w:hAnsi="楷体" w:eastAsia="楷体" w:cs="楷体"/>
          <w:i w:val="0"/>
          <w:iCs w:val="0"/>
          <w:caps w:val="0"/>
          <w:color w:val="000000"/>
          <w:spacing w:val="0"/>
          <w:sz w:val="30"/>
          <w:szCs w:val="30"/>
          <w:lang w:eastAsia="zh-CN"/>
        </w:rPr>
      </w:pPr>
      <w:r>
        <w:rPr>
          <w:rFonts w:hint="eastAsia" w:ascii="楷体" w:hAnsi="楷体" w:eastAsia="楷体" w:cs="楷体"/>
          <w:i w:val="0"/>
          <w:iCs w:val="0"/>
          <w:caps w:val="0"/>
          <w:color w:val="000000"/>
          <w:spacing w:val="0"/>
          <w:sz w:val="30"/>
          <w:szCs w:val="30"/>
          <w:lang w:val="en-US" w:eastAsia="zh-CN"/>
        </w:rPr>
        <w:t>根据绩效评价的相关要求，本单位设立了整体支出年度绩效指标和项目支出绩效指标。绩效指标按三项一级绩效指标，七项二级指标，同时设立了相应的绩效指标。根据定量分析及定性分析，综合绩效评价打分，对资金进行自评。</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楷体" w:hAnsi="楷体" w:eastAsia="楷体" w:cs="楷体"/>
          <w:b/>
          <w:bCs/>
          <w:sz w:val="32"/>
          <w:szCs w:val="32"/>
        </w:rPr>
      </w:pPr>
      <w:r>
        <w:rPr>
          <w:rFonts w:hint="eastAsia" w:ascii="楷体" w:hAnsi="楷体" w:eastAsia="楷体" w:cs="楷体"/>
          <w:b/>
          <w:bCs/>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360" w:lineRule="auto"/>
        <w:ind w:firstLine="596"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基本支出为保障我单位正常运转、完成日常工作任务而发生的各项支出，包括用于在职人员基本工资、津贴补贴等人员经费以及办公费、印刷费、水电费、办公设备购置等日常公用经费。</w:t>
      </w:r>
    </w:p>
    <w:p>
      <w:pPr>
        <w:pStyle w:val="10"/>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val="en-US" w:eastAsia="zh-CN"/>
        </w:rPr>
        <w:t>1、基本支出预算情况</w:t>
      </w:r>
    </w:p>
    <w:p>
      <w:pPr>
        <w:pStyle w:val="10"/>
        <w:keepNext w:val="0"/>
        <w:keepLines w:val="0"/>
        <w:pageBreakBefore w:val="0"/>
        <w:widowControl w:val="0"/>
        <w:kinsoku/>
        <w:wordWrap/>
        <w:overflowPunct/>
        <w:topLinePunct w:val="0"/>
        <w:autoSpaceDE/>
        <w:autoSpaceDN/>
        <w:bidi w:val="0"/>
        <w:adjustRightInd/>
        <w:snapToGrid/>
        <w:spacing w:line="360" w:lineRule="auto"/>
        <w:ind w:firstLine="643"/>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2024年年初预算数为84.64万元，是指为保障我单位正常运转、完成日常工作任务而发生的各项支出。其中：①工资福利支出72.67万元，包括用于基本工资、津贴补贴、社保缴费、住房公积金等。②对个人和家庭补助支出0万元，包括离退休费、抚恤金、生活补助等。③商品和服务支出11.97万元，包括办公费、交通费、会议费、印刷费、水电费、物业费、办公设备购置等日常公用经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96" w:firstLineChars="200"/>
        <w:textAlignment w:val="auto"/>
        <w:rPr>
          <w:rFonts w:hint="eastAsia" w:ascii="Times New Roman" w:hAnsi="Times New Roman" w:eastAsia="楷体_GB2312" w:cs="Times New Roman"/>
          <w:b w:val="0"/>
          <w:bCs/>
          <w:kern w:val="2"/>
          <w:sz w:val="32"/>
          <w:szCs w:val="32"/>
          <w:lang w:val="en-US" w:eastAsia="zh-CN" w:bidi="ar-SA"/>
        </w:rPr>
      </w:pPr>
      <w:r>
        <w:rPr>
          <w:rFonts w:hint="eastAsia" w:ascii="Times New Roman" w:hAnsi="Times New Roman" w:eastAsia="楷体_GB2312" w:cs="Times New Roman"/>
          <w:b w:val="0"/>
          <w:bCs/>
          <w:kern w:val="2"/>
          <w:sz w:val="32"/>
          <w:szCs w:val="32"/>
          <w:lang w:val="en-US" w:eastAsia="zh-CN" w:bidi="ar-SA"/>
        </w:rPr>
        <w:t>2、基本支出决算情况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2024年基本支出总额85.61万元，其中：其他收入及事业收入支出0万元；一般公共预算财政拨款基本支出决算总额85.61万元（其中：工资福利支出73.64万元 ，商品和服务支出11.97万元，对个人和家庭的补助0万元，资本性支出0万元）。一般公共预算财政拨款基本支出决算比全年预算87.04万元减少1.43万元，预算执行率为98.36%。</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default" w:ascii="Times New Roman" w:hAnsi="Times New Roman" w:eastAsia="楷体_GB2312" w:cs="Times New Roman"/>
          <w:b w:val="0"/>
          <w:bCs/>
          <w:sz w:val="32"/>
          <w:szCs w:val="32"/>
        </w:rPr>
      </w:pPr>
      <w:r>
        <w:rPr>
          <w:rFonts w:hint="eastAsia" w:ascii="楷体" w:hAnsi="楷体" w:eastAsia="楷体" w:cs="楷体"/>
          <w:i w:val="0"/>
          <w:iCs w:val="0"/>
          <w:caps w:val="0"/>
          <w:color w:val="000000"/>
          <w:spacing w:val="0"/>
          <w:kern w:val="2"/>
          <w:sz w:val="30"/>
          <w:szCs w:val="30"/>
          <w:lang w:val="en-US" w:eastAsia="zh-CN" w:bidi="ar-SA"/>
        </w:rPr>
        <w:t>2024年“三公”经费决算数为0.08万元，其中，公务接待费0.08万元，公务用车购置及运行费0万元（其中，公务用车购置费0万元，公务用车运行费0万元），因公出国（境）费0万元。2024年“三公”经费决算数较2024年预算数有所减少，主要是厉行节约、控制标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default" w:ascii="楷体" w:hAnsi="楷体" w:eastAsia="楷体" w:cs="楷体"/>
          <w:i w:val="0"/>
          <w:iCs w:val="0"/>
          <w:caps w:val="0"/>
          <w:color w:val="000000"/>
          <w:spacing w:val="0"/>
          <w:kern w:val="2"/>
          <w:sz w:val="30"/>
          <w:szCs w:val="30"/>
          <w:lang w:val="en-US" w:eastAsia="zh-CN" w:bidi="ar-SA"/>
        </w:rPr>
      </w:pPr>
      <w:r>
        <w:rPr>
          <w:rFonts w:hint="default" w:ascii="楷体" w:hAnsi="楷体" w:eastAsia="楷体" w:cs="楷体"/>
          <w:i w:val="0"/>
          <w:iCs w:val="0"/>
          <w:caps w:val="0"/>
          <w:color w:val="000000"/>
          <w:spacing w:val="0"/>
          <w:kern w:val="2"/>
          <w:sz w:val="30"/>
          <w:szCs w:val="30"/>
          <w:lang w:val="en-US" w:eastAsia="zh-CN" w:bidi="ar-SA"/>
        </w:rPr>
        <w:t>（二）项目支出情况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1、项目支出预算情况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2024年年初预算数为77万元，其中：其他资金支出0万元，政府性基金支出0万元，一般公共预算财政拨款支77万元，是指单位为完成特定行政工作任务或事业发展目标而发生的支出。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2、项目支出决算情况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2024年项目支出总额110.14万元，其中：其他资金支出0.02万元，政府性基金支出0万元，一般公共预算财政拨款支出110.12万元（工资福利支出0万元，商品和服务支出94.82万元，办公费、印刷费、差旅费、维修费、培训费、公务接待费、专用材料费、劳务费、委托业务费、公务用车运行维护费、其他商品和服务支出，对个人和家庭的补助0万元，资本性支出（基本建设）0万元，资本性支出15.30万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default"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业务工作经费110.12万元，其中：网评队伍建设专项资金4万元、网信专项业务经费15.14万元、专网建设经费25万元、网络安全及网络内容巡查专项资金56万元、网络舆情监测和应急处置专项资金8万元、 网络系统建设维护资金2万元。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项目支出年初预算数77万元，全年预算数110.55万元，主要是年中追加了项目经费，项目预算增加。项目支出决算比全年预算数110.55万元减少0.41万元，预算执行率为99.63%。</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三、政府性基金预算支出情况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本单位无政府性基金预算支出。</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default" w:ascii="楷体" w:hAnsi="楷体" w:eastAsia="楷体" w:cs="楷体"/>
          <w:b/>
          <w:bCs/>
          <w:sz w:val="32"/>
          <w:szCs w:val="32"/>
        </w:rPr>
      </w:pPr>
      <w:r>
        <w:rPr>
          <w:rFonts w:hint="default" w:ascii="楷体" w:hAnsi="楷体" w:eastAsia="楷体" w:cs="楷体"/>
          <w:b/>
          <w:bCs/>
          <w:sz w:val="32"/>
          <w:szCs w:val="32"/>
        </w:rPr>
        <w:t>四、国有资本经营预算支出情况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本单位无国有资本经营预算支出。</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default" w:ascii="楷体" w:hAnsi="楷体" w:eastAsia="楷体" w:cs="楷体"/>
          <w:b/>
          <w:bCs/>
          <w:sz w:val="32"/>
          <w:szCs w:val="32"/>
        </w:rPr>
      </w:pPr>
      <w:r>
        <w:rPr>
          <w:rFonts w:hint="default" w:ascii="楷体" w:hAnsi="楷体" w:eastAsia="楷体" w:cs="楷体"/>
          <w:b/>
          <w:bCs/>
          <w:sz w:val="32"/>
          <w:szCs w:val="32"/>
        </w:rPr>
        <w:t>五、社会保险基金预算支出情况</w:t>
      </w:r>
    </w:p>
    <w:p>
      <w:pPr>
        <w:keepNext w:val="0"/>
        <w:keepLines w:val="0"/>
        <w:pageBreakBefore w:val="0"/>
        <w:widowControl w:val="0"/>
        <w:kinsoku/>
        <w:wordWrap/>
        <w:overflowPunct/>
        <w:topLinePunct w:val="0"/>
        <w:autoSpaceDE/>
        <w:autoSpaceDN/>
        <w:bidi w:val="0"/>
        <w:adjustRightInd/>
        <w:snapToGrid/>
        <w:spacing w:line="360" w:lineRule="auto"/>
        <w:ind w:firstLine="645"/>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本单位无社会保险基金预算支出。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96" w:firstLineChars="200"/>
        <w:jc w:val="left"/>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w:t>
      </w:r>
      <w:r>
        <w:rPr>
          <w:rFonts w:hint="default" w:ascii="楷体" w:hAnsi="楷体" w:eastAsia="楷体" w:cs="楷体"/>
          <w:b/>
          <w:bCs/>
          <w:kern w:val="2"/>
          <w:sz w:val="32"/>
          <w:szCs w:val="32"/>
          <w:lang w:val="en-US" w:eastAsia="zh-CN" w:bidi="ar-SA"/>
        </w:rPr>
        <w:t>部门整体支出绩效情况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1、预算执行情况分析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分值10分，自评得分9.91分。我单位2024年制度的年初预算161.64万元，全年预算197.57万元，预算完成99.07%。</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2、产出指标情况分析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分值50分，自评得分47.50分。设定部门履职4个二级指标分别是数量指标、质量指标、时效指标、成本指标，二级指标下分别定11个三级指标，其中成本指标中的项目指标实际完成值大于年度指标值，扣除2.50分，其他9项指标均无扣分现象。处置网络舆情件数113件；办理网民留言210条；处理违规账号33个；纠正网站问题5个；清除无效微信群组511个；处置网络舆情完成率102.73%；办理网民留言率100%；删减率61.64万元；基本支出控制在85.61万元以内；项目支出控制在110.14万元以内。各项指标在2024年1月至2024年12月圆满完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3、效益指标情况分析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分值30分，自评得分30分。设定效益指标为1个社会效益指标，二级指标设定3个三级指标，其中确保我县网络安全总体稳定；是否维护好网络意识形态安全；确保我县舆情平稳可控。</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4、满意度指标情况分析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分值10分，自评得分10分。设定满意度指标为群众满意度，人民群众满意度超过95%，无扣分情况，本年度工作获得服务对象一致满意。</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七、</w:t>
      </w:r>
      <w:r>
        <w:rPr>
          <w:rFonts w:hint="default" w:ascii="楷体" w:hAnsi="楷体" w:eastAsia="楷体" w:cs="楷体"/>
          <w:b/>
          <w:bCs/>
          <w:kern w:val="2"/>
          <w:sz w:val="32"/>
          <w:szCs w:val="32"/>
          <w:lang w:val="en-US" w:eastAsia="zh-CN" w:bidi="ar-SA"/>
        </w:rPr>
        <w:t>存在的问题及原因分析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1、因我办在申报绩效目标时，经验不足，导致申报的部分绩效指标不够明确、可衡量性不高。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default" w:ascii="楷体" w:hAnsi="楷体" w:eastAsia="楷体" w:cs="楷体"/>
          <w:b/>
          <w:bCs/>
          <w:kern w:val="2"/>
          <w:sz w:val="32"/>
          <w:szCs w:val="32"/>
          <w:lang w:val="en-US" w:eastAsia="zh-CN" w:bidi="ar-SA"/>
        </w:rPr>
      </w:pPr>
      <w:r>
        <w:rPr>
          <w:rFonts w:hint="eastAsia" w:ascii="楷体" w:hAnsi="楷体" w:eastAsia="楷体" w:cs="楷体"/>
          <w:i w:val="0"/>
          <w:iCs w:val="0"/>
          <w:caps w:val="0"/>
          <w:color w:val="000000"/>
          <w:spacing w:val="0"/>
          <w:kern w:val="2"/>
          <w:sz w:val="30"/>
          <w:szCs w:val="30"/>
          <w:lang w:val="en-US" w:eastAsia="zh-CN" w:bidi="ar-SA"/>
        </w:rPr>
        <w:t>　　2、预算编制工作有待细化。预算编制不够明确和细化预算编制的合理性需要提高，预算执行力度还要进一步加强。</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default" w:ascii="楷体" w:hAnsi="楷体" w:eastAsia="楷体" w:cs="楷体"/>
          <w:b/>
          <w:bCs/>
          <w:kern w:val="2"/>
          <w:sz w:val="32"/>
          <w:szCs w:val="32"/>
          <w:lang w:val="en-US" w:eastAsia="zh-CN" w:bidi="ar-SA"/>
        </w:rPr>
      </w:pPr>
      <w:r>
        <w:rPr>
          <w:rFonts w:hint="default" w:ascii="楷体" w:hAnsi="楷体" w:eastAsia="楷体" w:cs="楷体"/>
          <w:b/>
          <w:bCs/>
          <w:kern w:val="2"/>
          <w:sz w:val="32"/>
          <w:szCs w:val="32"/>
          <w:lang w:val="en-US" w:eastAsia="zh-CN" w:bidi="ar-SA"/>
        </w:rPr>
        <w:t>八、下一步改进措施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进一步加强相关业务知识的学习，加强与财政部门的沟通对接，在财政部门的指导下科学进行预算绩效申报，将全年工作任务细化分解为具体的工作目标，并尽量采取定量的方式制定清晰、可衡量的绩效指标。</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default" w:ascii="楷体" w:hAnsi="楷体" w:eastAsia="楷体" w:cs="楷体"/>
          <w:b/>
          <w:bCs/>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default" w:ascii="楷体" w:hAnsi="楷体" w:eastAsia="楷体" w:cs="楷体"/>
          <w:b/>
          <w:bCs/>
          <w:kern w:val="2"/>
          <w:sz w:val="32"/>
          <w:szCs w:val="32"/>
          <w:lang w:val="en-US" w:eastAsia="zh-CN" w:bidi="ar-SA"/>
        </w:rPr>
      </w:pPr>
      <w:r>
        <w:rPr>
          <w:rFonts w:hint="default" w:ascii="楷体" w:hAnsi="楷体" w:eastAsia="楷体" w:cs="楷体"/>
          <w:b/>
          <w:bCs/>
          <w:kern w:val="2"/>
          <w:sz w:val="32"/>
          <w:szCs w:val="32"/>
          <w:lang w:val="en-US" w:eastAsia="zh-CN" w:bidi="ar-SA"/>
        </w:rPr>
        <w:t>九、部门整体支出绩效自评结果拟应用和公开情况</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（一）综合评价结果</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eastAsia" w:ascii="楷体" w:hAnsi="楷体" w:eastAsia="楷体" w:cs="楷体"/>
          <w:i w:val="0"/>
          <w:iCs w:val="0"/>
          <w:caps w:val="0"/>
          <w:color w:val="000000"/>
          <w:spacing w:val="0"/>
          <w:kern w:val="2"/>
          <w:sz w:val="30"/>
          <w:szCs w:val="30"/>
          <w:highlight w:val="none"/>
          <w:lang w:val="en-US" w:eastAsia="zh-CN" w:bidi="ar-SA"/>
        </w:rPr>
      </w:pPr>
      <w:r>
        <w:rPr>
          <w:rFonts w:hint="eastAsia" w:ascii="楷体" w:hAnsi="楷体" w:eastAsia="楷体" w:cs="楷体"/>
          <w:i w:val="0"/>
          <w:iCs w:val="0"/>
          <w:caps w:val="0"/>
          <w:color w:val="000000"/>
          <w:spacing w:val="0"/>
          <w:kern w:val="2"/>
          <w:sz w:val="30"/>
          <w:szCs w:val="30"/>
          <w:highlight w:val="none"/>
          <w:lang w:val="en-US" w:eastAsia="zh-CN" w:bidi="ar-SA"/>
        </w:rPr>
        <w:t>根据部门整体绩效评定指标对各分项进行量化评价，自评得分93.41分，自评等级为优。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（二）自评结果拟应用和公开情况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1、本单位将自评结果作为本单位完善政策和改进管理的重要依据，作为以后年度预算安排和编制的依据，在项目执行过程中，及时掌握项目的进展和资金使用情况，有效预防及纠正偏离预算绩效目标的行为。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default" w:ascii="楷体" w:hAnsi="楷体" w:eastAsia="楷体" w:cs="楷体"/>
          <w:b/>
          <w:bCs/>
          <w:kern w:val="2"/>
          <w:sz w:val="32"/>
          <w:szCs w:val="32"/>
          <w:lang w:val="en-US" w:eastAsia="zh-CN" w:bidi="ar-SA"/>
        </w:rPr>
      </w:pPr>
      <w:r>
        <w:rPr>
          <w:rFonts w:hint="eastAsia" w:ascii="楷体" w:hAnsi="楷体" w:eastAsia="楷体" w:cs="楷体"/>
          <w:i w:val="0"/>
          <w:iCs w:val="0"/>
          <w:caps w:val="0"/>
          <w:color w:val="000000"/>
          <w:spacing w:val="0"/>
          <w:kern w:val="2"/>
          <w:sz w:val="30"/>
          <w:szCs w:val="30"/>
          <w:lang w:val="en-US" w:eastAsia="zh-CN" w:bidi="ar-SA"/>
        </w:rPr>
        <w:t>2、绩效评价的结果按照财政有关的要求在主管部门的门户网站公开本自评报告，接受社会大众监督。</w:t>
      </w:r>
    </w:p>
    <w:p>
      <w:pPr>
        <w:pStyle w:val="10"/>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default" w:ascii="楷体" w:hAnsi="楷体" w:eastAsia="楷体" w:cs="楷体"/>
          <w:b/>
          <w:bCs/>
          <w:kern w:val="2"/>
          <w:sz w:val="32"/>
          <w:szCs w:val="32"/>
          <w:lang w:val="en-US" w:eastAsia="zh-CN" w:bidi="ar-SA"/>
        </w:rPr>
      </w:pPr>
      <w:r>
        <w:rPr>
          <w:rFonts w:hint="default" w:ascii="楷体" w:hAnsi="楷体" w:eastAsia="楷体" w:cs="楷体"/>
          <w:b/>
          <w:bCs/>
          <w:kern w:val="2"/>
          <w:sz w:val="32"/>
          <w:szCs w:val="32"/>
          <w:lang w:val="en-US" w:eastAsia="zh-CN" w:bidi="ar-SA"/>
        </w:rPr>
        <w:t>十、其他需要说明的情况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56" w:firstLineChars="200"/>
        <w:jc w:val="left"/>
        <w:textAlignment w:val="auto"/>
        <w:rPr>
          <w:rFonts w:hint="eastAsia" w:ascii="楷体" w:hAnsi="楷体" w:eastAsia="楷体" w:cs="楷体"/>
          <w:i w:val="0"/>
          <w:iCs w:val="0"/>
          <w:caps w:val="0"/>
          <w:color w:val="000000"/>
          <w:spacing w:val="0"/>
          <w:kern w:val="2"/>
          <w:sz w:val="30"/>
          <w:szCs w:val="30"/>
          <w:lang w:val="en-US" w:eastAsia="zh-CN" w:bidi="ar-SA"/>
        </w:rPr>
      </w:pPr>
      <w:r>
        <w:rPr>
          <w:rFonts w:hint="eastAsia" w:ascii="楷体" w:hAnsi="楷体" w:eastAsia="楷体" w:cs="楷体"/>
          <w:i w:val="0"/>
          <w:iCs w:val="0"/>
          <w:caps w:val="0"/>
          <w:color w:val="000000"/>
          <w:spacing w:val="0"/>
          <w:kern w:val="2"/>
          <w:sz w:val="30"/>
          <w:szCs w:val="30"/>
          <w:lang w:val="en-US" w:eastAsia="zh-CN" w:bidi="ar-SA"/>
        </w:rPr>
        <w:t>无其他需要说明情况。</w:t>
      </w:r>
    </w:p>
    <w:p>
      <w:pPr>
        <w:keepNext w:val="0"/>
        <w:keepLines w:val="0"/>
        <w:pageBreakBefore w:val="0"/>
        <w:widowControl w:val="0"/>
        <w:kinsoku/>
        <w:wordWrap/>
        <w:overflowPunct/>
        <w:topLinePunct w:val="0"/>
        <w:autoSpaceDE/>
        <w:autoSpaceDN/>
        <w:bidi w:val="0"/>
        <w:adjustRightInd/>
        <w:snapToGrid/>
        <w:spacing w:line="360" w:lineRule="auto"/>
        <w:ind w:firstLine="645"/>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firstLine="0" w:firstLineChars="0"/>
        <w:jc w:val="both"/>
        <w:textAlignment w:val="auto"/>
        <w:rPr>
          <w:rFonts w:hint="default" w:ascii="Times New Roman" w:hAnsi="Times New Roman" w:eastAsia="仿宋" w:cs="Times New Roman"/>
          <w:kern w:val="0"/>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val="0"/>
        <w:spacing w:line="560" w:lineRule="exact"/>
        <w:ind w:firstLine="596" w:firstLineChars="200"/>
        <w:jc w:val="left"/>
        <w:textAlignment w:val="auto"/>
        <w:rPr>
          <w:rFonts w:hint="default" w:ascii="仿宋_GB2312" w:hAnsi="仿宋_GB2312" w:cs="仿宋_GB2312"/>
          <w:b w:val="0"/>
          <w:bCs w:val="0"/>
          <w:sz w:val="32"/>
          <w:szCs w:val="32"/>
          <w:lang w:val="en-US" w:eastAsia="zh-CN"/>
        </w:rPr>
      </w:pPr>
      <w:r>
        <w:rPr>
          <w:rFonts w:hint="default" w:ascii="Times New Roman" w:hAnsi="Times New Roman" w:eastAsia="黑体" w:cs="Times New Roman"/>
          <w:sz w:val="32"/>
          <w:szCs w:val="32"/>
        </w:rPr>
        <w:br w:type="page"/>
      </w:r>
    </w:p>
    <w:sectPr>
      <w:footerReference r:id="rId3" w:type="default"/>
      <w:pgSz w:w="11906" w:h="16838"/>
      <w:pgMar w:top="1644" w:right="1644" w:bottom="1644" w:left="1644" w:header="851" w:footer="1417" w:gutter="0"/>
      <w:cols w:space="0" w:num="1"/>
      <w:rtlGutter w:val="0"/>
      <w:docGrid w:type="linesAndChars" w:linePitch="61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9"/>
  <w:drawingGridVerticalSpacing w:val="30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ZjQxNDAzN2I1MzMwN2RhYzQzMGY3ZGEzNTkzZjAifQ=="/>
    <w:docVar w:name="KSO_WPS_MARK_KEY" w:val="db0f00f2-70b8-490b-9618-5d8c635e5efa"/>
  </w:docVars>
  <w:rsids>
    <w:rsidRoot w:val="00000000"/>
    <w:rsid w:val="00BF5B65"/>
    <w:rsid w:val="016C299A"/>
    <w:rsid w:val="02FF6EB4"/>
    <w:rsid w:val="069A5E6D"/>
    <w:rsid w:val="0A3463D4"/>
    <w:rsid w:val="0A524AD9"/>
    <w:rsid w:val="0E83577D"/>
    <w:rsid w:val="101075DF"/>
    <w:rsid w:val="11774653"/>
    <w:rsid w:val="13394A5B"/>
    <w:rsid w:val="15FB7EA0"/>
    <w:rsid w:val="1B956FB2"/>
    <w:rsid w:val="1D8A538A"/>
    <w:rsid w:val="1E0D0FBE"/>
    <w:rsid w:val="20744ABB"/>
    <w:rsid w:val="21BF4458"/>
    <w:rsid w:val="23332B3A"/>
    <w:rsid w:val="254B65D3"/>
    <w:rsid w:val="27FD20A3"/>
    <w:rsid w:val="28481F6F"/>
    <w:rsid w:val="2AA35AE2"/>
    <w:rsid w:val="2B294864"/>
    <w:rsid w:val="2C110D7B"/>
    <w:rsid w:val="2D9D410D"/>
    <w:rsid w:val="37BE5D32"/>
    <w:rsid w:val="38DB3D3B"/>
    <w:rsid w:val="3DA05553"/>
    <w:rsid w:val="3E18333B"/>
    <w:rsid w:val="3E8A569D"/>
    <w:rsid w:val="3E9E7CE5"/>
    <w:rsid w:val="43E73F96"/>
    <w:rsid w:val="44B7553B"/>
    <w:rsid w:val="50A12705"/>
    <w:rsid w:val="50DC644B"/>
    <w:rsid w:val="529E2D1F"/>
    <w:rsid w:val="55E53FF3"/>
    <w:rsid w:val="5B1937C5"/>
    <w:rsid w:val="5CBE543E"/>
    <w:rsid w:val="5D811AE2"/>
    <w:rsid w:val="636A3BA0"/>
    <w:rsid w:val="65177F59"/>
    <w:rsid w:val="6EBB216B"/>
    <w:rsid w:val="7000324B"/>
    <w:rsid w:val="77D72821"/>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index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1I"/>
    <w:basedOn w:val="1"/>
    <w:qFormat/>
    <w:uiPriority w:val="99"/>
    <w:pPr>
      <w:snapToGrid w:val="0"/>
      <w:spacing w:line="360" w:lineRule="auto"/>
      <w:ind w:firstLine="420" w:firstLineChars="100"/>
    </w:pPr>
    <w:rPr>
      <w:sz w:val="28"/>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4999</Words>
  <Characters>5233</Characters>
  <Lines>0</Lines>
  <Paragraphs>0</Paragraphs>
  <TotalTime>3</TotalTime>
  <ScaleCrop>false</ScaleCrop>
  <LinksUpToDate>false</LinksUpToDate>
  <CharactersWithSpaces>5562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2025-04-10T01:38:00Z</dcterms:created>
  <dc:creator>Admin</dc:creator>
  <cp:lastModifiedBy>Administrator</cp:lastModifiedBy>
  <cp:lastPrinted>2025-04-11T01:20:00Z</cp:lastPrinted>
  <dcterms:modified xsi:type="dcterms:W3CDTF">2025-06-03T13:01:15Z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eyJoZGlkIjoiZmU3M2ZhMmZkMjZjYmE4ZjBkZjJjY2I0MWIxMDZjNzYiLCJ1c2VySWQiOiIxNTYwNDUyNTY0In0=</vt:lpwstr>
  </property>
  <property fmtid="{D5CDD505-2E9C-101B-9397-08002B2CF9AE}" pid="4" name="ICV">
    <vt:lpwstr>3593F3B9C43342E285142B7C502708A1_12</vt:lpwstr>
  </property>
</Properties>
</file>