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年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临武县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文化馆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5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11"/>
          <w:sz w:val="32"/>
          <w:szCs w:val="32"/>
          <w:u w:val="single"/>
          <w:lang w:val="en-US" w:eastAsia="zh-CN" w:bidi="ar-SA"/>
        </w:rPr>
        <w:t>临武县文化馆</w:t>
      </w:r>
      <w:r>
        <w:rPr>
          <w:rFonts w:hint="eastAsia" w:ascii="Times New Roman" w:hAnsi="Times New Roman" w:cs="Times New Roman"/>
          <w:snapToGrid w:val="0"/>
          <w:color w:val="000000"/>
          <w:spacing w:val="-11"/>
          <w:sz w:val="32"/>
          <w:szCs w:val="32"/>
          <w:u w:val="singl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11"/>
          <w:sz w:val="32"/>
          <w:szCs w:val="32"/>
          <w:u w:val="single"/>
          <w:lang w:val="en-US" w:eastAsia="zh-CN" w:bidi="ar-SA"/>
        </w:rPr>
        <w:t>临武县非物质文化遗产保护中心</w:t>
      </w:r>
      <w:r>
        <w:rPr>
          <w:rFonts w:hint="eastAsia" w:ascii="Times New Roman" w:hAnsi="Times New Roman" w:cs="Times New Roman"/>
          <w:snapToGrid w:val="0"/>
          <w:color w:val="000000"/>
          <w:spacing w:val="-11"/>
          <w:sz w:val="32"/>
          <w:szCs w:val="32"/>
          <w:u w:val="singl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Toc280893384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临武县文化馆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部门整体支出</w:t>
      </w:r>
      <w:bookmarkEnd w:id="0"/>
      <w:bookmarkStart w:id="1" w:name="_Toc1766696696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绩效自评报告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w:t>（一）机构设置情况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56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-11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11"/>
          <w:sz w:val="32"/>
          <w:szCs w:val="32"/>
          <w:lang w:val="en-US" w:eastAsia="zh-CN" w:bidi="ar-SA"/>
        </w:rPr>
        <w:t xml:space="preserve"> 临武县文化馆（加挂“临武县非物质文化遗产保护中心”牌子）股级，公益一类事业单位。内设机构包括：办公室、非物质文化遗产中心、辅导创作室。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（二）人员编制情况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核定全拨事业编制9名，年末实有人数8人，今年人退休1人，退休人员共5人。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主要职能职责：负责全县群众文化活动，指导各乡镇文化体育广播站相关工作，辅导全县群众文化活动，培养文艺骨干；负责举办经常性的宣传窗、报刊、展览等阵地活动；承担全县非物质文化遗产的挖掘、收集、整理汇编和研究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(三)绩效目标设定情况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   提升公共服务水平，落实数字文化场馆建设；加强非遗文化形态的传承保护，促进文旅融合发展；精心组织，广泛开展群众文艺活动，做好免费培训、免费开放等工作。提升文创水平和境界，创作精品力作。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基本支出预算数118.86万元，执行数119万元，其中：①工资福利支出108.66万元，执行108.56万元；②一般商品和服务支出10.2万元，执行10.44万元（包括上年结转公务接待费）；③对个人和家庭的补助 0万元。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项目支出情况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年初预算项目支出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27.6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万元，其中：专项商品和服务支出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27.6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万元；专项对个人和家庭的补助0万元；债务利息及费用支出0万元；资本性支出（基本建设）0万元；资本性支出0万元；对企业补助0万元；对社会保障基金补助支出0万元；其他支出0万元。全年预算项目支出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146.8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万元，专项商品和服务支出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68.21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万元；专项对个人和家庭的补助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4.27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万元（非遗传承人补助）；资本性支出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7.22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万元；其他支出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2.07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本单位无政府性基金预算支出。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本单位无国有资本经营预算支出。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年初预算26.76万元，实际支出25.82万元。主要原因是本年退休1人。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本单位202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年综合评价等级分为优秀（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96.5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320" w:firstLineChars="1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-SA"/>
        </w:rPr>
        <w:t>评价指标分析（或综合评价情况）。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根据定量分析及定性分析，综合绩效评价打分，在部门整体支出绩效自评得分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96.5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分，其中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预算执行率得100分，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产出指标得分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分，质量指标得分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分；效益指标得分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18.5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分；满意度指标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分，开展的各项演出、活动赛事等，更好的融入百姓生活，受到广大群众普遍赞誉和好评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；经济成本指标19分，争取的上级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资金更精准的纳入预算。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根据自评表分析，效益指标及满意度待提高，项目年初预算数跟执行数方面，其主要原因是年中下达的上级项目戏曲生态保护专项资金未支付完，其实施年限2年，跨年实施期。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一经确定，便严格执行。建立了预算执行跟踪机制，财务部门每月对预算执行情况进行统计分析，及时向各部门反馈预算执行进度。对于预算执行偏差较大的项目，要求相关部门及时说明原因，并采取相应的调整措施。同时，加强对预算支出的审核，严格把控支出范围和标准，确保每一笔资金都按照预算规定的用途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tabs>
          <w:tab w:val="left" w:pos="867"/>
        </w:tabs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 w:bidi="ar-SA"/>
        </w:rPr>
        <w:t>绩效自评结果拟在征求上级主管部门意见和相关机构审核后，在临武官方媒体15日内公开，</w:t>
      </w:r>
      <w:r>
        <w:rPr>
          <w:rFonts w:hint="eastAsia" w:ascii="Times New Roman" w:hAnsi="Times New Roman" w:cs="Times New Roman"/>
          <w:snapToGrid w:val="0"/>
          <w:color w:val="000000"/>
          <w:sz w:val="32"/>
          <w:szCs w:val="32"/>
          <w:lang w:val="en-US" w:eastAsia="zh-CN" w:bidi="ar-SA"/>
        </w:rPr>
        <w:t>广泛接受有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 w:bidi="ar-SA"/>
        </w:rPr>
        <w:t>关单位和公众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提出反馈意见</w:t>
      </w:r>
      <w:r>
        <w:rPr>
          <w:rFonts w:hint="eastAsia" w:ascii="Times New Roman" w:hAnsi="Times New Roman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和社会监督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lang w:eastAsia="zh-CN"/>
        </w:rPr>
        <w:t>预算支出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  <w:t>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36"/>
          <w:szCs w:val="36"/>
        </w:rPr>
      </w:pP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5711"/>
        <w:gridCol w:w="85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评分标准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评分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扣分理由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的完整性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绩效自评报告正文部分内容齐全的，得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分；否则每少一个部分扣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分，最多扣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绩效自评报告附件部分内容齐全的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（包括基础数据表、整体支出绩效自评表、项目支出绩效自评表）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分；否则每少一个部分扣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分，最多扣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自评报告的规范性、准确性（40分）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及附件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格式规范，得5分；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其他情况酌情扣分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绩效自评报告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及附件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容真实、准确，得35分，每出现一处不准确的（重点检查是否汇总了所属二、三级预算单位的相关情况；相关数据是否前后不一致、散总不符；实际完成值和目标值是否完全一致，若基本一模一样，则真实性存疑；自评表的分值计算是否准确；偏差原因是否有理有据，改进措施是否合理可行），扣5分，最多扣35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科学合理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绩效目标指向明确、细化量化、合理可行、相应匹配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出现一处不符合要求，扣2分，最多扣10分。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报告反映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问题情况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绩效评价发现问题详实全面的得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分，只提出资金不足问题的不得分；其他情况酌情扣分。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针对问题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提出可行性建议的情况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分）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针对评价发现问题提出包含有关政策在内的可行性建议的得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分，只提出加大资金投入建议的不得分；其他情况酌情扣分。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11.5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包含有关政策在内的可行性建议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100分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96.5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F535A-7EB0-4CD3-B6F0-18941FC42D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DA455E-69B8-4D74-91A1-CC9DF97F80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0603FF-04BD-4333-BB3D-5ED72395ECA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95C01C3-9A51-4942-ABBE-0F8F475631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EB6728-09B5-40CD-8C94-3D7A93D0ED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383D5AD-C9D2-43E1-9DB6-92FBDD6260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5ADBC88-DB53-4BC2-903C-AA3309AF31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7C269"/>
    <w:multiLevelType w:val="singleLevel"/>
    <w:tmpl w:val="BF87C2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DFE7F33"/>
    <w:multiLevelType w:val="singleLevel"/>
    <w:tmpl w:val="CDFE7F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E5MWIyYTJhNDUzNjI0MzQ2MjhiNjQyNDI2OTUifQ=="/>
  </w:docVars>
  <w:rsids>
    <w:rsidRoot w:val="02404B92"/>
    <w:rsid w:val="02404B92"/>
    <w:rsid w:val="15165B8F"/>
    <w:rsid w:val="1F14266B"/>
    <w:rsid w:val="7AA2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eastAsia="仿宋_GB2312" w:cs="Times New Roman" w:asciiTheme="minorAscii" w:hAnsiTheme="minorAscii"/>
      <w:kern w:val="0"/>
      <w:sz w:val="24"/>
      <w:szCs w:val="32"/>
      <w:lang w:val="en-US" w:eastAsia="zh-CN" w:bidi="ar-SA"/>
    </w:rPr>
  </w:style>
  <w:style w:type="paragraph" w:customStyle="1" w:styleId="5">
    <w:name w:val="BodyText1I"/>
    <w:qFormat/>
    <w:uiPriority w:val="99"/>
    <w:pPr>
      <w:widowControl w:val="0"/>
      <w:snapToGrid w:val="0"/>
      <w:spacing w:line="360" w:lineRule="auto"/>
      <w:ind w:firstLine="420" w:firstLineChars="100"/>
      <w:jc w:val="both"/>
    </w:pPr>
    <w:rPr>
      <w:rFonts w:eastAsia="仿宋_GB2312" w:asciiTheme="minorAscii" w:hAnsiTheme="minorAscii" w:cstheme="minorBidi"/>
      <w:kern w:val="2"/>
      <w:sz w:val="28"/>
      <w:szCs w:val="20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1891</Words>
  <Characters>2001</Characters>
  <Lines>0</Lines>
  <Paragraphs>0</Paragraphs>
  <TotalTime>12</TotalTime>
  <ScaleCrop>false</ScaleCrop>
  <LinksUpToDate>false</LinksUpToDate>
  <CharactersWithSpaces>2021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2025-06-05T08:41:00Z</dcterms:created>
  <dc:creator>唐唐</dc:creator>
  <cp:lastModifiedBy>唐唐</cp:lastModifiedBy>
  <dcterms:modified xsi:type="dcterms:W3CDTF">2025-10-24T08:53:37Z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A6F0F2218E3341B88DC73FC086B34958_11</vt:lpwstr>
  </property>
  <property fmtid="{D5CDD505-2E9C-101B-9397-08002B2CF9AE}" pid="4" name="KSOTemplateDocerSaveRecord">
    <vt:lpwstr>eyJoZGlkIjoiYjdjYjdlODY2MWZiNmQ2MzFmMjEzM2Y5YjhiNGRhMmYiLCJ1c2VySWQiOiIyNDYwNjgwMTYifQ==</vt:lpwstr>
  </property>
</Properties>
</file>