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1E9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bookmarkStart w:id="2" w:name="_GoBack"/>
      <w:bookmarkEnd w:id="2"/>
    </w:p>
    <w:p w14:paraId="B469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 w14:paraId="D03C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B68E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临武县镇南乡人民政府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部门整体支出绩效自评报告</w:t>
      </w:r>
    </w:p>
    <w:p w14:paraId="9C3A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CE103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D8B5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81667188">
      <w:pPr>
        <w:pStyle w:val="7"/>
        <w:rPr>
          <w:rFonts w:hint="default"/>
        </w:rPr>
      </w:pPr>
    </w:p>
    <w:p w14:paraId="148D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ED6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C4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6A0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803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512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88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eastAsia="zh-CN"/>
        </w:rPr>
        <w:t>临武县镇南乡人民政府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</w:p>
    <w:p w14:paraId="DFAE6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80" w:firstLineChars="10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5EBF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53F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688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30E1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Toc280893384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临武县镇南乡人民政府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部门整体支出</w:t>
      </w:r>
      <w:bookmarkEnd w:id="0"/>
      <w:bookmarkStart w:id="1" w:name="_Toc1766696696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绩效自评报告</w:t>
      </w:r>
      <w:bookmarkEnd w:id="1"/>
    </w:p>
    <w:p w14:paraId="0CC6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80D0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一、部门（单位）基本情况</w:t>
      </w:r>
    </w:p>
    <w:p w14:paraId="0C487CB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（一）机构设置情况</w:t>
      </w:r>
    </w:p>
    <w:p w14:paraId="4C0A0F5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94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临武县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镇南</w:t>
      </w:r>
      <w:r>
        <w:rPr>
          <w:rFonts w:hint="eastAsia" w:ascii="仿宋_GB2312" w:hAnsi="仿宋_GB2312" w:eastAsia="仿宋_GB2312" w:cs="仿宋_GB2312"/>
          <w:sz w:val="32"/>
          <w:szCs w:val="32"/>
        </w:rPr>
        <w:t>乡人民政府设有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个内设机构，包括：1、党政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和党建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办公室；2、经济发展办公室；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平安法治和应急管理办公室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生态办公室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。单位所属事业单位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1.镇南乡综合行政执法大队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.镇南乡农业综合服务中心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.镇南乡社会事务综合服务中心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.镇南乡退役军人服务站。</w:t>
      </w:r>
    </w:p>
    <w:p w14:paraId="98A0E31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人员编制情况</w:t>
      </w:r>
    </w:p>
    <w:p w14:paraId="95ED18C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94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本单位有编制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人，其中：行政编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人，事业编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人，其中：行政编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人，事业编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EFA6E62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主要职能职责</w:t>
      </w:r>
    </w:p>
    <w:p w14:paraId="F675FF88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乡党委主要职责：</w:t>
      </w:r>
    </w:p>
    <w:p w14:paraId="C36AEB7A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党的建设。贯彻执行党的路线方针政策和上级党组织及本乡党员代表大会（党员大会）的决议。推进全面从严治党，落实基层党建工作责任制，严格抓好基层党组织建设各项制度，做好农村基层党建工作，深化监察体制改革，全面加强农村基层宣传思想文化工作，进一步增强党在农村的政治领导力、思想引领力、群众组织力、社会号召力。负责党委自身建设和以党支部为核心的村级组织建设。领导群众组织，支持和保证这些机关和组织依照国家法律及各自章程充分行使职权。</w:t>
      </w:r>
    </w:p>
    <w:p w14:paraId="09C76F48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推进经济建设。讨论决定本乡域经济建设和社会发展中的重大问题。执行本级人民代表大会的决议和上级国家行政机关的决定和命令，发布决定和命令。执行本行政区域内的经济和社会发展计划，加强公共设施的建设和管理，发展各项服务事业。依法管理本级财政、执行本级预算。负责拟订本行政区域经济社会发展和村镇建设等规划，推进工业化和城镇化发展水平，组织农村、社区基础设施和各项公益事业建设，加快镇村经济社会发展，改善群众生活环境。防范和化解债务风险，保持财政收支平衡。</w:t>
      </w:r>
    </w:p>
    <w:p w14:paraId="1CCB4048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“三农”发展。指导农村经济发展，深化农业公共服务体系建设，加强农业产前、产中、产后服务。完善生产、供销、信用“三位一体”农民合作经济组织体系，推进农村经济结构调整，促进经济增长方式转变，促进农民增收。</w:t>
      </w:r>
    </w:p>
    <w:p w14:paraId="1BD82CD9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组织公共服务。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。统筹基本公共服务设施的空间布局，实现基本公共服务全覆盖。推进“最多跑一次”改革，建立健全群众办事一次办结机制，优化便民服务质量。</w:t>
      </w:r>
    </w:p>
    <w:p w14:paraId="A3E6280C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加强基层执法。整合基层一线执法力量和资源，充分发挥属地管理优势，强化对辖区范围内执法力量的统一指挥和统筹协调。按照有关法律规定相对集中行使行政处罚权，以乡镇名义开展执法工作；负责辖区内日常执法活动和重大案件线索巡查。</w:t>
      </w:r>
    </w:p>
    <w:p w14:paraId="3FDA93E4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加强综合治理。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。推进精神文明建设。</w:t>
      </w:r>
    </w:p>
    <w:p w14:paraId="33C57325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推进民主法治。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。领导社区居委会、业委会建设，组织社区居民和单位参与社区建设和管理。健全自治、法治、德治相结合的城乡基层治理体系。</w:t>
      </w:r>
    </w:p>
    <w:p w14:paraId="2237D903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（八）承办上级党委政府交办的其他事项。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乡政府主要职责：</w:t>
      </w:r>
    </w:p>
    <w:p w14:paraId="F4E3359A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执行本级人民代表大会的决议和上级国家行政机关的决定和命令，发布决定和命令。</w:t>
      </w:r>
    </w:p>
    <w:p w14:paraId="55E578E4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执行本行政区域内的经济和社会发展计划，加强公共设施的建设和管理，发展各项服务事业。</w:t>
      </w:r>
    </w:p>
    <w:p w14:paraId="5B64A0C2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依法管理本级财政、执行本级预算。</w:t>
      </w:r>
    </w:p>
    <w:p w14:paraId="B5A270D4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为城乡居民提供有效的科技教育、文化体育、卫生医疗、人才开发、劳动就业、信息咨询、安全生产等方面的服务。</w:t>
      </w:r>
    </w:p>
    <w:p w14:paraId="D1CB0DD1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保护国有资产和集体所有的财产，保护公民私人所有的合法财产，保障公民的人身权利、民主权利和其他权利，保护各种组织的合法权益。</w:t>
      </w:r>
    </w:p>
    <w:p w14:paraId="79540D1C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开展社会主义民主与法制教育，加强社会治安综合治理，调解民事纠纷，维护社会秩序。</w:t>
      </w:r>
    </w:p>
    <w:p w14:paraId="F794DEF2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负责民政工作，发展社会福利事业，做好社会保障工作，办理兵役事项。</w:t>
      </w:r>
    </w:p>
    <w:p w14:paraId="04A5929B"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承办县人民政府交办的其他事项。</w:t>
      </w:r>
    </w:p>
    <w:p w14:paraId="808B4DB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（四）绩效目标设定情况</w:t>
      </w:r>
    </w:p>
    <w:p w14:paraId="49601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以习近平新时代中国特色社会主义思想为指导，全面贯彻党的二十大和二十届二中全会精神、中央经济工作会议精神，省委、市委、县委经济工作会议决策部署，完整、准确、全面贯彻党的二十大新发展理念，坚持稳中求进总基调，锚定“三高四新”美好蓝图，统筹发展和安全，推动高质量发展、高水平民生，构建稳定和谐社会局面，建设和美新镇南。1.紧盯项目建设“提质蓄能”2.紧盯乡村振兴“全面提升”3.紧盯安全生产“警钟长鸣”4.紧盯民生福祉“群众所盼”5.紧盯队伍建设“有力有为”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822479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85EB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（一）基本支出情况</w:t>
      </w:r>
    </w:p>
    <w:p w14:paraId="CB28E62D">
      <w:pPr>
        <w:pStyle w:val="7"/>
        <w:ind w:left="0" w:leftChars="0" w:firstLine="596" w:firstLineChars="200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基本支出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463.39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万元，其中：工资福利支出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404.85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万元；商品和服务支出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58.53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万元。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用于保障政府机关、事业单位等机构正常运转的日常支出，</w:t>
      </w:r>
      <w:r>
        <w:rPr>
          <w:rFonts w:hint="eastAsia" w:ascii="宋体" w:hAnsi="宋体" w:eastAsia="宋体"/>
          <w:color w:val="auto"/>
          <w:sz w:val="32"/>
          <w:szCs w:val="32"/>
        </w:rPr>
        <w:t>主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要包括人员经费中的基本工资、津贴补贴、奖金、绩效工资、机关事业单位基本养老保险缴费、职工基本医疗保险缴费、其他社会保障缴费、其他工资福利支出、生活补助、救济费、医疗费补助、奖励金；公用用经费中的办公费、印刷费、电费、邮电费、差旅费、维修（护）费、会议费、培训费、劳务费、公务用车运行维护费等日常公用经费。</w:t>
      </w:r>
    </w:p>
    <w:p w14:paraId="A8D2589E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项目支出情况</w:t>
      </w:r>
    </w:p>
    <w:p w14:paraId="24D304C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项目支出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489.13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万元，其中：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工资福利支出56.7万元；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商品和服务支出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259.72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万元；对个人和家庭补助支出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66.48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万元；其他支出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172.71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万元。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用于保障政府机关、事业单位等机构为完成特定的行政工作任务或事业发展目标，用于专项业务工作的经费支出。</w:t>
      </w:r>
    </w:p>
    <w:p w14:paraId="3FFFB41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</w:p>
    <w:p w14:paraId="2FE1C55E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CED0ACE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本单位无政性基金预算出支</w:t>
      </w:r>
    </w:p>
    <w:p w14:paraId="FEEBC1F8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F4921E6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本单位无国有资本经营预算出支</w:t>
      </w:r>
    </w:p>
    <w:p w14:paraId="925F6014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5FFBAF1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本单位无社会保险基金预算支出</w:t>
      </w:r>
    </w:p>
    <w:p w14:paraId="DD23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2AEBAAA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（一）综合评价结论。反映自评得分及评价等级。</w:t>
      </w:r>
    </w:p>
    <w:p w14:paraId="ECDFA1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9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本单位严格预算管理、确保预算编制准确；严格支出控制，在资金预算、动态调整、审批、执行、支付等环节中能做到层层把关，按制度执行，确保资金安全和高效的运行；能按时、按质、按量全部完成。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根据部门整体支出绩效评价指标规定的内容，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从评价情况来看整体支出绩效目标基本完成，自评得分9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 w14:paraId="54C4D09D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评价指标分析（或综合评价情况）。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按照县级部门预算编制通知和有关要求，按时完成基础库、项目库报送工作，预算编制准确。部门整体绩效目标编制完整、合理，项目绩效目标编制明确、量化。按要求严格执行预算管理。严格执行“三公”预算，行政运行经费与上年相比明细下降，按要求及时、准确、全面开展资产清查工作，上报国有资产报表数据的真实性、准确性、全面性。内部控制制度健全完整并执行良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乡地处偏远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，工作综合性强，需加大人力、资金投入。结合我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实际，改善农村环境，提高我镇人民生活质量，促进国民经济发展，完善市县、村镇服务体系建设，促进城镇一体化进程。</w:t>
      </w:r>
    </w:p>
    <w:p w14:paraId="9F1C032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072DAED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、优化资金拨付流程，加强财政资金监督管理，提高资金使用效益。2、进一步加强政策学习，提高思想认识。3、对绩效评价工作的认识不够。虽然通过绩效评价工作的逐步推进，逐渐树立了绩效理念，但了解还不够深入。绩效目标和指标往往根据项目实际完成情况制定，对项目执行过程有效约束不够，存在一定的偏差。4、固定资产管理有待进一步规范。</w:t>
      </w:r>
    </w:p>
    <w:p w14:paraId="F090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 w14:paraId="7EBEB483">
      <w:pPr>
        <w:pStyle w:val="7"/>
        <w:ind w:firstLine="596" w:firstLineChars="200"/>
        <w:rPr>
          <w:rFonts w:hint="default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加强绩效评价管理制度和流程的建设，进一步深化、完善绩效管理体系，建立全过程的预算绩效管理机制，促进绩效管理工作向广度和深度延伸；规范绩效评价管理资料和收集整理，确保相关信息完整、可靠，客观公正地反映项目资金实际使用和产生的绩效状况，为今后该项目实施方向及管理方式的改进提供指导。2、固定资产管理中普遍存在的问题,从强化管理意识,加强管理队伍建设,完善固定资产管理体制,建立健全固定资产管理制度,加强使用管理和内部监督。</w:t>
      </w:r>
    </w:p>
    <w:p w14:paraId="A3E7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6712A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4A9A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报告需要以下附件：</w:t>
      </w:r>
    </w:p>
    <w:p w14:paraId="1F81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1.部门整体支出绩效评价基础数据表</w:t>
      </w:r>
    </w:p>
    <w:p w14:paraId="17AA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2.部门整体支出绩效自评表</w:t>
      </w:r>
    </w:p>
    <w:p w14:paraId="E286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3.项目支出绩效自评表（一个项目支出一张表）</w:t>
      </w:r>
    </w:p>
    <w:p w14:paraId="4F44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770B65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43819E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B987EB8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DC20AC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E0BA9A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AFEDA9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B33E3CF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5D29EC9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8D40E9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640658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002A1F7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50649F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D80E84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3A1CF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cols w:space="0" w:num="1"/>
      <w:rtlGutter w:val="0"/>
      <w:docGrid w:type="linesAndChars" w:linePitch="615" w:charSpace="-4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F020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8AB97B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8AB97B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49"/>
  <w:drawingGridVerticalSpacing w:val="3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425</Words>
  <Characters>592</Characters>
  <Paragraphs>576</Paragraphs>
  <TotalTime>62</TotalTime>
  <ScaleCrop>false</ScaleCrop>
  <LinksUpToDate>false</LinksUpToDate>
  <CharactersWithSpaces>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2025-04-10T01:38:00Z</dcterms:created>
  <dc:creator>Admin</dc:creator>
  <cp:lastModifiedBy>webUser</cp:lastModifiedBy>
  <cp:lastPrinted>2025-05-30T07:39:00Z</cp:lastPrinted>
  <dcterms:modified xsi:type="dcterms:W3CDTF">2025-10-29T07:51:57Z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eyJoZGlkIjoiOWNjNjBlNmZjMjk4ZDkwZjA1NTQ4ZjEyZjQ1NThlOWQifQ==</vt:lpwstr>
  </property>
  <property fmtid="{D5CDD505-2E9C-101B-9397-08002B2CF9AE}" pid="4" name="ICV">
    <vt:lpwstr>5C4868B036364C09B2C452353A980A7C_13</vt:lpwstr>
  </property>
</Properties>
</file>