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337BF">
      <w:pPr>
        <w:shd w:val="clear"/>
        <w:spacing w:line="400" w:lineRule="exact"/>
        <w:rPr>
          <w:rFonts w:hint="default" w:ascii="Times New Roman" w:hAnsi="Times New Roman" w:cs="Times New Roman"/>
          <w:color w:val="auto"/>
          <w:shd w:val="clear"/>
        </w:rPr>
      </w:pPr>
    </w:p>
    <w:p w14:paraId="19F6F3C7">
      <w:pPr>
        <w:pStyle w:val="3"/>
        <w:rPr>
          <w:rFonts w:hint="default" w:ascii="Times New Roman" w:hAnsi="Times New Roman" w:cs="Times New Roman"/>
          <w:color w:val="auto"/>
          <w:shd w:val="clear"/>
        </w:rPr>
      </w:pPr>
    </w:p>
    <w:p w14:paraId="0120637E">
      <w:pPr>
        <w:pStyle w:val="10"/>
        <w:rPr>
          <w:rFonts w:hint="default" w:ascii="Times New Roman" w:hAnsi="Times New Roman" w:cs="Times New Roman"/>
          <w:color w:val="auto"/>
          <w:shd w:val="clear"/>
        </w:rPr>
      </w:pPr>
    </w:p>
    <w:p w14:paraId="521888AC">
      <w:pPr>
        <w:rPr>
          <w:rFonts w:hint="default" w:ascii="Times New Roman" w:hAnsi="Times New Roman" w:cs="Times New Roman"/>
          <w:color w:val="auto"/>
          <w:shd w:val="clear"/>
        </w:rPr>
      </w:pPr>
    </w:p>
    <w:p w14:paraId="332EF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firstLine="380" w:firstLineChars="200"/>
        <w:jc w:val="left"/>
        <w:textAlignment w:val="auto"/>
        <w:rPr>
          <w:rFonts w:hint="default" w:ascii="Times New Roman" w:hAnsi="Times New Roman" w:eastAsia="微软雅黑" w:cs="Times New Roman"/>
          <w:i w:val="0"/>
          <w:iCs w:val="0"/>
          <w:caps w:val="0"/>
          <w:color w:val="auto"/>
          <w:spacing w:val="0"/>
          <w:sz w:val="19"/>
          <w:szCs w:val="19"/>
          <w:shd w:val="clear"/>
        </w:rPr>
      </w:pPr>
    </w:p>
    <w:p w14:paraId="7F5ABE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麦市镇人民政府2024年</w:t>
      </w:r>
      <w:r>
        <w:rPr>
          <w:rFonts w:hint="eastAsia" w:ascii="方正小标宋简体" w:hAnsi="方正小标宋简体" w:eastAsia="方正小标宋简体" w:cs="方正小标宋简体"/>
          <w:i w:val="0"/>
          <w:iCs w:val="0"/>
          <w:caps w:val="0"/>
          <w:color w:val="auto"/>
          <w:spacing w:val="0"/>
          <w:sz w:val="40"/>
          <w:szCs w:val="40"/>
          <w:shd w:val="clear"/>
        </w:rPr>
        <w:t>部门整体支出绩效自评报告</w:t>
      </w:r>
    </w:p>
    <w:p w14:paraId="255C57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14:paraId="49BD62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w:t>
      </w:r>
      <w:r>
        <w:rPr>
          <w:rFonts w:hint="eastAsia" w:ascii="Times New Roman" w:hAnsi="Times New Roman" w:eastAsia="仿宋" w:cs="Times New Roman"/>
          <w:color w:val="auto"/>
          <w:kern w:val="2"/>
          <w:sz w:val="32"/>
          <w:szCs w:val="32"/>
          <w:shd w:val="clear"/>
          <w:lang w:val="en-US" w:eastAsia="zh-CN" w:bidi="ar"/>
        </w:rPr>
        <w:t>2024</w:t>
      </w:r>
      <w:r>
        <w:rPr>
          <w:rFonts w:hint="default" w:ascii="Times New Roman" w:hAnsi="Times New Roman" w:eastAsia="仿宋" w:cs="Times New Roman"/>
          <w:color w:val="auto"/>
          <w:kern w:val="2"/>
          <w:sz w:val="32"/>
          <w:szCs w:val="32"/>
          <w:shd w:val="clear"/>
          <w:lang w:val="en-US" w:eastAsia="zh-CN" w:bidi="ar"/>
        </w:rPr>
        <w:t>年预算绩效管理工作的通知》（临财绩〔202</w:t>
      </w:r>
      <w:r>
        <w:rPr>
          <w:rFonts w:hint="eastAsia" w:ascii="Times New Roman" w:hAnsi="Times New Roman" w:eastAsia="仿宋" w:cs="Times New Roman"/>
          <w:color w:val="auto"/>
          <w:kern w:val="2"/>
          <w:sz w:val="32"/>
          <w:szCs w:val="32"/>
          <w:shd w:val="clear"/>
          <w:lang w:val="en-US" w:eastAsia="zh-CN" w:bidi="ar"/>
        </w:rPr>
        <w:t>5</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45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我单位对2024年部门整体支出进行了绩效自评，现将绩效自评情况报告如下：</w:t>
      </w:r>
    </w:p>
    <w:p w14:paraId="58F2B3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14:paraId="209179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021C8E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麦市镇人民政府内设机构包括：</w:t>
      </w:r>
    </w:p>
    <w:p w14:paraId="189A21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1、行政单位1个，临武县麦市镇人民政府</w:t>
      </w:r>
    </w:p>
    <w:p w14:paraId="3A48C8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2、麦市镇所属事业单位5个：麦市镇综合行政执行大队、麦市镇社会事务综合服务中心、麦市镇农业综合服务中心、麦市镇政务（便民）服务中心、麦市镇退役军人服务站。</w:t>
      </w:r>
    </w:p>
    <w:p w14:paraId="7E212CFB">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14:paraId="40134B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人员构成情况：截至</w:t>
      </w: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rPr>
        <w:t>年12月31日止，麦市镇人民政府实有人数5</w:t>
      </w: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rPr>
        <w:t>人，行政编2</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人，事业编2</w:t>
      </w:r>
      <w:r>
        <w:rPr>
          <w:rFonts w:hint="eastAsia" w:ascii="仿宋_GB2312" w:hAnsi="仿宋_GB2312" w:eastAsia="仿宋_GB2312" w:cs="仿宋_GB2312"/>
          <w:i w:val="0"/>
          <w:iCs w:val="0"/>
          <w:caps w:val="0"/>
          <w:color w:val="auto"/>
          <w:spacing w:val="0"/>
          <w:sz w:val="32"/>
          <w:szCs w:val="32"/>
          <w:shd w:val="clear"/>
          <w:lang w:val="en-US" w:eastAsia="zh-CN"/>
        </w:rPr>
        <w:t>9</w:t>
      </w:r>
      <w:r>
        <w:rPr>
          <w:rFonts w:hint="eastAsia" w:ascii="仿宋_GB2312" w:hAnsi="仿宋_GB2312" w:eastAsia="仿宋_GB2312" w:cs="仿宋_GB2312"/>
          <w:i w:val="0"/>
          <w:iCs w:val="0"/>
          <w:caps w:val="0"/>
          <w:color w:val="auto"/>
          <w:spacing w:val="0"/>
          <w:sz w:val="32"/>
          <w:szCs w:val="32"/>
          <w:shd w:val="clear"/>
        </w:rPr>
        <w:t>人。</w:t>
      </w:r>
    </w:p>
    <w:p w14:paraId="50148DF5">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14:paraId="0BD4FB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一、</w:t>
      </w:r>
      <w:r>
        <w:rPr>
          <w:rFonts w:hint="eastAsia" w:ascii="仿宋_GB2312" w:hAnsi="仿宋_GB2312" w:eastAsia="仿宋_GB2312" w:cs="仿宋_GB2312"/>
          <w:i w:val="0"/>
          <w:iCs w:val="0"/>
          <w:caps w:val="0"/>
          <w:color w:val="auto"/>
          <w:spacing w:val="0"/>
          <w:sz w:val="32"/>
          <w:szCs w:val="32"/>
          <w:shd w:val="clear"/>
        </w:rPr>
        <w:t>加强党的建设。贯彻执行党的路线方针政策和上级党组织及本乡党员代表大会的决议。</w:t>
      </w:r>
    </w:p>
    <w:p w14:paraId="6E501A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二、</w:t>
      </w:r>
      <w:r>
        <w:rPr>
          <w:rFonts w:hint="eastAsia" w:ascii="仿宋_GB2312" w:hAnsi="仿宋_GB2312" w:eastAsia="仿宋_GB2312" w:cs="仿宋_GB2312"/>
          <w:i w:val="0"/>
          <w:iCs w:val="0"/>
          <w:caps w:val="0"/>
          <w:color w:val="auto"/>
          <w:spacing w:val="0"/>
          <w:sz w:val="32"/>
          <w:szCs w:val="32"/>
          <w:shd w:val="clear"/>
        </w:rPr>
        <w:t>推进经济建设。讨论决定本乡域经济建设和社会发展中的重大问题。</w:t>
      </w:r>
    </w:p>
    <w:p w14:paraId="7B86CBD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三、</w:t>
      </w:r>
      <w:r>
        <w:rPr>
          <w:rFonts w:hint="eastAsia" w:ascii="仿宋_GB2312" w:hAnsi="仿宋_GB2312" w:eastAsia="仿宋_GB2312" w:cs="仿宋_GB2312"/>
          <w:i w:val="0"/>
          <w:iCs w:val="0"/>
          <w:caps w:val="0"/>
          <w:color w:val="auto"/>
          <w:spacing w:val="0"/>
          <w:sz w:val="32"/>
          <w:szCs w:val="32"/>
          <w:shd w:val="clear"/>
        </w:rPr>
        <w:t>服务“三农”发展。指导农村经济发展、深化农业服务体系建设，加强农业产前、产中、产后服务。</w:t>
      </w:r>
    </w:p>
    <w:p w14:paraId="77C64D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四、</w:t>
      </w:r>
      <w:r>
        <w:rPr>
          <w:rFonts w:hint="eastAsia" w:ascii="仿宋_GB2312" w:hAnsi="仿宋_GB2312" w:eastAsia="仿宋_GB2312" w:cs="仿宋_GB2312"/>
          <w:i w:val="0"/>
          <w:iCs w:val="0"/>
          <w:caps w:val="0"/>
          <w:color w:val="auto"/>
          <w:spacing w:val="0"/>
          <w:sz w:val="32"/>
          <w:szCs w:val="32"/>
          <w:shd w:val="clear"/>
        </w:rPr>
        <w:t>组织公共服务。组织实施与村（居）民生活密切相关的各项公务服务，负责抓好人力资源和社会保障、民政、教育、文化、体育、卫生健康、兵役等工作，为城乡居民提供有效的科学教育、文化体育、卫生医疗、人才开发、劳动就业、信息咨询、安全生产、退役军人等方面服务。</w:t>
      </w:r>
    </w:p>
    <w:p w14:paraId="0A9578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五、</w:t>
      </w:r>
      <w:r>
        <w:rPr>
          <w:rFonts w:hint="eastAsia" w:ascii="仿宋_GB2312" w:hAnsi="仿宋_GB2312" w:eastAsia="仿宋_GB2312" w:cs="仿宋_GB2312"/>
          <w:i w:val="0"/>
          <w:iCs w:val="0"/>
          <w:caps w:val="0"/>
          <w:color w:val="auto"/>
          <w:spacing w:val="0"/>
          <w:sz w:val="32"/>
          <w:szCs w:val="32"/>
          <w:shd w:val="clear"/>
        </w:rPr>
        <w:t>加强基层执法。整合基层一线执法力量和资源，充分发挥属地管理优势，强化对辖区范围内执法力量的统一指挥和统筹协调。</w:t>
      </w:r>
    </w:p>
    <w:p w14:paraId="43F136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六、</w:t>
      </w:r>
      <w:r>
        <w:rPr>
          <w:rFonts w:hint="eastAsia" w:ascii="仿宋_GB2312" w:hAnsi="仿宋_GB2312" w:eastAsia="仿宋_GB2312" w:cs="仿宋_GB2312"/>
          <w:i w:val="0"/>
          <w:iCs w:val="0"/>
          <w:caps w:val="0"/>
          <w:color w:val="auto"/>
          <w:spacing w:val="0"/>
          <w:sz w:val="32"/>
          <w:szCs w:val="32"/>
          <w:shd w:val="clear"/>
        </w:rPr>
        <w:t>加强综合治理。加强社会治安综合治理，建立综治管理、市场监管、综合执法、便民服务统筹协调指挥机制，强化信访和矛盾纠纷调解工作，化解农村社会矛盾纠纷，维护农村社会和谐稳定，全面推进社会主义新农村建；做好应急防灾等相关工作，推进精神文明建设，做好计划生育工作 。</w:t>
      </w:r>
    </w:p>
    <w:p w14:paraId="5D38D0A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七、</w:t>
      </w:r>
      <w:r>
        <w:rPr>
          <w:rFonts w:hint="eastAsia" w:ascii="仿宋_GB2312" w:hAnsi="仿宋_GB2312" w:eastAsia="仿宋_GB2312" w:cs="仿宋_GB2312"/>
          <w:i w:val="0"/>
          <w:iCs w:val="0"/>
          <w:caps w:val="0"/>
          <w:color w:val="auto"/>
          <w:spacing w:val="0"/>
          <w:sz w:val="32"/>
          <w:szCs w:val="32"/>
          <w:shd w:val="clear"/>
        </w:rPr>
        <w:t>推进民主。推进基层民主建设，指导村（居）民委员工作 ，维护群众合法权益，保护国有资产和集体所有的财产保护公民私人所有的合法同产，保障公民的人身权利、民主权利和其他权利，保护各种组织的合法权益；保护妇女儿童和老人的合法权益。</w:t>
      </w:r>
    </w:p>
    <w:p w14:paraId="43164016">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承办上级党委政府交办的其他事项</w:t>
      </w:r>
    </w:p>
    <w:p w14:paraId="50C16E5F">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绩效目标设定情况</w:t>
      </w:r>
    </w:p>
    <w:p w14:paraId="5937EA2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产业结构优化升级，经济建设努力走在全县前列，城乡发展品质不断提升，乡村振兴取得阶段性成果；民生持续改善，社会和谐稳定，各项事业均衡发展，社会建设努力走在全县前列</w:t>
      </w:r>
    </w:p>
    <w:p w14:paraId="2DDFA8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730000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（一）</w:t>
      </w: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default" w:ascii="仿宋_GB2312" w:hAnsi="仿宋_GB2312" w:eastAsia="仿宋_GB2312" w:cs="仿宋_GB2312"/>
          <w:i w:val="0"/>
          <w:iCs w:val="0"/>
          <w:caps w:val="0"/>
          <w:color w:val="auto"/>
          <w:spacing w:val="0"/>
          <w:sz w:val="32"/>
          <w:szCs w:val="32"/>
          <w:shd w:val="clear"/>
        </w:rPr>
        <w:t>年部门预算情况</w:t>
      </w:r>
    </w:p>
    <w:p w14:paraId="202541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w:t>
      </w:r>
      <w:r>
        <w:rPr>
          <w:rFonts w:hint="default" w:ascii="仿宋_GB2312" w:hAnsi="仿宋_GB2312" w:eastAsia="仿宋_GB2312" w:cs="仿宋_GB2312"/>
          <w:i w:val="0"/>
          <w:iCs w:val="0"/>
          <w:caps w:val="0"/>
          <w:color w:val="auto"/>
          <w:spacing w:val="0"/>
          <w:sz w:val="32"/>
          <w:szCs w:val="32"/>
          <w:shd w:val="clear"/>
        </w:rPr>
        <w:t>收入预算，</w:t>
      </w:r>
      <w:r>
        <w:rPr>
          <w:rFonts w:hint="eastAsia" w:ascii="仿宋_GB2312" w:hAnsi="仿宋_GB2312" w:eastAsia="仿宋_GB2312" w:cs="仿宋_GB2312"/>
          <w:i w:val="0"/>
          <w:iCs w:val="0"/>
          <w:caps w:val="0"/>
          <w:color w:val="auto"/>
          <w:spacing w:val="0"/>
          <w:sz w:val="32"/>
          <w:szCs w:val="32"/>
          <w:shd w:val="clear"/>
          <w:lang w:eastAsia="zh-CN"/>
        </w:rPr>
        <w:t>202</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default" w:ascii="仿宋_GB2312" w:hAnsi="仿宋_GB2312" w:eastAsia="仿宋_GB2312" w:cs="仿宋_GB2312"/>
          <w:i w:val="0"/>
          <w:iCs w:val="0"/>
          <w:caps w:val="0"/>
          <w:color w:val="auto"/>
          <w:spacing w:val="0"/>
          <w:sz w:val="32"/>
          <w:szCs w:val="32"/>
          <w:shd w:val="clear"/>
        </w:rPr>
        <w:t>年年初预算数</w:t>
      </w:r>
      <w:r>
        <w:rPr>
          <w:rFonts w:hint="eastAsia" w:ascii="仿宋_GB2312" w:hAnsi="仿宋_GB2312" w:eastAsia="仿宋_GB2312" w:cs="仿宋_GB2312"/>
          <w:i w:val="0"/>
          <w:iCs w:val="0"/>
          <w:caps w:val="0"/>
          <w:color w:val="auto"/>
          <w:spacing w:val="0"/>
          <w:sz w:val="32"/>
          <w:szCs w:val="32"/>
          <w:shd w:val="clear"/>
          <w:lang w:val="en-US" w:eastAsia="zh-CN"/>
        </w:rPr>
        <w:t>758.84</w:t>
      </w:r>
      <w:r>
        <w:rPr>
          <w:rFonts w:hint="default" w:ascii="仿宋_GB2312" w:hAnsi="仿宋_GB2312" w:eastAsia="仿宋_GB2312" w:cs="仿宋_GB2312"/>
          <w:i w:val="0"/>
          <w:iCs w:val="0"/>
          <w:caps w:val="0"/>
          <w:color w:val="auto"/>
          <w:spacing w:val="0"/>
          <w:sz w:val="32"/>
          <w:szCs w:val="32"/>
          <w:shd w:val="clear"/>
        </w:rPr>
        <w:t>万元，其中，一般公共预算拨款</w:t>
      </w:r>
      <w:r>
        <w:rPr>
          <w:rFonts w:hint="eastAsia" w:ascii="仿宋_GB2312" w:hAnsi="仿宋_GB2312" w:eastAsia="仿宋_GB2312" w:cs="仿宋_GB2312"/>
          <w:i w:val="0"/>
          <w:iCs w:val="0"/>
          <w:caps w:val="0"/>
          <w:color w:val="auto"/>
          <w:spacing w:val="0"/>
          <w:sz w:val="32"/>
          <w:szCs w:val="32"/>
          <w:shd w:val="clear"/>
          <w:lang w:val="en-US" w:eastAsia="zh-CN"/>
        </w:rPr>
        <w:t>758.84</w:t>
      </w:r>
      <w:r>
        <w:rPr>
          <w:rFonts w:hint="default" w:ascii="仿宋_GB2312" w:hAnsi="仿宋_GB2312" w:eastAsia="仿宋_GB2312" w:cs="仿宋_GB2312"/>
          <w:i w:val="0"/>
          <w:iCs w:val="0"/>
          <w:caps w:val="0"/>
          <w:color w:val="auto"/>
          <w:spacing w:val="0"/>
          <w:sz w:val="32"/>
          <w:szCs w:val="32"/>
          <w:shd w:val="clear"/>
        </w:rPr>
        <w:t>万元，政府性基金预算拨款0万元，国有资本经营预算拨款0万元，纳入专户管理的非税收入</w:t>
      </w:r>
      <w:r>
        <w:rPr>
          <w:rFonts w:hint="eastAsia" w:ascii="仿宋_GB2312" w:hAnsi="仿宋_GB2312" w:eastAsia="仿宋_GB2312" w:cs="仿宋_GB2312"/>
          <w:i w:val="0"/>
          <w:iCs w:val="0"/>
          <w:caps w:val="0"/>
          <w:color w:val="auto"/>
          <w:spacing w:val="0"/>
          <w:sz w:val="32"/>
          <w:szCs w:val="32"/>
          <w:shd w:val="clear"/>
          <w:lang w:val="en-US" w:eastAsia="zh-CN"/>
        </w:rPr>
        <w:t>0</w:t>
      </w:r>
      <w:r>
        <w:rPr>
          <w:rFonts w:hint="default" w:ascii="仿宋_GB2312" w:hAnsi="仿宋_GB2312" w:eastAsia="仿宋_GB2312" w:cs="仿宋_GB2312"/>
          <w:i w:val="0"/>
          <w:iCs w:val="0"/>
          <w:caps w:val="0"/>
          <w:color w:val="auto"/>
          <w:spacing w:val="0"/>
          <w:sz w:val="32"/>
          <w:szCs w:val="32"/>
          <w:shd w:val="clear"/>
        </w:rPr>
        <w:t>万元。</w:t>
      </w:r>
    </w:p>
    <w:p w14:paraId="30C40C4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val="en-US" w:eastAsia="zh-CN"/>
        </w:rPr>
        <w:t>2、</w:t>
      </w:r>
      <w:r>
        <w:rPr>
          <w:rFonts w:hint="default" w:ascii="仿宋_GB2312" w:hAnsi="仿宋_GB2312" w:eastAsia="仿宋_GB2312" w:cs="仿宋_GB2312"/>
          <w:i w:val="0"/>
          <w:iCs w:val="0"/>
          <w:caps w:val="0"/>
          <w:color w:val="auto"/>
          <w:spacing w:val="0"/>
          <w:sz w:val="32"/>
          <w:szCs w:val="32"/>
          <w:shd w:val="clear"/>
        </w:rPr>
        <w:t>支出预算，</w:t>
      </w:r>
      <w:r>
        <w:rPr>
          <w:rFonts w:hint="eastAsia" w:ascii="仿宋_GB2312" w:hAnsi="仿宋_GB2312" w:eastAsia="仿宋_GB2312" w:cs="仿宋_GB2312"/>
          <w:i w:val="0"/>
          <w:iCs w:val="0"/>
          <w:caps w:val="0"/>
          <w:color w:val="auto"/>
          <w:spacing w:val="0"/>
          <w:sz w:val="32"/>
          <w:szCs w:val="32"/>
          <w:shd w:val="clear"/>
          <w:lang w:eastAsia="zh-CN"/>
        </w:rPr>
        <w:t>2024</w:t>
      </w:r>
      <w:r>
        <w:rPr>
          <w:rFonts w:hint="default" w:ascii="仿宋_GB2312" w:hAnsi="仿宋_GB2312" w:eastAsia="仿宋_GB2312" w:cs="仿宋_GB2312"/>
          <w:i w:val="0"/>
          <w:iCs w:val="0"/>
          <w:caps w:val="0"/>
          <w:color w:val="auto"/>
          <w:spacing w:val="0"/>
          <w:sz w:val="32"/>
          <w:szCs w:val="32"/>
          <w:shd w:val="clear"/>
        </w:rPr>
        <w:t>年年初预算数</w:t>
      </w:r>
      <w:r>
        <w:rPr>
          <w:rFonts w:hint="eastAsia" w:ascii="仿宋_GB2312" w:hAnsi="仿宋_GB2312" w:eastAsia="仿宋_GB2312" w:cs="仿宋_GB2312"/>
          <w:i w:val="0"/>
          <w:iCs w:val="0"/>
          <w:caps w:val="0"/>
          <w:color w:val="auto"/>
          <w:spacing w:val="0"/>
          <w:sz w:val="32"/>
          <w:szCs w:val="32"/>
          <w:shd w:val="clear"/>
          <w:lang w:val="en-US" w:eastAsia="zh-CN"/>
        </w:rPr>
        <w:t>758.84</w:t>
      </w:r>
      <w:r>
        <w:rPr>
          <w:rFonts w:hint="default" w:ascii="仿宋_GB2312" w:hAnsi="仿宋_GB2312" w:eastAsia="仿宋_GB2312" w:cs="仿宋_GB2312"/>
          <w:i w:val="0"/>
          <w:iCs w:val="0"/>
          <w:caps w:val="0"/>
          <w:color w:val="auto"/>
          <w:spacing w:val="0"/>
          <w:sz w:val="32"/>
          <w:szCs w:val="32"/>
          <w:shd w:val="clear"/>
        </w:rPr>
        <w:t>元，其中，一般公共服务万元，社会保障与就业支出万元，卫生健康支出万元，住房保障支出万元</w:t>
      </w:r>
      <w:r>
        <w:rPr>
          <w:rFonts w:hint="eastAsia" w:ascii="仿宋_GB2312" w:hAnsi="仿宋_GB2312" w:eastAsia="仿宋_GB2312" w:cs="仿宋_GB2312"/>
          <w:i w:val="0"/>
          <w:iCs w:val="0"/>
          <w:caps w:val="0"/>
          <w:color w:val="auto"/>
          <w:spacing w:val="0"/>
          <w:sz w:val="32"/>
          <w:szCs w:val="32"/>
          <w:shd w:val="clear"/>
          <w:lang w:eastAsia="zh-CN"/>
        </w:rPr>
        <w:t>。</w:t>
      </w:r>
    </w:p>
    <w:p w14:paraId="07A934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14:paraId="62945F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1、全年收入情况</w:t>
      </w:r>
    </w:p>
    <w:p w14:paraId="738F3A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本年收入合计</w:t>
      </w:r>
      <w:r>
        <w:rPr>
          <w:rFonts w:hint="eastAsia" w:ascii="仿宋_GB2312" w:hAnsi="仿宋_GB2312" w:eastAsia="仿宋_GB2312" w:cs="仿宋_GB2312"/>
          <w:i w:val="0"/>
          <w:iCs w:val="0"/>
          <w:caps w:val="0"/>
          <w:color w:val="auto"/>
          <w:spacing w:val="0"/>
          <w:sz w:val="32"/>
          <w:szCs w:val="32"/>
          <w:shd w:val="clear"/>
          <w:lang w:val="en-US" w:eastAsia="zh-CN"/>
        </w:rPr>
        <w:t>1391.88</w:t>
      </w:r>
      <w:r>
        <w:rPr>
          <w:rFonts w:hint="eastAsia" w:ascii="仿宋_GB2312" w:hAnsi="仿宋_GB2312" w:eastAsia="仿宋_GB2312" w:cs="仿宋_GB2312"/>
          <w:i w:val="0"/>
          <w:iCs w:val="0"/>
          <w:caps w:val="0"/>
          <w:color w:val="auto"/>
          <w:spacing w:val="0"/>
          <w:sz w:val="32"/>
          <w:szCs w:val="32"/>
          <w:shd w:val="clear"/>
        </w:rPr>
        <w:t>万元，其中：一般公共预算财政拨款收入</w:t>
      </w:r>
      <w:r>
        <w:rPr>
          <w:rFonts w:hint="eastAsia" w:ascii="仿宋_GB2312" w:hAnsi="仿宋_GB2312" w:eastAsia="仿宋_GB2312" w:cs="仿宋_GB2312"/>
          <w:i w:val="0"/>
          <w:iCs w:val="0"/>
          <w:caps w:val="0"/>
          <w:color w:val="auto"/>
          <w:spacing w:val="0"/>
          <w:sz w:val="32"/>
          <w:szCs w:val="32"/>
          <w:shd w:val="clear"/>
          <w:lang w:val="en-US" w:eastAsia="zh-CN"/>
        </w:rPr>
        <w:t>1391.88</w:t>
      </w:r>
      <w:r>
        <w:rPr>
          <w:rFonts w:hint="eastAsia" w:ascii="仿宋_GB2312" w:hAnsi="仿宋_GB2312" w:eastAsia="仿宋_GB2312" w:cs="仿宋_GB2312"/>
          <w:i w:val="0"/>
          <w:iCs w:val="0"/>
          <w:caps w:val="0"/>
          <w:color w:val="auto"/>
          <w:spacing w:val="0"/>
          <w:sz w:val="32"/>
          <w:szCs w:val="32"/>
          <w:shd w:val="clear"/>
        </w:rPr>
        <w:t>万元，占100%；上级补助收入0万元；事业收入0万元，；经营收入0万元；附属单位上缴收入0万元；其他收入0万元。</w:t>
      </w:r>
    </w:p>
    <w:p w14:paraId="1686D1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2、全年支出情况</w:t>
      </w:r>
    </w:p>
    <w:p w14:paraId="6080D3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本年支出合计1</w:t>
      </w:r>
      <w:r>
        <w:rPr>
          <w:rFonts w:hint="eastAsia" w:ascii="仿宋_GB2312" w:hAnsi="仿宋_GB2312" w:eastAsia="仿宋_GB2312" w:cs="仿宋_GB2312"/>
          <w:i w:val="0"/>
          <w:iCs w:val="0"/>
          <w:caps w:val="0"/>
          <w:color w:val="auto"/>
          <w:spacing w:val="0"/>
          <w:sz w:val="32"/>
          <w:szCs w:val="32"/>
          <w:shd w:val="clear"/>
          <w:lang w:val="en-US" w:eastAsia="zh-CN"/>
        </w:rPr>
        <w:t>391.88</w:t>
      </w:r>
      <w:r>
        <w:rPr>
          <w:rFonts w:hint="eastAsia" w:ascii="仿宋_GB2312" w:hAnsi="仿宋_GB2312" w:eastAsia="仿宋_GB2312" w:cs="仿宋_GB2312"/>
          <w:i w:val="0"/>
          <w:iCs w:val="0"/>
          <w:caps w:val="0"/>
          <w:color w:val="auto"/>
          <w:spacing w:val="0"/>
          <w:sz w:val="32"/>
          <w:szCs w:val="32"/>
          <w:shd w:val="clear"/>
        </w:rPr>
        <w:t>万元，其中：基本支出</w:t>
      </w:r>
      <w:r>
        <w:rPr>
          <w:rFonts w:hint="eastAsia" w:ascii="仿宋_GB2312" w:hAnsi="仿宋_GB2312" w:eastAsia="仿宋_GB2312" w:cs="仿宋_GB2312"/>
          <w:i w:val="0"/>
          <w:iCs w:val="0"/>
          <w:caps w:val="0"/>
          <w:color w:val="auto"/>
          <w:spacing w:val="0"/>
          <w:sz w:val="32"/>
          <w:szCs w:val="32"/>
          <w:shd w:val="clear"/>
          <w:lang w:val="en-US" w:eastAsia="zh-CN"/>
        </w:rPr>
        <w:t>684.56</w:t>
      </w:r>
      <w:r>
        <w:rPr>
          <w:rFonts w:hint="eastAsia" w:ascii="仿宋_GB2312" w:hAnsi="仿宋_GB2312" w:eastAsia="仿宋_GB2312" w:cs="仿宋_GB2312"/>
          <w:i w:val="0"/>
          <w:iCs w:val="0"/>
          <w:caps w:val="0"/>
          <w:color w:val="auto"/>
          <w:spacing w:val="0"/>
          <w:sz w:val="32"/>
          <w:szCs w:val="32"/>
          <w:shd w:val="clear"/>
        </w:rPr>
        <w:t>万元，占</w:t>
      </w:r>
      <w:r>
        <w:rPr>
          <w:rFonts w:hint="eastAsia" w:ascii="仿宋_GB2312" w:hAnsi="仿宋_GB2312" w:eastAsia="仿宋_GB2312" w:cs="仿宋_GB2312"/>
          <w:i w:val="0"/>
          <w:iCs w:val="0"/>
          <w:caps w:val="0"/>
          <w:color w:val="auto"/>
          <w:spacing w:val="0"/>
          <w:sz w:val="32"/>
          <w:szCs w:val="32"/>
          <w:shd w:val="clear"/>
          <w:lang w:val="en-US" w:eastAsia="zh-CN"/>
        </w:rPr>
        <w:t>49.18</w:t>
      </w:r>
      <w:r>
        <w:rPr>
          <w:rFonts w:hint="eastAsia" w:ascii="仿宋_GB2312" w:hAnsi="仿宋_GB2312" w:eastAsia="仿宋_GB2312" w:cs="仿宋_GB2312"/>
          <w:i w:val="0"/>
          <w:iCs w:val="0"/>
          <w:caps w:val="0"/>
          <w:color w:val="auto"/>
          <w:spacing w:val="0"/>
          <w:sz w:val="32"/>
          <w:szCs w:val="32"/>
          <w:shd w:val="clear"/>
        </w:rPr>
        <w:t>%；项目支出</w:t>
      </w:r>
      <w:r>
        <w:rPr>
          <w:rFonts w:hint="eastAsia" w:ascii="仿宋_GB2312" w:hAnsi="仿宋_GB2312" w:eastAsia="仿宋_GB2312" w:cs="仿宋_GB2312"/>
          <w:i w:val="0"/>
          <w:iCs w:val="0"/>
          <w:caps w:val="0"/>
          <w:color w:val="auto"/>
          <w:spacing w:val="0"/>
          <w:sz w:val="32"/>
          <w:szCs w:val="32"/>
          <w:shd w:val="clear"/>
          <w:lang w:val="en-US" w:eastAsia="zh-CN"/>
        </w:rPr>
        <w:t>707.32</w:t>
      </w:r>
      <w:r>
        <w:rPr>
          <w:rFonts w:hint="eastAsia" w:ascii="仿宋_GB2312" w:hAnsi="仿宋_GB2312" w:eastAsia="仿宋_GB2312" w:cs="仿宋_GB2312"/>
          <w:i w:val="0"/>
          <w:iCs w:val="0"/>
          <w:caps w:val="0"/>
          <w:color w:val="auto"/>
          <w:spacing w:val="0"/>
          <w:sz w:val="32"/>
          <w:szCs w:val="32"/>
          <w:shd w:val="clear"/>
        </w:rPr>
        <w:t>万元，占</w:t>
      </w:r>
      <w:r>
        <w:rPr>
          <w:rFonts w:hint="eastAsia" w:ascii="仿宋_GB2312" w:hAnsi="仿宋_GB2312" w:eastAsia="仿宋_GB2312" w:cs="仿宋_GB2312"/>
          <w:i w:val="0"/>
          <w:iCs w:val="0"/>
          <w:caps w:val="0"/>
          <w:color w:val="auto"/>
          <w:spacing w:val="0"/>
          <w:sz w:val="32"/>
          <w:szCs w:val="32"/>
          <w:shd w:val="clear"/>
          <w:lang w:val="en-US" w:eastAsia="zh-CN"/>
        </w:rPr>
        <w:t>50.82</w:t>
      </w:r>
      <w:r>
        <w:rPr>
          <w:rFonts w:hint="eastAsia" w:ascii="仿宋_GB2312" w:hAnsi="仿宋_GB2312" w:eastAsia="仿宋_GB2312" w:cs="仿宋_GB2312"/>
          <w:i w:val="0"/>
          <w:iCs w:val="0"/>
          <w:caps w:val="0"/>
          <w:color w:val="auto"/>
          <w:spacing w:val="0"/>
          <w:sz w:val="32"/>
          <w:szCs w:val="32"/>
          <w:shd w:val="clear"/>
        </w:rPr>
        <w:t>%；上缴上级支出0万元；经营支出0万元；对附属单位补助支出0万元。</w:t>
      </w:r>
    </w:p>
    <w:p w14:paraId="20BCDE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14:paraId="6511EE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本年“三公”经费预算支出</w:t>
      </w:r>
      <w:r>
        <w:rPr>
          <w:rFonts w:hint="eastAsia" w:ascii="仿宋_GB2312" w:hAnsi="仿宋_GB2312" w:eastAsia="仿宋_GB2312" w:cs="仿宋_GB2312"/>
          <w:i w:val="0"/>
          <w:iCs w:val="0"/>
          <w:caps w:val="0"/>
          <w:color w:val="auto"/>
          <w:spacing w:val="0"/>
          <w:sz w:val="32"/>
          <w:szCs w:val="32"/>
          <w:shd w:val="clear"/>
          <w:lang w:val="en-US" w:eastAsia="zh-CN"/>
        </w:rPr>
        <w:t>10.2万元，决算“三公”经费支出9.92万元，</w:t>
      </w:r>
      <w:r>
        <w:rPr>
          <w:rFonts w:hint="default" w:ascii="仿宋_GB2312" w:hAnsi="仿宋_GB2312" w:eastAsia="仿宋_GB2312" w:cs="仿宋_GB2312"/>
          <w:i w:val="0"/>
          <w:iCs w:val="0"/>
          <w:caps w:val="0"/>
          <w:color w:val="auto"/>
          <w:spacing w:val="0"/>
          <w:sz w:val="32"/>
          <w:szCs w:val="32"/>
          <w:shd w:val="clear"/>
          <w:lang w:val="en-US" w:eastAsia="zh-CN"/>
        </w:rPr>
        <w:t>其中：</w:t>
      </w:r>
    </w:p>
    <w:p w14:paraId="36087A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因公出国（境）费支出预算为0万元，支出决算为0万元。</w:t>
      </w:r>
    </w:p>
    <w:p w14:paraId="02AD9F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公务接待费支出预算为</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default" w:ascii="仿宋_GB2312" w:hAnsi="仿宋_GB2312" w:eastAsia="仿宋_GB2312" w:cs="仿宋_GB2312"/>
          <w:i w:val="0"/>
          <w:iCs w:val="0"/>
          <w:caps w:val="0"/>
          <w:color w:val="auto"/>
          <w:spacing w:val="0"/>
          <w:sz w:val="32"/>
          <w:szCs w:val="32"/>
          <w:shd w:val="clear"/>
          <w:lang w:val="en-US" w:eastAsia="zh-CN"/>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2.72</w:t>
      </w:r>
      <w:r>
        <w:rPr>
          <w:rFonts w:hint="default" w:ascii="仿宋_GB2312" w:hAnsi="仿宋_GB2312" w:eastAsia="仿宋_GB2312" w:cs="仿宋_GB2312"/>
          <w:i w:val="0"/>
          <w:iCs w:val="0"/>
          <w:caps w:val="0"/>
          <w:color w:val="auto"/>
          <w:spacing w:val="0"/>
          <w:sz w:val="32"/>
          <w:szCs w:val="32"/>
          <w:shd w:val="clear"/>
          <w:lang w:val="en-US" w:eastAsia="zh-CN"/>
        </w:rPr>
        <w:t>万元。</w:t>
      </w:r>
    </w:p>
    <w:p w14:paraId="564526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公务用车购置费及运行维护费支出预算为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default" w:ascii="仿宋_GB2312" w:hAnsi="仿宋_GB2312" w:eastAsia="仿宋_GB2312" w:cs="仿宋_GB2312"/>
          <w:i w:val="0"/>
          <w:iCs w:val="0"/>
          <w:caps w:val="0"/>
          <w:color w:val="auto"/>
          <w:spacing w:val="0"/>
          <w:sz w:val="32"/>
          <w:szCs w:val="32"/>
          <w:shd w:val="clear"/>
          <w:lang w:val="en-US" w:eastAsia="zh-CN"/>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default" w:ascii="仿宋_GB2312" w:hAnsi="仿宋_GB2312" w:eastAsia="仿宋_GB2312" w:cs="仿宋_GB2312"/>
          <w:i w:val="0"/>
          <w:iCs w:val="0"/>
          <w:caps w:val="0"/>
          <w:color w:val="auto"/>
          <w:spacing w:val="0"/>
          <w:sz w:val="32"/>
          <w:szCs w:val="32"/>
          <w:shd w:val="clear"/>
          <w:lang w:val="en-US" w:eastAsia="zh-CN"/>
        </w:rPr>
        <w:t>万元</w:t>
      </w:r>
    </w:p>
    <w:p w14:paraId="780833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（四）资金结转和结余情况</w:t>
      </w:r>
    </w:p>
    <w:p w14:paraId="7133BF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本年无资金结余结转</w:t>
      </w:r>
    </w:p>
    <w:p w14:paraId="36BF2C81">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部门整体支出管理与制度建设情况</w:t>
      </w:r>
    </w:p>
    <w:p w14:paraId="0FE2E9B1">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临武县麦市镇政府按照岗位职责，严格执行机关财务管理制度，及时进行会计核算，对项目资金、政府采购进行公开公示，接受群众监督。资金使用均认真执行审批和支付程序，每一笔收支都做到有依据、有凭证、有程序。确保专项资金依法管理与使用。没有发生专项资金的挤占、挪用、截留等违规现象。</w:t>
      </w:r>
    </w:p>
    <w:p w14:paraId="694ED7D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三</w:t>
      </w:r>
      <w:r>
        <w:rPr>
          <w:rFonts w:hint="eastAsia" w:ascii="黑体" w:hAnsi="黑体" w:eastAsia="黑体" w:cs="黑体"/>
          <w:i w:val="0"/>
          <w:iCs w:val="0"/>
          <w:caps w:val="0"/>
          <w:color w:val="auto"/>
          <w:spacing w:val="0"/>
          <w:sz w:val="32"/>
          <w:szCs w:val="32"/>
          <w:shd w:val="clear"/>
        </w:rPr>
        <w:t>、政府性基金预算支出情况</w:t>
      </w:r>
    </w:p>
    <w:p w14:paraId="46E42C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本单位无此项支出</w:t>
      </w:r>
    </w:p>
    <w:p w14:paraId="604490EA">
      <w:pPr>
        <w:pStyle w:val="7"/>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国有资本经营预算支出情况</w:t>
      </w:r>
    </w:p>
    <w:p w14:paraId="5D00D7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本单位无此项支出</w:t>
      </w:r>
    </w:p>
    <w:p w14:paraId="04D546AC">
      <w:pPr>
        <w:pStyle w:val="7"/>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社会保险基金预算支出情况</w:t>
      </w:r>
    </w:p>
    <w:p w14:paraId="16A495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本单位无此项支出</w:t>
      </w:r>
    </w:p>
    <w:p w14:paraId="0552E7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274F8E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（一）综合评价结论。</w:t>
      </w:r>
    </w:p>
    <w:p w14:paraId="1DCF9B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本年度自评得分</w:t>
      </w:r>
      <w:r>
        <w:rPr>
          <w:rFonts w:hint="eastAsia" w:ascii="仿宋_GB2312" w:hAnsi="仿宋_GB2312" w:eastAsia="仿宋_GB2312" w:cs="仿宋_GB2312"/>
          <w:i w:val="0"/>
          <w:iCs w:val="0"/>
          <w:caps w:val="0"/>
          <w:color w:val="auto"/>
          <w:spacing w:val="0"/>
          <w:sz w:val="32"/>
          <w:szCs w:val="32"/>
          <w:shd w:val="clear"/>
          <w:lang w:val="en-US" w:eastAsia="zh-CN"/>
        </w:rPr>
        <w:t>97分，主要扣分点在于预算执行数</w:t>
      </w:r>
    </w:p>
    <w:p w14:paraId="10EC76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（二）对履职效能主要指标的完成情况进行具体分析</w:t>
      </w:r>
    </w:p>
    <w:p w14:paraId="036FAB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在县委、县政府的坚强领导下，临武县</w:t>
      </w:r>
      <w:r>
        <w:rPr>
          <w:rFonts w:hint="eastAsia" w:ascii="仿宋_GB2312" w:hAnsi="仿宋_GB2312" w:eastAsia="仿宋_GB2312" w:cs="仿宋_GB2312"/>
          <w:i w:val="0"/>
          <w:iCs w:val="0"/>
          <w:caps w:val="0"/>
          <w:color w:val="auto"/>
          <w:spacing w:val="0"/>
          <w:sz w:val="32"/>
          <w:szCs w:val="32"/>
          <w:shd w:val="clear"/>
          <w:lang w:eastAsia="zh-CN"/>
        </w:rPr>
        <w:t>麦市</w:t>
      </w:r>
      <w:r>
        <w:rPr>
          <w:rFonts w:hint="eastAsia" w:ascii="仿宋_GB2312" w:hAnsi="仿宋_GB2312" w:eastAsia="仿宋_GB2312" w:cs="仿宋_GB2312"/>
          <w:i w:val="0"/>
          <w:iCs w:val="0"/>
          <w:caps w:val="0"/>
          <w:color w:val="auto"/>
          <w:spacing w:val="0"/>
          <w:sz w:val="32"/>
          <w:szCs w:val="32"/>
          <w:shd w:val="clear"/>
        </w:rPr>
        <w:t>镇人民政府党委坚持稳中求进总基调，立足镇情，狠抓落实，一手抓疫情防控，一手抓经济发展，有力地推动了各项事业持续协调健康发展。鼓励企业积极复工复产</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根据本镇的实际情况，对当地的婚姻家庭、社会习俗、社会治安、村规民约、社会福利、社会保障等社会公共事务方面实施有效的管理，尤其是在环境生态保护、减灾防灾、森林防火，交通安全整治等方面更突显管理优势。</w:t>
      </w:r>
    </w:p>
    <w:p w14:paraId="0AB19A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（二）</w:t>
      </w:r>
      <w:r>
        <w:rPr>
          <w:rFonts w:hint="eastAsia" w:ascii="仿宋_GB2312" w:hAnsi="仿宋_GB2312" w:eastAsia="仿宋_GB2312" w:cs="仿宋_GB2312"/>
          <w:i w:val="0"/>
          <w:iCs w:val="0"/>
          <w:caps w:val="0"/>
          <w:color w:val="auto"/>
          <w:spacing w:val="0"/>
          <w:sz w:val="32"/>
          <w:szCs w:val="32"/>
          <w:shd w:val="clear"/>
        </w:rPr>
        <w:t>对履职效益主要指标的完成情况进行具体分析</w:t>
      </w:r>
    </w:p>
    <w:p w14:paraId="119A2A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反映出部门履职效益好，行政效能较高，社会公众或服务对象比较满意</w:t>
      </w:r>
      <w:r>
        <w:rPr>
          <w:rFonts w:hint="eastAsia" w:ascii="仿宋_GB2312" w:hAnsi="仿宋_GB2312" w:eastAsia="仿宋_GB2312" w:cs="仿宋_GB2312"/>
          <w:i w:val="0"/>
          <w:iCs w:val="0"/>
          <w:caps w:val="0"/>
          <w:color w:val="auto"/>
          <w:spacing w:val="0"/>
          <w:sz w:val="32"/>
          <w:szCs w:val="32"/>
          <w:shd w:val="clear"/>
          <w:lang w:eastAsia="zh-CN"/>
        </w:rPr>
        <w:t>。</w:t>
      </w:r>
    </w:p>
    <w:p w14:paraId="6992BD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673152C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01D4B23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本年度决算支出数大于预算数的主要原因是部分县级支出的项目如双促双带经费</w:t>
      </w:r>
      <w:bookmarkStart w:id="0" w:name="_GoBack"/>
      <w:bookmarkEnd w:id="0"/>
      <w:r>
        <w:rPr>
          <w:rFonts w:hint="eastAsia" w:ascii="仿宋_GB2312" w:hAnsi="仿宋_GB2312" w:eastAsia="仿宋_GB2312" w:cs="仿宋_GB2312"/>
          <w:i w:val="0"/>
          <w:iCs w:val="0"/>
          <w:caps w:val="0"/>
          <w:color w:val="auto"/>
          <w:spacing w:val="0"/>
          <w:sz w:val="32"/>
          <w:szCs w:val="32"/>
          <w:shd w:val="clear"/>
          <w:lang w:eastAsia="zh-CN"/>
        </w:rPr>
        <w:t>、村级办公经费等未列入预算而在本单位进行支出</w:t>
      </w:r>
      <w:r>
        <w:rPr>
          <w:rFonts w:hint="eastAsia" w:ascii="仿宋_GB2312" w:hAnsi="仿宋_GB2312" w:eastAsia="仿宋_GB2312" w:cs="仿宋_GB2312"/>
          <w:i w:val="0"/>
          <w:iCs w:val="0"/>
          <w:caps w:val="0"/>
          <w:color w:val="auto"/>
          <w:spacing w:val="0"/>
          <w:sz w:val="32"/>
          <w:szCs w:val="32"/>
          <w:shd w:val="clear"/>
        </w:rPr>
        <w:t>。</w:t>
      </w:r>
    </w:p>
    <w:p w14:paraId="7DEA71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b/>
          <w:bCs/>
          <w:spacing w:val="-1"/>
          <w:kern w:val="2"/>
          <w:sz w:val="31"/>
          <w:szCs w:val="31"/>
          <w:lang w:val="en-US" w:eastAsia="zh-CN" w:bidi="ar-SA"/>
        </w:rPr>
        <w:t>八、下一步改进措施</w:t>
      </w:r>
    </w:p>
    <w:p w14:paraId="263A8D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提前将部分在本单位支出的县级项目列入预算</w:t>
      </w:r>
    </w:p>
    <w:p w14:paraId="4D386FE1">
      <w:pPr>
        <w:spacing w:before="2" w:line="220" w:lineRule="auto"/>
        <w:ind w:left="684"/>
        <w:rPr>
          <w:rFonts w:hint="eastAsia" w:ascii="黑体" w:hAnsi="黑体" w:eastAsia="黑体" w:cs="黑体"/>
          <w:b/>
          <w:bCs/>
          <w:spacing w:val="-1"/>
          <w:sz w:val="31"/>
          <w:szCs w:val="31"/>
        </w:rPr>
      </w:pPr>
      <w:r>
        <w:rPr>
          <w:rFonts w:hint="eastAsia" w:ascii="黑体" w:hAnsi="黑体" w:eastAsia="黑体" w:cs="黑体"/>
          <w:b/>
          <w:bCs/>
          <w:spacing w:val="-1"/>
          <w:sz w:val="31"/>
          <w:szCs w:val="31"/>
        </w:rPr>
        <w:t>九、部门整体支出绩效自评结果拟应用和公开情况</w:t>
      </w:r>
    </w:p>
    <w:p w14:paraId="46430A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将定期在人民政府门户网站上进行公开</w:t>
      </w:r>
    </w:p>
    <w:p w14:paraId="6F851E92">
      <w:pPr>
        <w:spacing w:before="2" w:line="220" w:lineRule="auto"/>
        <w:ind w:left="684"/>
        <w:rPr>
          <w:rFonts w:ascii="黑体" w:hAnsi="黑体" w:eastAsia="黑体" w:cs="黑体"/>
          <w:sz w:val="31"/>
          <w:szCs w:val="31"/>
        </w:rPr>
      </w:pPr>
      <w:r>
        <w:rPr>
          <w:rFonts w:ascii="黑体" w:hAnsi="黑体" w:eastAsia="黑体" w:cs="黑体"/>
          <w:b/>
          <w:bCs/>
          <w:spacing w:val="-1"/>
          <w:sz w:val="31"/>
          <w:szCs w:val="31"/>
        </w:rPr>
        <w:t>十、其他需要说明的情况</w:t>
      </w:r>
    </w:p>
    <w:p w14:paraId="362AF3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无其他需要说明的情况</w:t>
      </w:r>
    </w:p>
    <w:p w14:paraId="6B262F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2F971C47">
      <w:pPr>
        <w:pStyle w:val="3"/>
        <w:spacing w:line="600" w:lineRule="exact"/>
        <w:rPr>
          <w:sz w:val="31"/>
          <w:szCs w:val="31"/>
        </w:rPr>
      </w:pPr>
      <w:r>
        <w:rPr>
          <w:sz w:val="31"/>
          <w:szCs w:val="31"/>
        </w:rPr>
        <w:t>附件：1、部门整体支出绩效评价基础数据表</w:t>
      </w:r>
    </w:p>
    <w:p w14:paraId="0FD8D008">
      <w:pPr>
        <w:pStyle w:val="3"/>
        <w:spacing w:line="600" w:lineRule="exact"/>
        <w:ind w:firstLine="930" w:firstLineChars="300"/>
        <w:rPr>
          <w:sz w:val="31"/>
          <w:szCs w:val="31"/>
        </w:rPr>
      </w:pPr>
      <w:r>
        <w:rPr>
          <w:sz w:val="31"/>
          <w:szCs w:val="31"/>
        </w:rPr>
        <w:t>2、 部门整体支出绩效自评表</w:t>
      </w:r>
    </w:p>
    <w:p w14:paraId="43B0E3FC">
      <w:pPr>
        <w:pStyle w:val="3"/>
        <w:spacing w:line="600" w:lineRule="exact"/>
        <w:ind w:firstLine="930" w:firstLineChars="300"/>
        <w:rPr>
          <w:sz w:val="31"/>
          <w:szCs w:val="31"/>
        </w:rPr>
      </w:pPr>
      <w:r>
        <w:rPr>
          <w:sz w:val="31"/>
          <w:szCs w:val="31"/>
        </w:rPr>
        <w:t>3、 项目支出绩效自评表(每个一级项目一张表)</w:t>
      </w:r>
    </w:p>
    <w:p w14:paraId="12DBD343">
      <w:pPr>
        <w:pStyle w:val="3"/>
        <w:spacing w:line="600" w:lineRule="exact"/>
        <w:ind w:firstLine="930" w:firstLineChars="300"/>
        <w:rPr>
          <w:sz w:val="31"/>
          <w:szCs w:val="31"/>
        </w:rPr>
      </w:pPr>
      <w:r>
        <w:rPr>
          <w:sz w:val="31"/>
          <w:szCs w:val="31"/>
        </w:rPr>
        <w:t>4、 政府性基金预算支出情况表</w:t>
      </w:r>
    </w:p>
    <w:p w14:paraId="18A6FF1F">
      <w:pPr>
        <w:pStyle w:val="3"/>
        <w:spacing w:line="600" w:lineRule="exact"/>
        <w:ind w:firstLine="930" w:firstLineChars="300"/>
        <w:rPr>
          <w:sz w:val="31"/>
          <w:szCs w:val="31"/>
        </w:rPr>
      </w:pPr>
      <w:r>
        <w:rPr>
          <w:sz w:val="31"/>
          <w:szCs w:val="31"/>
        </w:rPr>
        <w:t>5、 国有资本经营预算支出情况表</w:t>
      </w:r>
    </w:p>
    <w:p w14:paraId="3248A5CD">
      <w:pPr>
        <w:pStyle w:val="3"/>
        <w:spacing w:line="600" w:lineRule="exact"/>
        <w:ind w:firstLine="930" w:firstLineChars="300"/>
        <w:rPr>
          <w:sz w:val="31"/>
          <w:szCs w:val="31"/>
        </w:rPr>
      </w:pPr>
      <w:r>
        <w:rPr>
          <w:sz w:val="31"/>
          <w:szCs w:val="31"/>
        </w:rPr>
        <w:t>6、 社会保险基金预算支出情况表</w:t>
      </w:r>
    </w:p>
    <w:p w14:paraId="3957B180">
      <w:pPr>
        <w:pStyle w:val="3"/>
        <w:spacing w:line="600" w:lineRule="exact"/>
        <w:ind w:firstLine="930" w:firstLineChars="300"/>
        <w:rPr>
          <w:sz w:val="31"/>
          <w:szCs w:val="31"/>
        </w:rPr>
      </w:pPr>
      <w:r>
        <w:rPr>
          <w:rFonts w:hint="eastAsia"/>
          <w:sz w:val="31"/>
          <w:szCs w:val="31"/>
          <w:lang w:eastAsia="zh-CN"/>
        </w:rPr>
        <w:t>7</w:t>
      </w:r>
      <w:r>
        <w:rPr>
          <w:sz w:val="31"/>
          <w:szCs w:val="31"/>
        </w:rPr>
        <w:t>、</w:t>
      </w:r>
      <w:r>
        <w:rPr>
          <w:rFonts w:hint="eastAsia"/>
          <w:sz w:val="31"/>
          <w:szCs w:val="31"/>
          <w:lang w:val="en-US" w:eastAsia="zh-CN"/>
        </w:rPr>
        <w:t>麦市镇人民政府</w:t>
      </w:r>
      <w:r>
        <w:rPr>
          <w:sz w:val="31"/>
          <w:szCs w:val="31"/>
        </w:rPr>
        <w:t>部门预算绩效管理制度建设清单</w:t>
      </w:r>
    </w:p>
    <w:p w14:paraId="23456946">
      <w:pPr>
        <w:pStyle w:val="3"/>
        <w:spacing w:line="600" w:lineRule="exact"/>
        <w:ind w:firstLine="930" w:firstLineChars="300"/>
        <w:rPr>
          <w:sz w:val="31"/>
          <w:szCs w:val="31"/>
        </w:rPr>
      </w:pPr>
      <w:r>
        <w:rPr>
          <w:rFonts w:hint="eastAsia"/>
          <w:sz w:val="31"/>
          <w:szCs w:val="31"/>
          <w:lang w:eastAsia="zh-CN"/>
        </w:rPr>
        <w:t>8</w:t>
      </w:r>
      <w:r>
        <w:rPr>
          <w:sz w:val="31"/>
          <w:szCs w:val="31"/>
        </w:rPr>
        <w:t>、 事前绩效评估报告(含所属单位)</w:t>
      </w:r>
    </w:p>
    <w:p w14:paraId="20D64606">
      <w:pPr>
        <w:pStyle w:val="3"/>
        <w:spacing w:line="600" w:lineRule="exact"/>
        <w:ind w:firstLine="930" w:firstLineChars="300"/>
        <w:rPr>
          <w:sz w:val="31"/>
          <w:szCs w:val="31"/>
        </w:rPr>
      </w:pPr>
      <w:r>
        <w:rPr>
          <w:rFonts w:hint="eastAsia"/>
          <w:sz w:val="31"/>
          <w:szCs w:val="31"/>
          <w:lang w:eastAsia="zh-CN"/>
        </w:rPr>
        <w:t>9</w:t>
      </w:r>
      <w:r>
        <w:rPr>
          <w:sz w:val="31"/>
          <w:szCs w:val="31"/>
        </w:rPr>
        <w:t>、 预算绩效管理各环节结果应用清单</w:t>
      </w:r>
    </w:p>
    <w:p w14:paraId="6B118AF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930" w:firstLineChars="300"/>
        <w:jc w:val="left"/>
        <w:textAlignment w:val="auto"/>
        <w:rPr>
          <w:rFonts w:hint="eastAsia"/>
        </w:rPr>
      </w:pPr>
      <w:r>
        <w:rPr>
          <w:rFonts w:hint="eastAsia" w:ascii="仿宋" w:hAnsi="仿宋" w:eastAsia="仿宋" w:cs="仿宋"/>
          <w:sz w:val="31"/>
          <w:szCs w:val="31"/>
          <w:lang w:eastAsia="zh-CN"/>
        </w:rPr>
        <w:t>1</w:t>
      </w:r>
      <w:r>
        <w:rPr>
          <w:rFonts w:hint="eastAsia" w:ascii="仿宋" w:hAnsi="仿宋" w:eastAsia="仿宋" w:cs="仿宋"/>
          <w:sz w:val="31"/>
          <w:szCs w:val="31"/>
          <w:lang w:val="en-US" w:eastAsia="zh-CN"/>
        </w:rPr>
        <w:t>0</w:t>
      </w:r>
      <w:r>
        <w:rPr>
          <w:rFonts w:hint="eastAsia" w:ascii="仿宋" w:hAnsi="仿宋" w:eastAsia="仿宋" w:cs="仿宋"/>
          <w:sz w:val="31"/>
          <w:szCs w:val="31"/>
          <w:lang w:eastAsia="zh-CN"/>
        </w:rPr>
        <w:t>、</w:t>
      </w:r>
      <w:r>
        <w:rPr>
          <w:rFonts w:hint="eastAsia" w:ascii="宋体" w:hAnsi="宋体" w:eastAsia="宋体" w:cs="宋体"/>
          <w:kern w:val="2"/>
          <w:sz w:val="31"/>
          <w:szCs w:val="31"/>
          <w:lang w:val="en-US" w:eastAsia="zh-CN" w:bidi="ar-SA"/>
        </w:rPr>
        <w:t>部门整体支出绩效评价共性指标评分表</w:t>
      </w:r>
    </w:p>
    <w:p w14:paraId="17EC5916">
      <w:pPr>
        <w:pStyle w:val="3"/>
        <w:spacing w:line="600" w:lineRule="exact"/>
        <w:ind w:firstLine="930" w:firstLineChars="300"/>
        <w:rPr>
          <w:sz w:val="31"/>
          <w:szCs w:val="31"/>
        </w:rPr>
        <w:sectPr>
          <w:footerReference r:id="rId3" w:type="default"/>
          <w:pgSz w:w="11906" w:h="16838"/>
          <w:pgMar w:top="1450" w:right="1839" w:bottom="1698" w:left="1819" w:header="0" w:footer="1389" w:gutter="0"/>
          <w:cols w:space="720" w:num="1"/>
        </w:sectPr>
      </w:pPr>
    </w:p>
    <w:p w14:paraId="72DC48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480" w:firstLineChars="200"/>
        <w:jc w:val="left"/>
        <w:textAlignment w:val="auto"/>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F58B">
    <w:pPr>
      <w:spacing w:before="1" w:line="177" w:lineRule="auto"/>
      <w:rPr>
        <w:rFonts w:ascii="黑体" w:hAnsi="黑体" w:eastAsia="黑体" w:cs="黑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DC61E">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64DC61E">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57E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A66BA"/>
    <w:multiLevelType w:val="singleLevel"/>
    <w:tmpl w:val="F65A66BA"/>
    <w:lvl w:ilvl="0" w:tentative="0">
      <w:start w:val="4"/>
      <w:numFmt w:val="chineseCounting"/>
      <w:suff w:val="nothing"/>
      <w:lvlText w:val="%1、"/>
      <w:lvlJc w:val="left"/>
      <w:rPr>
        <w:rFonts w:hint="eastAsia" w:ascii="黑体" w:hAnsi="黑体" w:eastAsia="黑体" w:cs="黑体"/>
        <w:sz w:val="32"/>
        <w:szCs w:val="32"/>
      </w:rPr>
    </w:lvl>
  </w:abstractNum>
  <w:abstractNum w:abstractNumId="1">
    <w:nsid w:val="29436766"/>
    <w:multiLevelType w:val="singleLevel"/>
    <w:tmpl w:val="29436766"/>
    <w:lvl w:ilvl="0" w:tentative="0">
      <w:start w:val="8"/>
      <w:numFmt w:val="chineseCounting"/>
      <w:suff w:val="nothing"/>
      <w:lvlText w:val="%1、"/>
      <w:lvlJc w:val="left"/>
      <w:rPr>
        <w:rFonts w:hint="eastAsia"/>
      </w:rPr>
    </w:lvl>
  </w:abstractNum>
  <w:abstractNum w:abstractNumId="2">
    <w:nsid w:val="7F4C442F"/>
    <w:multiLevelType w:val="singleLevel"/>
    <w:tmpl w:val="7F4C442F"/>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NDJjNmY1Mzc1ODI1ZTUzNjA3NGZlMGRiZjgzZmMifQ=="/>
  </w:docVars>
  <w:rsids>
    <w:rsidRoot w:val="7245723A"/>
    <w:rsid w:val="010F7FF3"/>
    <w:rsid w:val="022E25FB"/>
    <w:rsid w:val="04B77E0D"/>
    <w:rsid w:val="054B35C3"/>
    <w:rsid w:val="09FB4E50"/>
    <w:rsid w:val="1A2E5948"/>
    <w:rsid w:val="1D504F0F"/>
    <w:rsid w:val="20C504C5"/>
    <w:rsid w:val="290D7B43"/>
    <w:rsid w:val="29501CF8"/>
    <w:rsid w:val="31245387"/>
    <w:rsid w:val="32214C3B"/>
    <w:rsid w:val="32823EE8"/>
    <w:rsid w:val="32D86D24"/>
    <w:rsid w:val="32F75DAA"/>
    <w:rsid w:val="35396712"/>
    <w:rsid w:val="35B31285"/>
    <w:rsid w:val="35EB5C31"/>
    <w:rsid w:val="381E5545"/>
    <w:rsid w:val="3DB12EEE"/>
    <w:rsid w:val="3E097DBF"/>
    <w:rsid w:val="3E6E61BD"/>
    <w:rsid w:val="3FBC0583"/>
    <w:rsid w:val="3FBD2A48"/>
    <w:rsid w:val="40B808FD"/>
    <w:rsid w:val="40EB01E5"/>
    <w:rsid w:val="43C4262A"/>
    <w:rsid w:val="47577C97"/>
    <w:rsid w:val="484F02A2"/>
    <w:rsid w:val="48CA1C78"/>
    <w:rsid w:val="4A491FC0"/>
    <w:rsid w:val="4B683B54"/>
    <w:rsid w:val="4C0D0258"/>
    <w:rsid w:val="50212524"/>
    <w:rsid w:val="50BA0E8E"/>
    <w:rsid w:val="51A24DA2"/>
    <w:rsid w:val="564451BE"/>
    <w:rsid w:val="57D76DD3"/>
    <w:rsid w:val="59F24396"/>
    <w:rsid w:val="5ABD68DC"/>
    <w:rsid w:val="5C825851"/>
    <w:rsid w:val="60395667"/>
    <w:rsid w:val="63626220"/>
    <w:rsid w:val="65F86433"/>
    <w:rsid w:val="6CD30313"/>
    <w:rsid w:val="6DF93403"/>
    <w:rsid w:val="701B67C5"/>
    <w:rsid w:val="7245723A"/>
    <w:rsid w:val="73830C7C"/>
    <w:rsid w:val="77356731"/>
    <w:rsid w:val="78902E92"/>
    <w:rsid w:val="78D637D9"/>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3">
    <w:name w:val="Body Text"/>
    <w:basedOn w:val="1"/>
    <w:autoRedefine/>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首行缩进1"/>
    <w:basedOn w:val="1"/>
    <w:next w:val="1"/>
    <w:qFormat/>
    <w:uiPriority w:val="0"/>
    <w:pPr>
      <w:widowControl w:val="0"/>
      <w:spacing w:after="120"/>
      <w:ind w:firstLine="420" w:firstLineChars="100"/>
      <w:jc w:val="both"/>
    </w:pPr>
    <w:rPr>
      <w:rFonts w:hint="eastAsia"/>
      <w:kern w:val="2"/>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2426</Words>
  <Characters>2553</Characters>
  <Lines>0</Lines>
  <Paragraphs>0</Paragraphs>
  <TotalTime>13</TotalTime>
  <ScaleCrop>false</ScaleCrop>
  <LinksUpToDate>false</LinksUpToDate>
  <CharactersWithSpaces>2569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FY</cp:lastModifiedBy>
  <cp:lastPrinted>2023-06-14T06:16:00Z</cp:lastPrinted>
  <dcterms:modified xsi:type="dcterms:W3CDTF">2025-06-24T01:35:05Z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BE8DF37F09BE49D28C25D799273F4469_13</vt:lpwstr>
  </property>
  <property fmtid="{D5CDD505-2E9C-101B-9397-08002B2CF9AE}" pid="4" name="KSOTemplateDocerSaveRecord">
    <vt:lpwstr>eyJoZGlkIjoiNGNkNTI1MTUxZjZlYTg4YTNkNjUzYzZmZWE0NzJlNTciLCJ1c2VySWQiOiI0MTU4NjIxMTQifQ==</vt:lpwstr>
  </property>
</Properties>
</file>