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/>
        </w:rPr>
        <w:br w:type="textWrapping"/>
      </w:r>
    </w:p>
    <w:p>
      <w:pPr>
        <w:jc w:val="center"/>
        <w:rPr>
          <w:rFonts w:hint="eastAsia"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  <w:lang w:eastAsia="zh-CN"/>
        </w:rPr>
        <w:t>2024年</w:t>
      </w:r>
      <w:r>
        <w:rPr>
          <w:rFonts w:hint="eastAsia" w:ascii="宋体" w:hAnsi="宋体" w:eastAsia="宋体"/>
          <w:b/>
          <w:sz w:val="36"/>
          <w:szCs w:val="30"/>
        </w:rPr>
        <w:t>度临武县</w:t>
      </w:r>
      <w:r>
        <w:rPr>
          <w:rFonts w:hint="eastAsia" w:ascii="宋体" w:hAnsi="宋体" w:eastAsia="宋体"/>
          <w:b/>
          <w:sz w:val="36"/>
          <w:szCs w:val="30"/>
          <w:lang w:val="en-US" w:eastAsia="zh-CN"/>
        </w:rPr>
        <w:t>镇南乡初级中学</w:t>
      </w:r>
      <w:r>
        <w:rPr>
          <w:rFonts w:hint="eastAsia" w:ascii="宋体" w:hAnsi="宋体" w:eastAsia="宋体"/>
          <w:b/>
          <w:sz w:val="36"/>
          <w:szCs w:val="30"/>
        </w:rPr>
        <w:t>整体支出</w:t>
      </w:r>
    </w:p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</w:rPr>
        <w:t>绩效自评报告</w:t>
      </w:r>
    </w:p>
    <w:p/>
    <w:p>
      <w:pPr>
        <w:ind w:firstLine="560" w:firstLineChars="200"/>
      </w:pPr>
      <w:r>
        <w:rPr>
          <w:rFonts w:hint="eastAsia" w:ascii="宋体" w:hAnsi="宋体" w:eastAsia="宋体"/>
          <w:sz w:val="28"/>
        </w:rPr>
        <w:t>为全面实施预算绩效管理，进一步加强财政支出管理，强化部门支出责任，切实提高财政资金使用效益和管理水平，根据《中华人民共和国预算法》、《中华人民共和国预算法实施条例》、《中共中央、国务院关于全面实施预算绩效管理的意见》（中发[2018]34号）、《中共湖南省委办公厅、湖南省人民政府办公厅全面实施预算绩效管理的实施意见》（湘办发[2019]10号）及《关于做好</w:t>
      </w:r>
      <w:r>
        <w:rPr>
          <w:rFonts w:hint="eastAsia" w:ascii="宋体" w:hAnsi="宋体" w:eastAsia="宋体"/>
          <w:sz w:val="28"/>
          <w:lang w:eastAsia="zh-CN"/>
        </w:rPr>
        <w:t>202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lang w:eastAsia="zh-CN"/>
        </w:rPr>
        <w:t>年</w:t>
      </w:r>
      <w:r>
        <w:rPr>
          <w:rFonts w:hint="eastAsia" w:ascii="宋体" w:hAnsi="宋体" w:eastAsia="宋体"/>
          <w:sz w:val="28"/>
        </w:rPr>
        <w:t>预算绩效管理工作的通知》（临财绩[202</w:t>
      </w:r>
      <w:r>
        <w:rPr>
          <w:rFonts w:hint="eastAsia" w:ascii="宋体" w:hAnsi="宋体" w:eastAsia="宋体"/>
          <w:sz w:val="28"/>
          <w:lang w:val="en-US" w:eastAsia="zh-CN"/>
        </w:rPr>
        <w:t>5</w:t>
      </w:r>
      <w:r>
        <w:rPr>
          <w:rFonts w:hint="eastAsia" w:ascii="宋体" w:hAnsi="宋体" w:eastAsia="宋体"/>
          <w:sz w:val="28"/>
        </w:rPr>
        <w:t>]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hint="eastAsia" w:ascii="宋体" w:hAnsi="宋体" w:eastAsia="宋体"/>
          <w:sz w:val="28"/>
        </w:rPr>
        <w:t>5号）等文件精神，我单位对</w:t>
      </w:r>
      <w:r>
        <w:rPr>
          <w:rFonts w:hint="eastAsia" w:ascii="宋体" w:hAnsi="宋体" w:eastAsia="宋体"/>
          <w:sz w:val="28"/>
          <w:lang w:eastAsia="zh-CN"/>
        </w:rPr>
        <w:t>202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lang w:eastAsia="zh-CN"/>
        </w:rPr>
        <w:t>年</w:t>
      </w:r>
      <w:r>
        <w:rPr>
          <w:rFonts w:hint="eastAsia" w:ascii="宋体" w:hAnsi="宋体" w:eastAsia="宋体"/>
          <w:sz w:val="28"/>
        </w:rPr>
        <w:t>部门整体支出进行了绩效自评，现将绩效自评情况报告如下</w:t>
      </w:r>
      <w:r>
        <w:rPr>
          <w:rFonts w:hint="eastAsia"/>
        </w:rPr>
        <w:t>：</w:t>
      </w:r>
    </w:p>
    <w:p>
      <w:pPr>
        <w:rPr>
          <w:b/>
          <w:sz w:val="24"/>
        </w:rPr>
      </w:pP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</w:t>
      </w:r>
      <w:r>
        <w:rPr>
          <w:rFonts w:ascii="黑体" w:hAnsi="黑体" w:eastAsia="黑体" w:cs="黑体"/>
          <w:spacing w:val="4"/>
          <w:sz w:val="31"/>
          <w:szCs w:val="31"/>
        </w:rPr>
        <w:t>基本情况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（一）机构设置情况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我校为独立核算机构，内设办公室、财务室、教导处、政务处、电教处、后勤处等六个部门。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（二）人员编制情况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现有编制数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个，在编教师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/>
          <w:sz w:val="28"/>
          <w:szCs w:val="28"/>
        </w:rPr>
        <w:t>人，退休教师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人，在校学生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139</w:t>
      </w:r>
      <w:r>
        <w:rPr>
          <w:rFonts w:hint="eastAsia" w:ascii="宋体" w:hAnsi="宋体" w:eastAsia="宋体"/>
          <w:sz w:val="28"/>
          <w:szCs w:val="28"/>
        </w:rPr>
        <w:t>人。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（三）主要职能职责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1、负责贯彻党的教育方针，坚持社会主义办学方向，对学生进行德育、智育、体育、美育和劳动教育等方面的教育。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2、负责配合各级人民政府依法动员适龄儿童、少年入学，严格控制学生辍学，依法保证适龄儿童、少年接受九年义务教育。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3、负责制定学校教育发展规划，并抓好组织实施和落实工作。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4、负责按照教育主管部门发布的指导性教学计划、教学大纲，组织实施教育教学活动。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5、负责依据国家主管部门有关教学计划、课程设置等方面的规定，决定和实施本校的教学计划，组织教学评比、集体备课，对学生进行统一考核、考试等。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6、负责学籍管理。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7、负责聘任、培训、考核教师，依法奖励或处分有关教师和职工。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8、负责科学管理、合理使用学校的设施和经费，并积极筹措资金，改善办学条件。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9、负责维护学校、师生的合法权益，有权拒绝任何组织和个人对教育教学活动进行非法干涉。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10、依法接受各级教育行政部门的检查指导和人民群众的监督。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（四）绩效目标设定情况</w:t>
      </w:r>
    </w:p>
    <w:p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>根据绩效评价的相关要求，本单位设立了整体支出年度绩效指标和项目支出绩效指标。绩效指标按三项一级绩效指标，九项二级指标，同时设立了相应的绩效指标。根据定量分析及定性分析，综合绩效评价打分，对资金进行自评。</w:t>
      </w:r>
    </w:p>
    <w:p/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二、一般公共预算支出情况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（一）经批复的预、决算情况</w:t>
      </w:r>
    </w:p>
    <w:p>
      <w:pPr>
        <w:ind w:firstLine="560" w:firstLineChars="200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</w:t>
      </w:r>
      <w:r>
        <w:rPr>
          <w:rFonts w:hint="eastAsia" w:ascii="宋体" w:hAnsi="宋体" w:eastAsia="宋体"/>
          <w:sz w:val="28"/>
          <w:lang w:val="en-US" w:eastAsia="zh-CN"/>
        </w:rPr>
        <w:t>算收入310.38万元；2024年批复预算支出310.38万元。</w:t>
      </w:r>
    </w:p>
    <w:p>
      <w:pPr>
        <w:ind w:firstLine="560" w:firstLineChars="200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t>2024年批复决算财政拨款收入299.73万元；2024年批复决算支出299.73万元。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（二）部门预算执行情况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1.基本支出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批复基本支出年初预算</w:t>
      </w:r>
      <w:r>
        <w:rPr>
          <w:rFonts w:hint="eastAsia" w:ascii="宋体" w:hAnsi="宋体" w:eastAsia="宋体"/>
          <w:sz w:val="28"/>
          <w:lang w:val="en-US" w:eastAsia="zh-CN"/>
        </w:rPr>
        <w:t>287.38万</w:t>
      </w:r>
      <w:r>
        <w:rPr>
          <w:rFonts w:hint="eastAsia" w:ascii="宋体" w:hAnsi="宋体" w:eastAsia="宋体"/>
          <w:sz w:val="28"/>
        </w:rPr>
        <w:t>元；批复决算基本支出</w:t>
      </w:r>
      <w:r>
        <w:rPr>
          <w:rFonts w:hint="eastAsia" w:ascii="宋体" w:hAnsi="宋体" w:eastAsia="宋体"/>
          <w:sz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lang w:val="en-US" w:eastAsia="zh-CN"/>
        </w:rPr>
        <w:t>88.44</w:t>
      </w:r>
      <w:r>
        <w:rPr>
          <w:rFonts w:hint="eastAsia" w:ascii="宋体" w:hAnsi="宋体" w:eastAsia="宋体"/>
          <w:sz w:val="28"/>
        </w:rPr>
        <w:t>万元，其中:人员经费支出</w:t>
      </w:r>
      <w:r>
        <w:rPr>
          <w:rFonts w:hint="eastAsia" w:ascii="宋体" w:hAnsi="宋体" w:eastAsia="宋体"/>
          <w:sz w:val="28"/>
          <w:lang w:val="en-US" w:eastAsia="zh-CN"/>
        </w:rPr>
        <w:t>256.72</w:t>
      </w:r>
      <w:r>
        <w:rPr>
          <w:rFonts w:hint="eastAsia" w:ascii="宋体" w:hAnsi="宋体" w:eastAsia="宋体"/>
          <w:sz w:val="28"/>
        </w:rPr>
        <w:t>万元，主要用于基本工资、津贴补贴、奖金、社会保障缴费、其他工资福利支出、住房公积金、退休人员春节及重阳节慰问金、独生子女费等支出；一般商品和服务支出</w:t>
      </w:r>
      <w:r>
        <w:rPr>
          <w:rFonts w:hint="eastAsia" w:ascii="宋体" w:hAnsi="宋体" w:eastAsia="宋体"/>
          <w:sz w:val="28"/>
          <w:lang w:val="en-US" w:eastAsia="zh-CN"/>
        </w:rPr>
        <w:t>31.72</w:t>
      </w:r>
      <w:r>
        <w:rPr>
          <w:rFonts w:hint="eastAsia" w:ascii="宋体" w:hAnsi="宋体" w:eastAsia="宋体"/>
          <w:sz w:val="28"/>
        </w:rPr>
        <w:t>万元，主要用于：办公费、邮电费、差旅费、维护（修）费、公务接待费、工会经费、办公设备购置费等。决算数</w:t>
      </w:r>
      <w:r>
        <w:rPr>
          <w:rFonts w:hint="eastAsia" w:ascii="宋体" w:hAnsi="宋体" w:eastAsia="宋体"/>
          <w:sz w:val="28"/>
          <w:lang w:val="en-US" w:eastAsia="zh-CN"/>
        </w:rPr>
        <w:t>等于</w:t>
      </w:r>
      <w:r>
        <w:rPr>
          <w:rFonts w:hint="eastAsia" w:ascii="宋体" w:hAnsi="宋体" w:eastAsia="宋体"/>
          <w:sz w:val="28"/>
        </w:rPr>
        <w:t>预算数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2.项目支出情况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度专项资金安排和使用管理情况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本部门项目支出预算</w:t>
      </w:r>
      <w:r>
        <w:rPr>
          <w:rFonts w:hint="eastAsia" w:ascii="宋体" w:hAnsi="宋体" w:eastAsia="宋体"/>
          <w:sz w:val="28"/>
          <w:lang w:val="en-US" w:eastAsia="zh-CN"/>
        </w:rPr>
        <w:t>11.29</w:t>
      </w:r>
      <w:r>
        <w:rPr>
          <w:rFonts w:ascii="宋体" w:hAnsi="宋体" w:eastAsia="宋体"/>
          <w:sz w:val="28"/>
        </w:rPr>
        <w:t xml:space="preserve"> 万元，主要是部门为完成特定行政工作任务或事业发展目标而发生的支出，包括有关事业发展专项、专项业务费、基本建设支出等</w:t>
      </w:r>
      <w:r>
        <w:rPr>
          <w:rFonts w:hint="eastAsia" w:ascii="宋体" w:hAnsi="宋体" w:eastAsia="宋体"/>
          <w:sz w:val="28"/>
          <w:lang w:eastAsia="zh-CN"/>
        </w:rPr>
        <w:t>。</w:t>
      </w:r>
      <w:bookmarkStart w:id="0" w:name="_GoBack"/>
      <w:bookmarkEnd w:id="0"/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ascii="宋体" w:hAnsi="宋体" w:eastAsia="宋体"/>
          <w:sz w:val="28"/>
        </w:rPr>
        <w:t>以习近平新时代中国特色社会主义思想为指导，全面贯彻党的教育方针，落实党中央、国务院及省委、省政府“双减”工作部署，强化学校教育主阵地作用，将做好中小学课后服务工作作为落实立德树人根本任务、满足学生多样化需求、促进学生全面发展的重要途径，着力提升教育服务能力，切实减轻学生和家长负担，推动课后服务高质量开展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（2）除专项资金以外的其他项目支出情况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本单位除专项资金以外的其他项目支出。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（三）三公经费使用和管理情况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度部门 “三公”经费使用管理情况: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度“三公”经费财政拨款支出决算为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>万元（其中：公务接待费</w:t>
      </w:r>
      <w:r>
        <w:rPr>
          <w:rFonts w:hint="eastAsia" w:ascii="宋体" w:hAnsi="宋体" w:eastAsia="宋体"/>
          <w:sz w:val="28"/>
          <w:lang w:val="en-US" w:eastAsia="zh-CN"/>
        </w:rPr>
        <w:t>0</w:t>
      </w:r>
      <w:r>
        <w:rPr>
          <w:rFonts w:ascii="宋体" w:hAnsi="宋体" w:eastAsia="宋体"/>
          <w:sz w:val="28"/>
        </w:rPr>
        <w:t>万元，公务用车运行经0万元，因公出国（境）费0万元），完成预算的</w:t>
      </w:r>
      <w:r>
        <w:rPr>
          <w:rFonts w:hint="eastAsia" w:ascii="宋体" w:hAnsi="宋体" w:eastAsia="宋体"/>
          <w:sz w:val="28"/>
        </w:rPr>
        <w:t>0</w:t>
      </w:r>
      <w:r>
        <w:rPr>
          <w:rFonts w:ascii="宋体" w:hAnsi="宋体" w:eastAsia="宋体"/>
          <w:sz w:val="28"/>
        </w:rPr>
        <w:t>%</w:t>
      </w:r>
      <w:r>
        <w:rPr>
          <w:rFonts w:hint="eastAsia" w:ascii="宋体" w:hAnsi="宋体" w:eastAsia="宋体"/>
          <w:sz w:val="28"/>
        </w:rPr>
        <w:t>，与上年决算持平，主要原因是本部门无</w:t>
      </w:r>
      <w:r>
        <w:rPr>
          <w:rFonts w:hint="eastAsia" w:ascii="宋体" w:hAnsi="宋体" w:eastAsia="宋体"/>
          <w:sz w:val="28"/>
          <w:lang w:eastAsia="zh-CN"/>
        </w:rPr>
        <w:t>三公支出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（四）资金结转和结余情况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没有资金结转和结余。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（五）部门整体支出管理与制度建设情况</w:t>
      </w:r>
    </w:p>
    <w:p>
      <w:pPr>
        <w:ind w:firstLine="280" w:firstLineChars="1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部门整体支出管理情况：我校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（2）制度建设情况：根据我校工作实际，建立了《预算业务管理制度》、《收支业务管理制度》、《资产业务管理制度》、《建设项目业务管理制度》、《合同业务管理制度》、《政府采购管理制度》等内控制度，制定了《临武县</w:t>
      </w:r>
      <w:r>
        <w:rPr>
          <w:rFonts w:hint="eastAsia" w:ascii="宋体" w:hAnsi="宋体" w:eastAsia="宋体"/>
          <w:sz w:val="28"/>
          <w:lang w:eastAsia="zh-CN"/>
        </w:rPr>
        <w:t>镇南乡初级中学</w:t>
      </w:r>
      <w:r>
        <w:rPr>
          <w:rFonts w:hint="eastAsia" w:ascii="宋体" w:hAnsi="宋体" w:eastAsia="宋体"/>
          <w:sz w:val="28"/>
        </w:rPr>
        <w:t>内部管理制度》，涉及工作制度、纪律制度、财务制度、内控制度等，为财政资金支出提供了制度保障，防范了风险，保证了财政资金的安全和高效运行。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三、政府性基金预算支出情况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本单位本年度没有政府性基金预算支出。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四、国有资本经营预算支出情况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本单位本年度没有国有资本经营预算支出。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五、社会保险基金预算支出情况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本单位本年度没有社会保险基金预算支出。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六、部门整体支出绩效情况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（一）综合评价结论。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　根据定量分析及定性分析，综合绩效评价打分，在部门整体支出绩效自评得分</w:t>
      </w:r>
      <w:r>
        <w:rPr>
          <w:rFonts w:hint="eastAsia" w:ascii="宋体" w:hAnsi="宋体" w:eastAsia="宋体"/>
          <w:sz w:val="28"/>
          <w:lang w:val="en-US" w:eastAsia="zh-CN"/>
        </w:rPr>
        <w:t>99.66</w:t>
      </w:r>
      <w:r>
        <w:rPr>
          <w:rFonts w:hint="eastAsia" w:ascii="宋体" w:hAnsi="宋体" w:eastAsia="宋体"/>
          <w:sz w:val="28"/>
        </w:rPr>
        <w:t>分，其中产出指标得分</w:t>
      </w:r>
      <w:r>
        <w:rPr>
          <w:rFonts w:hint="eastAsia" w:ascii="宋体" w:hAnsi="宋体" w:eastAsia="宋体"/>
          <w:sz w:val="28"/>
          <w:lang w:val="en-US" w:eastAsia="zh-CN"/>
        </w:rPr>
        <w:t>50</w:t>
      </w:r>
      <w:r>
        <w:rPr>
          <w:rFonts w:hint="eastAsia" w:ascii="宋体" w:hAnsi="宋体" w:eastAsia="宋体"/>
          <w:sz w:val="28"/>
        </w:rPr>
        <w:t>分，质量指标、成本指标完成有待加强；效益指标得分</w:t>
      </w:r>
      <w:r>
        <w:rPr>
          <w:rFonts w:hint="eastAsia" w:ascii="宋体" w:hAnsi="宋体" w:eastAsia="宋体"/>
          <w:sz w:val="28"/>
          <w:lang w:val="en-US" w:eastAsia="zh-CN"/>
        </w:rPr>
        <w:t>30</w:t>
      </w:r>
      <w:r>
        <w:rPr>
          <w:rFonts w:hint="eastAsia" w:ascii="宋体" w:hAnsi="宋体" w:eastAsia="宋体"/>
          <w:sz w:val="28"/>
        </w:rPr>
        <w:t>分，满意度指标</w:t>
      </w:r>
      <w:r>
        <w:rPr>
          <w:rFonts w:hint="eastAsia" w:ascii="宋体" w:hAnsi="宋体" w:eastAsia="宋体"/>
          <w:sz w:val="28"/>
          <w:lang w:val="en-US" w:eastAsia="zh-CN"/>
        </w:rPr>
        <w:t>10</w:t>
      </w:r>
      <w:r>
        <w:rPr>
          <w:rFonts w:hint="eastAsia" w:ascii="宋体" w:hAnsi="宋体" w:eastAsia="宋体"/>
          <w:sz w:val="28"/>
        </w:rPr>
        <w:t>分，全年执行得分</w:t>
      </w:r>
      <w:r>
        <w:rPr>
          <w:rFonts w:hint="eastAsia" w:ascii="宋体" w:hAnsi="宋体" w:eastAsia="宋体"/>
          <w:sz w:val="28"/>
          <w:lang w:val="en-US" w:eastAsia="zh-CN"/>
        </w:rPr>
        <w:t>9.66</w:t>
      </w:r>
      <w:r>
        <w:rPr>
          <w:rFonts w:hint="eastAsia" w:ascii="宋体" w:hAnsi="宋体" w:eastAsia="宋体"/>
          <w:sz w:val="28"/>
        </w:rPr>
        <w:t>分。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（二）综合评价情况。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本部门按要求对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开展绩效自评，从评价情况来看整体支出绩效目标基本完成，根据预算合理安排资金支出，做到厉行节约、精打细算，把有效的资金用到刀刃上，让财政资金发挥最大的社会及经济效益并保证各项工作的正常运转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通过预算的执行，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校风、教风、学风，上下一致，团结协作，以认真务实的工作作风，加强教学研究，不断解决教学中的新问题，全面提高教学质量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七、存在的问题及原因分析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2、公用经费的控制有一定难度，基本为刚性支出。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八、下一步改进措施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针对上述存在的问题及对外整体支出管理工作的需要，拟实施的改进措施如下：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细化预算编制工作，认真做好预算的编制。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700" w:firstLineChars="25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sz w:val="28"/>
        </w:rPr>
        <w:t>4、对相关人员加强培训，特别是针对《中华人民共和国预算法》、《政府会计制度》等学习培训，规范部门预算收支核算，切实提高部门预算收支管理水平。</w:t>
      </w:r>
    </w:p>
    <w:p>
      <w:pPr>
        <w:spacing w:before="246" w:line="580" w:lineRule="exact"/>
        <w:ind w:left="684"/>
        <w:rPr>
          <w:rFonts w:ascii="黑体" w:hAnsi="黑体" w:eastAsia="黑体" w:cs="黑体"/>
          <w:b/>
          <w:bCs/>
          <w:position w:val="20"/>
          <w:sz w:val="31"/>
          <w:szCs w:val="31"/>
        </w:rPr>
      </w:pPr>
      <w:r>
        <w:rPr>
          <w:rFonts w:ascii="黑体" w:hAnsi="黑体" w:eastAsia="黑体" w:cs="黑体"/>
          <w:b/>
          <w:bCs/>
          <w:position w:val="20"/>
          <w:sz w:val="31"/>
          <w:szCs w:val="31"/>
        </w:rPr>
        <w:t>九、部门整体支出绩效自评结果拟应用和公开情况</w:t>
      </w:r>
    </w:p>
    <w:p>
      <w:pPr>
        <w:spacing w:before="246" w:line="580" w:lineRule="exact"/>
        <w:ind w:left="684"/>
        <w:rPr>
          <w:rFonts w:hint="eastAsia" w:ascii="黑体" w:hAnsi="黑体" w:eastAsia="宋体" w:cs="黑体"/>
          <w:b/>
          <w:bCs/>
          <w:position w:val="20"/>
          <w:sz w:val="31"/>
          <w:szCs w:val="31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根据</w:t>
      </w:r>
      <w:r>
        <w:rPr>
          <w:rFonts w:hint="eastAsia" w:ascii="宋体" w:hAnsi="宋体" w:eastAsia="宋体"/>
          <w:sz w:val="28"/>
        </w:rPr>
        <w:t>部门整体支出绩效自评结果</w:t>
      </w:r>
      <w:r>
        <w:rPr>
          <w:rFonts w:hint="eastAsia" w:ascii="宋体" w:hAnsi="宋体" w:eastAsia="宋体"/>
          <w:sz w:val="28"/>
          <w:lang w:eastAsia="zh-CN"/>
        </w:rPr>
        <w:t>查漏补缺，争取以后年度获得更高的评分。</w:t>
      </w:r>
      <w:r>
        <w:rPr>
          <w:rFonts w:hint="eastAsia" w:ascii="宋体" w:hAnsi="宋体" w:eastAsia="宋体"/>
          <w:sz w:val="28"/>
        </w:rPr>
        <w:t>部门整体支出绩效自评</w:t>
      </w:r>
      <w:r>
        <w:rPr>
          <w:rFonts w:hint="eastAsia" w:ascii="宋体" w:hAnsi="宋体" w:eastAsia="宋体"/>
          <w:sz w:val="28"/>
          <w:lang w:eastAsia="zh-CN"/>
        </w:rPr>
        <w:t>均在临武县政府网</w:t>
      </w:r>
      <w:r>
        <w:rPr>
          <w:rFonts w:hint="eastAsia" w:ascii="宋体" w:hAnsi="宋体" w:eastAsia="宋体"/>
          <w:sz w:val="28"/>
        </w:rPr>
        <w:t>公开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>
      <w:pPr>
        <w:spacing w:before="2" w:line="220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十、其他需要说明的情况</w:t>
      </w:r>
    </w:p>
    <w:p>
      <w:pPr>
        <w:ind w:firstLine="700" w:firstLineChars="250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无。</w:t>
      </w:r>
    </w:p>
    <w:p>
      <w:pPr>
        <w:ind w:firstLine="700" w:firstLineChars="250"/>
        <w:rPr>
          <w:rFonts w:hint="eastAsia"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TUyNzA4YzJjNjJkZTA2ZWUyMjI0ZTJmOTRlMWMifQ=="/>
    <w:docVar w:name="KSO_WPS_MARK_KEY" w:val="208e43c9-09af-44ef-91d8-a185398634fc"/>
  </w:docVars>
  <w:rsids>
    <w:rsidRoot w:val="00F933CF"/>
    <w:rsid w:val="00052D3A"/>
    <w:rsid w:val="00071C09"/>
    <w:rsid w:val="000B2525"/>
    <w:rsid w:val="00120E7F"/>
    <w:rsid w:val="00165AB0"/>
    <w:rsid w:val="001B7221"/>
    <w:rsid w:val="001E2CBC"/>
    <w:rsid w:val="00225553"/>
    <w:rsid w:val="0025457D"/>
    <w:rsid w:val="0027548D"/>
    <w:rsid w:val="0028361D"/>
    <w:rsid w:val="0029294B"/>
    <w:rsid w:val="002A1346"/>
    <w:rsid w:val="002A3696"/>
    <w:rsid w:val="002B2ABB"/>
    <w:rsid w:val="002D0218"/>
    <w:rsid w:val="002D7785"/>
    <w:rsid w:val="002F5386"/>
    <w:rsid w:val="00347FA3"/>
    <w:rsid w:val="00395FFB"/>
    <w:rsid w:val="00437A84"/>
    <w:rsid w:val="00467B98"/>
    <w:rsid w:val="004945E2"/>
    <w:rsid w:val="004B55B4"/>
    <w:rsid w:val="004C3773"/>
    <w:rsid w:val="004E046B"/>
    <w:rsid w:val="00585833"/>
    <w:rsid w:val="005D3182"/>
    <w:rsid w:val="00682B41"/>
    <w:rsid w:val="006B51CF"/>
    <w:rsid w:val="006D66A5"/>
    <w:rsid w:val="007079B5"/>
    <w:rsid w:val="0073533B"/>
    <w:rsid w:val="00796FBF"/>
    <w:rsid w:val="007A2882"/>
    <w:rsid w:val="007A5D6C"/>
    <w:rsid w:val="007F2661"/>
    <w:rsid w:val="00823C5A"/>
    <w:rsid w:val="00842974"/>
    <w:rsid w:val="00885B72"/>
    <w:rsid w:val="0088644A"/>
    <w:rsid w:val="008A3ED8"/>
    <w:rsid w:val="00904B19"/>
    <w:rsid w:val="009077B0"/>
    <w:rsid w:val="0092040C"/>
    <w:rsid w:val="00936B09"/>
    <w:rsid w:val="009560B4"/>
    <w:rsid w:val="009C5CD9"/>
    <w:rsid w:val="00A2769B"/>
    <w:rsid w:val="00A278B6"/>
    <w:rsid w:val="00A607EF"/>
    <w:rsid w:val="00A77B2E"/>
    <w:rsid w:val="00A92BB5"/>
    <w:rsid w:val="00AA3CD9"/>
    <w:rsid w:val="00AB4293"/>
    <w:rsid w:val="00AB7385"/>
    <w:rsid w:val="00B56586"/>
    <w:rsid w:val="00BA2E76"/>
    <w:rsid w:val="00BA5401"/>
    <w:rsid w:val="00BC6581"/>
    <w:rsid w:val="00BC7A9A"/>
    <w:rsid w:val="00C32609"/>
    <w:rsid w:val="00C3512F"/>
    <w:rsid w:val="00C9742B"/>
    <w:rsid w:val="00CA3A8B"/>
    <w:rsid w:val="00CB663E"/>
    <w:rsid w:val="00CB7897"/>
    <w:rsid w:val="00CE1E76"/>
    <w:rsid w:val="00D010FB"/>
    <w:rsid w:val="00D177ED"/>
    <w:rsid w:val="00D3168D"/>
    <w:rsid w:val="00D327B1"/>
    <w:rsid w:val="00D401A6"/>
    <w:rsid w:val="00D72704"/>
    <w:rsid w:val="00D87CD7"/>
    <w:rsid w:val="00DA7640"/>
    <w:rsid w:val="00DB28E8"/>
    <w:rsid w:val="00DB66EE"/>
    <w:rsid w:val="00DD0C3F"/>
    <w:rsid w:val="00DE5321"/>
    <w:rsid w:val="00EA3504"/>
    <w:rsid w:val="00EC7FEE"/>
    <w:rsid w:val="00F22C48"/>
    <w:rsid w:val="00F428B2"/>
    <w:rsid w:val="00F5403C"/>
    <w:rsid w:val="00F815AD"/>
    <w:rsid w:val="00F933CF"/>
    <w:rsid w:val="00F936AC"/>
    <w:rsid w:val="00FB27B3"/>
    <w:rsid w:val="00FB30F5"/>
    <w:rsid w:val="00FB6269"/>
    <w:rsid w:val="00FC4541"/>
    <w:rsid w:val="00FC607C"/>
    <w:rsid w:val="00FE013D"/>
    <w:rsid w:val="00FF22C5"/>
    <w:rsid w:val="04AC49A5"/>
    <w:rsid w:val="2C3400B2"/>
    <w:rsid w:val="359C7A02"/>
    <w:rsid w:val="35DF7D2D"/>
    <w:rsid w:val="593E0123"/>
    <w:rsid w:val="59415C84"/>
    <w:rsid w:val="77E474DE"/>
    <w:rsid w:val="BDFFD1EA"/>
    <w:rsid w:val="FD5FCB89"/>
    <w:rsid w:val="FEFF1A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3203</Words>
  <Characters>3321</Characters>
  <Lines>24</Lines>
  <Paragraphs>6</Paragraphs>
  <TotalTime>114</TotalTime>
  <ScaleCrop>false</ScaleCrop>
  <LinksUpToDate>false</LinksUpToDate>
  <CharactersWithSpaces>3336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2023-07-01T00:42:00Z</dcterms:created>
  <dc:creator>Microsoft</dc:creator>
  <cp:lastModifiedBy>lwcz</cp:lastModifiedBy>
  <cp:lastPrinted>2025-06-07T00:56:00Z</cp:lastPrinted>
  <dcterms:modified xsi:type="dcterms:W3CDTF">2025-10-30T15:09:48Z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66CC5A5149C04BFD951E837F116254CD_13</vt:lpwstr>
  </property>
</Properties>
</file>