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0"/>
        </w:rPr>
      </w:pPr>
      <w:r>
        <w:rPr>
          <w:rFonts w:hint="eastAsia"/>
        </w:rPr>
        <w:br w:type="textWrapping"/>
      </w:r>
    </w:p>
    <w:p>
      <w:pPr>
        <w:jc w:val="center"/>
        <w:rPr>
          <w:rFonts w:hint="eastAsia" w:ascii="宋体" w:hAnsi="宋体" w:eastAsia="宋体"/>
          <w:b/>
          <w:sz w:val="36"/>
          <w:szCs w:val="30"/>
        </w:rPr>
      </w:pPr>
      <w:r>
        <w:rPr>
          <w:rFonts w:hint="eastAsia" w:ascii="宋体" w:hAnsi="宋体" w:eastAsia="宋体"/>
          <w:b/>
          <w:sz w:val="36"/>
          <w:szCs w:val="30"/>
          <w:lang w:eastAsia="zh-CN"/>
        </w:rPr>
        <w:t>2024年</w:t>
      </w:r>
      <w:r>
        <w:rPr>
          <w:rFonts w:hint="eastAsia" w:ascii="宋体" w:hAnsi="宋体" w:eastAsia="宋体"/>
          <w:b/>
          <w:sz w:val="36"/>
          <w:szCs w:val="30"/>
        </w:rPr>
        <w:t>度临武县镇南乡中心小学整体支出</w:t>
      </w:r>
    </w:p>
    <w:p>
      <w:pPr>
        <w:jc w:val="center"/>
        <w:rPr>
          <w:rFonts w:ascii="宋体" w:hAnsi="宋体" w:eastAsia="宋体"/>
          <w:b/>
          <w:sz w:val="36"/>
          <w:szCs w:val="30"/>
        </w:rPr>
      </w:pPr>
      <w:r>
        <w:rPr>
          <w:rFonts w:hint="eastAsia" w:ascii="宋体" w:hAnsi="宋体" w:eastAsia="宋体"/>
          <w:b/>
          <w:sz w:val="36"/>
          <w:szCs w:val="30"/>
        </w:rPr>
        <w:t>绩效自评报告</w:t>
      </w:r>
    </w:p>
    <w:p/>
    <w:p>
      <w:pPr>
        <w:ind w:firstLine="560" w:firstLineChars="200"/>
      </w:pPr>
      <w:r>
        <w:rPr>
          <w:rFonts w:hint="eastAsia" w:ascii="宋体" w:hAnsi="宋体" w:eastAsia="宋体"/>
          <w:sz w:val="28"/>
        </w:rPr>
        <w:t>为全面实施预算绩效管理，进一步加强财政支出管理，强化部门支出责任，切实提高财政资金使用效益和管理水平，根据《中华人民共和国预算法》、《中华人民共和国预算法实施条例》、《中共中央、国务院关于全面实施预算绩效管理的意见》（中发[2018]34号）、《中共湖南省委办公厅、湖南省人民政府办公厅全面实施预算绩效管理的实施意见》（湘办发[2019]10号）及《关于做好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预算绩效管理工作的通知》（临财绩[2023]55号）等文件精神，我单位对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部门整体支出进行了绩效自评，现将绩效自评情况报告如下</w:t>
      </w:r>
      <w:r>
        <w:rPr>
          <w:rFonts w:hint="eastAsia"/>
        </w:rPr>
        <w:t>：</w:t>
      </w:r>
    </w:p>
    <w:p>
      <w:pPr>
        <w:rPr>
          <w:b/>
          <w:sz w:val="24"/>
        </w:rPr>
      </w:pP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一、</w:t>
      </w:r>
      <w:r>
        <w:rPr>
          <w:rFonts w:ascii="黑体" w:hAnsi="黑体" w:eastAsia="黑体" w:cs="黑体"/>
          <w:spacing w:val="4"/>
          <w:sz w:val="31"/>
          <w:szCs w:val="31"/>
        </w:rPr>
        <w:t>基本情况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（一）机构设置情况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我校为独立核算机构，内设办公室、财务室、教导处、政务处、电教处、后勤处等六个部门。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（二）人员编制情况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现有编制数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/>
          <w:sz w:val="28"/>
          <w:szCs w:val="28"/>
        </w:rPr>
        <w:t>个，在编教师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/>
          <w:sz w:val="28"/>
          <w:szCs w:val="28"/>
        </w:rPr>
        <w:t>人，退休教师2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人，在校学生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130</w:t>
      </w:r>
      <w:r>
        <w:rPr>
          <w:rFonts w:hint="eastAsia" w:ascii="宋体" w:hAnsi="宋体" w:eastAsia="宋体"/>
          <w:sz w:val="28"/>
          <w:szCs w:val="28"/>
        </w:rPr>
        <w:t>人。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（三）主要职能职责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1、负责贯彻党的教育方针，坚持社会主义办学方向，对学生进行德育、智育、体育、美育和劳动教育等方面的教育。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2、负责配合各级人民政府依法动员适龄儿童、少年入学，严格控制学生辍学，依法保证适龄儿童、少年接受九年义务教育。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3、负责制定学校教育发展规划，并抓好组织实施和落实工作。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4、负责按照教育主管部门发布的指导性教学计划、教学大纲，组织实施教育教学活动。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5、负责依据国家主管部门有关教学计划、课程设置等方面的规定，决定和实施本校的教学计划，组织教学评比、集体备课，对学生进行统一考核、考试等。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6、负责学籍管理。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7、负责聘任、培训、考核教师，依法奖励或处分有关教师和职工。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8、负责科学管理、合理使用学校的设施和经费，并积极筹措资金，改善办学条件。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9、负责维护学校、师生的合法权益，有权拒绝任何组织和个人对教育教学活动进行非法干涉。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10、依法接受各级教育行政部门的检查指导和人民群众的监督。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（四）绩效目标设定情况</w:t>
      </w:r>
    </w:p>
    <w:p>
      <w:pPr>
        <w:ind w:firstLine="560" w:firstLineChars="200"/>
      </w:pPr>
      <w:r>
        <w:rPr>
          <w:rFonts w:hint="eastAsia" w:ascii="宋体" w:hAnsi="宋体" w:eastAsia="宋体"/>
          <w:sz w:val="28"/>
          <w:szCs w:val="28"/>
        </w:rPr>
        <w:t>根据绩效评价的相关要求，本单位设立了整体支出年度绩效指标和项目支出绩效指标。绩效指标按三项一级绩效指标，九项二级指标，同时设立了相应的绩效指标。根据定量分析及定性分析，综合绩效评价打分，对资金进行自评。</w:t>
      </w:r>
    </w:p>
    <w:p/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二、一般公共预算支出情况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（一）经批复的预、决算情况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批复预算收入</w:t>
      </w:r>
      <w:r>
        <w:rPr>
          <w:rFonts w:hint="eastAsia" w:ascii="宋体" w:hAnsi="宋体" w:eastAsia="宋体"/>
          <w:sz w:val="28"/>
          <w:lang w:val="en-US" w:eastAsia="zh-CN"/>
        </w:rPr>
        <w:t>484.19</w:t>
      </w:r>
      <w:r>
        <w:rPr>
          <w:rFonts w:hint="eastAsia" w:ascii="宋体" w:hAnsi="宋体" w:eastAsia="宋体"/>
          <w:sz w:val="28"/>
        </w:rPr>
        <w:t>万元；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批复预算支出</w:t>
      </w:r>
      <w:r>
        <w:rPr>
          <w:rFonts w:hint="eastAsia" w:ascii="宋体" w:hAnsi="宋体" w:eastAsia="宋体"/>
          <w:sz w:val="28"/>
          <w:lang w:val="en-US" w:eastAsia="zh-CN"/>
        </w:rPr>
        <w:t>484.19</w:t>
      </w:r>
      <w:r>
        <w:rPr>
          <w:rFonts w:hint="eastAsia" w:ascii="宋体" w:hAnsi="宋体" w:eastAsia="宋体"/>
          <w:sz w:val="28"/>
        </w:rPr>
        <w:t>万元。</w:t>
      </w:r>
    </w:p>
    <w:p>
      <w:pPr>
        <w:ind w:firstLine="48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批复决算财政拨款收入</w:t>
      </w:r>
      <w:r>
        <w:rPr>
          <w:rFonts w:hint="eastAsia" w:ascii="宋体" w:hAnsi="宋体" w:eastAsia="宋体"/>
          <w:sz w:val="28"/>
          <w:lang w:eastAsia="zh-CN"/>
        </w:rPr>
        <w:t>525.21</w:t>
      </w:r>
      <w:r>
        <w:rPr>
          <w:rFonts w:hint="eastAsia" w:ascii="宋体" w:hAnsi="宋体" w:eastAsia="宋体"/>
          <w:sz w:val="28"/>
        </w:rPr>
        <w:t>万元；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批复决算支出</w:t>
      </w:r>
      <w:r>
        <w:rPr>
          <w:rFonts w:hint="eastAsia" w:ascii="宋体" w:hAnsi="宋体" w:eastAsia="宋体"/>
          <w:sz w:val="28"/>
          <w:lang w:eastAsia="zh-CN"/>
        </w:rPr>
        <w:t>525.21</w:t>
      </w:r>
      <w:r>
        <w:rPr>
          <w:rFonts w:hint="eastAsia" w:ascii="宋体" w:hAnsi="宋体" w:eastAsia="宋体"/>
          <w:sz w:val="28"/>
        </w:rPr>
        <w:t>万元。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（二）部门预算执行情况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1.基本支出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批复基本支出年初预算</w:t>
      </w:r>
      <w:r>
        <w:rPr>
          <w:rFonts w:hint="eastAsia" w:ascii="宋体" w:hAnsi="宋体" w:eastAsia="宋体"/>
          <w:sz w:val="28"/>
          <w:lang w:val="en-US" w:eastAsia="zh-CN"/>
        </w:rPr>
        <w:t>414.19</w:t>
      </w:r>
      <w:r>
        <w:rPr>
          <w:rFonts w:hint="eastAsia" w:ascii="宋体" w:hAnsi="宋体" w:eastAsia="宋体"/>
          <w:sz w:val="28"/>
        </w:rPr>
        <w:t>万元；批复决算基本支出</w:t>
      </w:r>
      <w:r>
        <w:rPr>
          <w:rFonts w:hint="eastAsia" w:ascii="宋体" w:hAnsi="宋体" w:eastAsia="宋体"/>
          <w:sz w:val="28"/>
          <w:lang w:val="en-US" w:eastAsia="zh-CN"/>
        </w:rPr>
        <w:t>507.8</w:t>
      </w:r>
      <w:r>
        <w:rPr>
          <w:rFonts w:hint="eastAsia" w:ascii="宋体" w:hAnsi="宋体" w:eastAsia="宋体"/>
          <w:sz w:val="28"/>
        </w:rPr>
        <w:t>万元，其中:人员经费支出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452.78</w:t>
      </w:r>
      <w:r>
        <w:rPr>
          <w:rFonts w:hint="eastAsia" w:ascii="宋体" w:hAnsi="宋体" w:eastAsia="宋体"/>
          <w:sz w:val="28"/>
        </w:rPr>
        <w:t>万元，主要用于基本工资、津贴补贴、奖金、社会保障缴费、其他工资福利支出、住房公积金、退休人员春节及重阳节慰问金、独生子女费等支出；一般商品和服务支出55.02</w:t>
      </w:r>
      <w:r>
        <w:rPr>
          <w:rFonts w:hint="eastAsia" w:ascii="宋体" w:hAnsi="宋体" w:eastAsia="宋体"/>
          <w:sz w:val="28"/>
        </w:rPr>
        <w:t>万元，主要用于：办公费、邮电费、差旅费、维护（修）费、公务接待费、工会经费、办公设备购置费等。决算数</w:t>
      </w:r>
      <w:r>
        <w:rPr>
          <w:rFonts w:hint="eastAsia" w:ascii="宋体" w:hAnsi="宋体" w:eastAsia="宋体"/>
          <w:sz w:val="28"/>
          <w:lang w:eastAsia="zh-CN"/>
        </w:rPr>
        <w:t>大于</w:t>
      </w:r>
      <w:r>
        <w:rPr>
          <w:rFonts w:hint="eastAsia" w:ascii="宋体" w:hAnsi="宋体" w:eastAsia="宋体"/>
          <w:sz w:val="28"/>
        </w:rPr>
        <w:t>预算数原因：</w:t>
      </w:r>
      <w:r>
        <w:rPr>
          <w:rFonts w:hint="eastAsia" w:ascii="宋体" w:hAnsi="宋体" w:eastAsia="宋体"/>
          <w:sz w:val="28"/>
          <w:lang w:eastAsia="zh-CN"/>
        </w:rPr>
        <w:t>教师职称晋升、正常晋级，人员工资增加；以及学校的公用经费由教育局统一做预算，然后根据学生人数下拨给学校</w:t>
      </w:r>
      <w:r>
        <w:rPr>
          <w:rFonts w:hint="eastAsia" w:ascii="宋体" w:hAnsi="宋体" w:eastAsia="宋体"/>
          <w:sz w:val="28"/>
        </w:rPr>
        <w:t>，</w:t>
      </w:r>
      <w:r>
        <w:rPr>
          <w:rFonts w:hint="eastAsia" w:ascii="宋体" w:hAnsi="宋体" w:eastAsia="宋体"/>
          <w:sz w:val="28"/>
          <w:lang w:eastAsia="zh-CN"/>
        </w:rPr>
        <w:t>导致</w:t>
      </w:r>
      <w:r>
        <w:rPr>
          <w:rFonts w:hint="eastAsia" w:ascii="宋体" w:hAnsi="宋体" w:eastAsia="宋体"/>
          <w:sz w:val="28"/>
        </w:rPr>
        <w:t>决算数</w:t>
      </w:r>
      <w:r>
        <w:rPr>
          <w:rFonts w:hint="eastAsia" w:ascii="宋体" w:hAnsi="宋体" w:eastAsia="宋体"/>
          <w:sz w:val="28"/>
          <w:lang w:eastAsia="zh-CN"/>
        </w:rPr>
        <w:t>大</w:t>
      </w:r>
      <w:r>
        <w:rPr>
          <w:rFonts w:hint="eastAsia" w:ascii="宋体" w:hAnsi="宋体" w:eastAsia="宋体"/>
          <w:sz w:val="28"/>
        </w:rPr>
        <w:t>于年初预算数</w:t>
      </w:r>
      <w:r>
        <w:rPr>
          <w:rFonts w:hint="eastAsia" w:ascii="宋体" w:hAnsi="宋体" w:eastAsia="宋体"/>
          <w:sz w:val="28"/>
        </w:rPr>
        <w:t>；比上年</w:t>
      </w:r>
      <w:r>
        <w:rPr>
          <w:rFonts w:hint="eastAsia" w:ascii="宋体" w:hAnsi="宋体" w:eastAsia="宋体"/>
          <w:sz w:val="28"/>
          <w:lang w:eastAsia="zh-CN"/>
        </w:rPr>
        <w:t>减少</w:t>
      </w:r>
      <w:r>
        <w:rPr>
          <w:rFonts w:hint="eastAsia" w:ascii="宋体" w:hAnsi="宋体" w:eastAsia="宋体"/>
          <w:sz w:val="28"/>
          <w:lang w:val="en-US" w:eastAsia="zh-CN"/>
        </w:rPr>
        <w:t>23.44</w:t>
      </w:r>
      <w:r>
        <w:rPr>
          <w:rFonts w:hint="eastAsia" w:ascii="宋体" w:hAnsi="宋体" w:eastAsia="宋体"/>
          <w:sz w:val="28"/>
        </w:rPr>
        <w:t>万元，</w:t>
      </w:r>
      <w:r>
        <w:rPr>
          <w:rFonts w:hint="eastAsia" w:ascii="宋体" w:hAnsi="宋体" w:eastAsia="宋体"/>
          <w:sz w:val="28"/>
          <w:lang w:eastAsia="zh-CN"/>
        </w:rPr>
        <w:t>下降</w:t>
      </w:r>
      <w:r>
        <w:rPr>
          <w:rFonts w:hint="eastAsia" w:ascii="宋体" w:hAnsi="宋体" w:eastAsia="宋体"/>
          <w:sz w:val="28"/>
          <w:lang w:val="en-US" w:eastAsia="zh-CN"/>
        </w:rPr>
        <w:t>4.27</w:t>
      </w:r>
      <w:r>
        <w:rPr>
          <w:rFonts w:hint="eastAsia" w:ascii="宋体" w:hAnsi="宋体" w:eastAsia="宋体"/>
          <w:sz w:val="28"/>
        </w:rPr>
        <w:t>%，变化的主要原因：</w:t>
      </w:r>
      <w:r>
        <w:rPr>
          <w:rFonts w:hint="eastAsia" w:ascii="宋体" w:hAnsi="宋体" w:eastAsia="宋体"/>
          <w:sz w:val="28"/>
          <w:lang w:eastAsia="zh-CN"/>
        </w:rPr>
        <w:t>教师及学生减少，导致支出减少</w:t>
      </w:r>
      <w:r>
        <w:rPr>
          <w:rFonts w:hint="eastAsia" w:ascii="宋体" w:hAnsi="宋体" w:eastAsia="宋体"/>
          <w:sz w:val="28"/>
        </w:rPr>
        <w:t>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2.项目支出情况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（1）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度专项资金安排和使用管理情况</w:t>
      </w:r>
      <w:bookmarkStart w:id="0" w:name="_GoBack"/>
      <w:bookmarkEnd w:id="0"/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ascii="宋体" w:hAnsi="宋体" w:eastAsia="宋体"/>
          <w:sz w:val="28"/>
        </w:rPr>
        <w:t>本部门项目支出</w:t>
      </w:r>
      <w:r>
        <w:rPr>
          <w:rFonts w:hint="eastAsia" w:ascii="宋体" w:hAnsi="宋体" w:eastAsia="宋体"/>
          <w:sz w:val="28"/>
          <w:lang w:eastAsia="zh-CN"/>
        </w:rPr>
        <w:t>决算</w:t>
      </w:r>
      <w:r>
        <w:rPr>
          <w:rFonts w:hint="eastAsia" w:ascii="宋体" w:hAnsi="宋体" w:eastAsia="宋体"/>
          <w:sz w:val="28"/>
          <w:lang w:val="en-US" w:eastAsia="zh-CN"/>
        </w:rPr>
        <w:t>17.41</w:t>
      </w:r>
      <w:r>
        <w:rPr>
          <w:rFonts w:ascii="宋体" w:hAnsi="宋体" w:eastAsia="宋体"/>
          <w:sz w:val="28"/>
        </w:rPr>
        <w:t xml:space="preserve"> 万元，主要是部门为完成特定行政工作任务或事业发展目标而发生的支出，包括有关事业发展专项、专项业务费、基本建设支出等，其中：</w:t>
      </w:r>
      <w:r>
        <w:rPr>
          <w:rFonts w:hint="eastAsia" w:ascii="宋体" w:hAnsi="宋体" w:eastAsia="宋体"/>
          <w:sz w:val="28"/>
        </w:rPr>
        <w:t>学生课后服务费</w:t>
      </w:r>
      <w:r>
        <w:rPr>
          <w:rFonts w:ascii="宋体" w:hAnsi="宋体" w:eastAsia="宋体"/>
          <w:sz w:val="28"/>
        </w:rPr>
        <w:t xml:space="preserve">支出 </w:t>
      </w:r>
      <w:r>
        <w:rPr>
          <w:rFonts w:hint="eastAsia" w:ascii="宋体" w:hAnsi="宋体" w:eastAsia="宋体"/>
          <w:sz w:val="28"/>
          <w:lang w:val="en-US" w:eastAsia="zh-CN"/>
        </w:rPr>
        <w:t>17.41</w:t>
      </w:r>
      <w:r>
        <w:rPr>
          <w:rFonts w:ascii="宋体" w:hAnsi="宋体" w:eastAsia="宋体"/>
          <w:sz w:val="28"/>
        </w:rPr>
        <w:t>万元，主要用于</w:t>
      </w:r>
      <w:r>
        <w:rPr>
          <w:rFonts w:hint="eastAsia" w:ascii="宋体" w:hAnsi="宋体" w:eastAsia="宋体"/>
          <w:sz w:val="28"/>
        </w:rPr>
        <w:t>：</w:t>
      </w:r>
      <w:r>
        <w:rPr>
          <w:rFonts w:ascii="宋体" w:hAnsi="宋体" w:eastAsia="宋体"/>
          <w:sz w:val="28"/>
        </w:rPr>
        <w:t>以习近平新时代中国特色社会主义思想为指导，全面贯彻党的教育方针，落实党中央、国务院及省委、省政府“双减”工作部署，强化学校教育主阵地作用，将做好中小学课后服务工作作为落实立德树人根本任务、满足学生多样化需求、促进学生全面发展的重要途径，着力提升教育服务能力，切实减轻学生和家长负担，推动课后服务高质量开展</w:t>
      </w:r>
      <w:r>
        <w:rPr>
          <w:rFonts w:hint="eastAsia" w:ascii="宋体" w:hAnsi="宋体" w:eastAsia="宋体"/>
          <w:sz w:val="28"/>
        </w:rPr>
        <w:t>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（2）除专项资金以外的其他项目支出情况</w:t>
      </w:r>
    </w:p>
    <w:p>
      <w:pPr>
        <w:ind w:firstLine="700" w:firstLineChars="2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本单位除专项资金以外的其他项目支出。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（三）三公经费使用和管理情况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ascii="宋体" w:hAnsi="宋体" w:eastAsia="宋体"/>
          <w:sz w:val="28"/>
        </w:rPr>
        <w:t>度部门 “三公”经费使用管理情况: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ascii="宋体" w:hAnsi="宋体" w:eastAsia="宋体"/>
          <w:sz w:val="28"/>
        </w:rPr>
        <w:t>度“三公”经费财政拨款支出决算为</w:t>
      </w:r>
      <w:r>
        <w:rPr>
          <w:rFonts w:hint="eastAsia" w:ascii="宋体" w:hAnsi="宋体" w:eastAsia="宋体"/>
          <w:sz w:val="28"/>
          <w:lang w:val="en-US" w:eastAsia="zh-CN"/>
        </w:rPr>
        <w:t>0</w:t>
      </w:r>
      <w:r>
        <w:rPr>
          <w:rFonts w:ascii="宋体" w:hAnsi="宋体" w:eastAsia="宋体"/>
          <w:sz w:val="28"/>
        </w:rPr>
        <w:t>万元（其中：公务接待费</w:t>
      </w:r>
      <w:r>
        <w:rPr>
          <w:rFonts w:hint="eastAsia" w:ascii="宋体" w:hAnsi="宋体" w:eastAsia="宋体"/>
          <w:sz w:val="28"/>
          <w:lang w:val="en-US" w:eastAsia="zh-CN"/>
        </w:rPr>
        <w:t>0</w:t>
      </w:r>
      <w:r>
        <w:rPr>
          <w:rFonts w:ascii="宋体" w:hAnsi="宋体" w:eastAsia="宋体"/>
          <w:sz w:val="28"/>
        </w:rPr>
        <w:t>万元，公务用车运行经0万元，因公出国（境）费0万元），完成预算的</w:t>
      </w:r>
      <w:r>
        <w:rPr>
          <w:rFonts w:hint="eastAsia" w:ascii="宋体" w:hAnsi="宋体" w:eastAsia="宋体"/>
          <w:sz w:val="28"/>
        </w:rPr>
        <w:t>0</w:t>
      </w:r>
      <w:r>
        <w:rPr>
          <w:rFonts w:ascii="宋体" w:hAnsi="宋体" w:eastAsia="宋体"/>
          <w:sz w:val="28"/>
        </w:rPr>
        <w:t>%</w:t>
      </w:r>
      <w:r>
        <w:rPr>
          <w:rFonts w:hint="eastAsia" w:ascii="宋体" w:hAnsi="宋体" w:eastAsia="宋体"/>
          <w:sz w:val="28"/>
        </w:rPr>
        <w:t>，与上年决算持平，主要原因是本部门无</w:t>
      </w:r>
      <w:r>
        <w:rPr>
          <w:rFonts w:hint="eastAsia" w:ascii="宋体" w:hAnsi="宋体" w:eastAsia="宋体"/>
          <w:sz w:val="28"/>
          <w:lang w:eastAsia="zh-CN"/>
        </w:rPr>
        <w:t>三公支出</w:t>
      </w:r>
      <w:r>
        <w:rPr>
          <w:rFonts w:hint="eastAsia" w:ascii="宋体" w:hAnsi="宋体" w:eastAsia="宋体"/>
          <w:sz w:val="28"/>
        </w:rPr>
        <w:t>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（四）资金结转和结余情况</w:t>
      </w:r>
    </w:p>
    <w:p>
      <w:pPr>
        <w:ind w:firstLine="700" w:firstLineChars="2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没有资金结转和结余。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（五）部门整体支出管理与制度建设情况</w:t>
      </w:r>
    </w:p>
    <w:p>
      <w:pPr>
        <w:ind w:firstLine="280" w:firstLineChars="1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1）部门整体支出管理情况：我校根据财务管理要求以及专项资金使用要求，对部门整体支出作出评价并且对每个项目支出绩效目标进行申报、评估，实行跟踪管理，进一步完善了财务管理体制和运行机制、建立科学化、精细化的决算管理机制、建立绩效评价制度、加快财务监管体系建设、提高经费使用效益、强化财务风险管理。按照“量入为出，统筹兼顾、保证重点、收支平衡”的原则，科学合理地使用专项资金，并及时向社会公开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　　（2）制度建设情况：根据我校工作实际，建立了《预算业务管理制度》、《收支业务管理制度》、《资产业务管理制度》、《建设项目业务管理制度》、《合同业务管理制度》、《政府采购管理制度》等内控制度，制定了《临武县镇南乡中心小学内部管理制度》，涉及工作制度、纪律制度、财务制度、内控制度等，为财政资金支出提供了制度保障，防范了风险，保证了财政资金的安全和高效运行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三、政府性基金预算支出情况</w:t>
      </w:r>
    </w:p>
    <w:p>
      <w:pPr>
        <w:ind w:firstLine="420" w:firstLineChars="1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本单位本年度没有政府性基金预算支出。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四、国有资本经营预算支出情况</w:t>
      </w:r>
    </w:p>
    <w:p>
      <w:pPr>
        <w:ind w:firstLine="420" w:firstLineChars="1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本单位本年度没有国有资本经营预算支出。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五、社会保险基金预算支出情况</w:t>
      </w:r>
    </w:p>
    <w:p>
      <w:pPr>
        <w:ind w:firstLine="420" w:firstLineChars="1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本单位本年度没有社会保险基金预算支出。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六、部门整体支出绩效情况</w:t>
      </w:r>
    </w:p>
    <w:p>
      <w:pPr>
        <w:rPr>
          <w:rFonts w:ascii="宋体" w:hAnsi="宋体" w:eastAsia="宋体"/>
          <w:sz w:val="28"/>
        </w:rPr>
      </w:pPr>
      <w:r>
        <w:rPr>
          <w:rFonts w:hint="eastAsia"/>
          <w:sz w:val="24"/>
        </w:rPr>
        <w:t>　</w:t>
      </w:r>
      <w:r>
        <w:rPr>
          <w:rFonts w:hint="eastAsia" w:ascii="宋体" w:hAnsi="宋体" w:eastAsia="宋体"/>
          <w:sz w:val="28"/>
        </w:rPr>
        <w:t>（一）综合评价结论。</w:t>
      </w:r>
    </w:p>
    <w:p>
      <w:pPr>
        <w:rPr>
          <w:rFonts w:ascii="宋体" w:hAnsi="宋体" w:eastAsia="宋体"/>
          <w:sz w:val="28"/>
        </w:rPr>
      </w:pPr>
      <w:r>
        <w:rPr>
          <w:rFonts w:hint="eastAsia"/>
          <w:sz w:val="24"/>
        </w:rPr>
        <w:t>　</w:t>
      </w:r>
      <w:r>
        <w:rPr>
          <w:rFonts w:hint="eastAsia" w:ascii="宋体" w:hAnsi="宋体" w:eastAsia="宋体"/>
          <w:sz w:val="28"/>
        </w:rPr>
        <w:t>　根据定量分析及定性分析，综合绩效评价打分，在部门整体支出绩效自评得分94分，其中产出指标得分46分，质量指标、成本指标完成有待加强；效益指标得分29分，满意度指标9分，全年执行得分10分。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　（二）综合评价情况。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　　本部门按要求对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部门整体支出开展绩效自评，从评价情况来看整体支出绩效目标基本完成，根据预算合理安排资金支出，做到厉行节约、精打细算，把有效的资金用到刀刃上，让财政资金发挥最大的社会及经济效益并保证各项工作的正常运转。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通过预算的执行，一年来在上级教育部门的正确领导下，全面贯彻执行党的教育方针，坚持以教育教学质量为中心，强化教育教学研究和常规管理，深入实行改革，执行教育行政的各种准则，理论、规章、制度，继续深入“严师工程”，加强教师队伍建设，调动全体教师、学生的积极性和高度热情，发扬光大优良的校风、教风、学风，上下一致，团结协作，以认真务实的工作作风，加强教学研究，不断解决教学中的新问题，全面提高教学质量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七、存在的问题及原因分析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1、预算编制工作有待细化。预算编制不够明确和细化，预算编制的合理性需要提高，预算执行力度还要进一步加强。</w:t>
      </w:r>
    </w:p>
    <w:p>
      <w:pPr>
        <w:ind w:firstLine="420" w:firstLineChars="1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2、公用经费的控制有一定难度，基本为刚性支出。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八、下一步改进措施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针对上述存在的问题及对外整体支出管理工作的需要，拟实施的改进措施如下：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1、细化预算编制工作，认真做好预算的编制。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2、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>
      <w:pPr>
        <w:ind w:firstLine="700" w:firstLineChars="2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3、完善资产管理，抓好“三公”经费控制。严格编制政府采购年初预算和计划，规范各类资产的购置审批制度、资产出租出借和收入管理制度、资产采购制度、使用管理制度、资产处置和报废审批制度、资产管理岗位职责制度等，加强单位内部的资产管理工作。严格控制“三公”经费的规模和比例，把关“三公”经费支出的审核、审批，杜绝挪用和挤占其他预算资金行为；进一步细化“三公”经费的管理，合理压缩“三公”经费支出。</w:t>
      </w:r>
    </w:p>
    <w:p>
      <w:pPr>
        <w:ind w:firstLine="700" w:firstLineChars="250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sz w:val="28"/>
        </w:rPr>
        <w:t>4、对相关人员加强培训，特别是针对《中华人民共和国预算法》、《政府会计制度》等学习培训，规范部门预算收支核算，切实提高部门预算收支管理水平。</w:t>
      </w:r>
    </w:p>
    <w:p>
      <w:pPr>
        <w:spacing w:before="246" w:line="580" w:lineRule="exact"/>
        <w:ind w:left="684"/>
        <w:rPr>
          <w:rFonts w:ascii="黑体" w:hAnsi="黑体" w:eastAsia="黑体" w:cs="黑体"/>
          <w:b/>
          <w:bCs/>
          <w:position w:val="20"/>
          <w:sz w:val="31"/>
          <w:szCs w:val="31"/>
        </w:rPr>
      </w:pPr>
      <w:r>
        <w:rPr>
          <w:rFonts w:ascii="黑体" w:hAnsi="黑体" w:eastAsia="黑体" w:cs="黑体"/>
          <w:b/>
          <w:bCs/>
          <w:position w:val="20"/>
          <w:sz w:val="31"/>
          <w:szCs w:val="31"/>
        </w:rPr>
        <w:t>九、部门整体支出绩效自评结果拟应用和公开情况</w:t>
      </w:r>
    </w:p>
    <w:p>
      <w:pPr>
        <w:spacing w:before="246" w:line="580" w:lineRule="exact"/>
        <w:ind w:left="684"/>
        <w:rPr>
          <w:rFonts w:hint="eastAsia" w:ascii="黑体" w:hAnsi="黑体" w:eastAsia="宋体" w:cs="黑体"/>
          <w:b/>
          <w:bCs/>
          <w:position w:val="20"/>
          <w:sz w:val="31"/>
          <w:szCs w:val="31"/>
          <w:lang w:eastAsia="zh-CN"/>
        </w:rPr>
      </w:pPr>
      <w:r>
        <w:rPr>
          <w:rFonts w:hint="eastAsia" w:ascii="宋体" w:hAnsi="宋体" w:eastAsia="宋体"/>
          <w:sz w:val="28"/>
          <w:lang w:eastAsia="zh-CN"/>
        </w:rPr>
        <w:t>根据</w:t>
      </w:r>
      <w:r>
        <w:rPr>
          <w:rFonts w:hint="eastAsia" w:ascii="宋体" w:hAnsi="宋体" w:eastAsia="宋体"/>
          <w:sz w:val="28"/>
        </w:rPr>
        <w:t>部门整体支出绩效自评结果</w:t>
      </w:r>
      <w:r>
        <w:rPr>
          <w:rFonts w:hint="eastAsia" w:ascii="宋体" w:hAnsi="宋体" w:eastAsia="宋体"/>
          <w:sz w:val="28"/>
          <w:lang w:eastAsia="zh-CN"/>
        </w:rPr>
        <w:t>查漏补缺，争取以后年度获得更高的评分。</w:t>
      </w:r>
      <w:r>
        <w:rPr>
          <w:rFonts w:hint="eastAsia" w:ascii="宋体" w:hAnsi="宋体" w:eastAsia="宋体"/>
          <w:sz w:val="28"/>
        </w:rPr>
        <w:t>部门整体支出绩效自评</w:t>
      </w:r>
      <w:r>
        <w:rPr>
          <w:rFonts w:hint="eastAsia" w:ascii="宋体" w:hAnsi="宋体" w:eastAsia="宋体"/>
          <w:sz w:val="28"/>
          <w:lang w:eastAsia="zh-CN"/>
        </w:rPr>
        <w:t>均在临武县政府网</w:t>
      </w:r>
      <w:r>
        <w:rPr>
          <w:rFonts w:hint="eastAsia" w:ascii="宋体" w:hAnsi="宋体" w:eastAsia="宋体"/>
          <w:sz w:val="28"/>
        </w:rPr>
        <w:t>公开</w:t>
      </w:r>
      <w:r>
        <w:rPr>
          <w:rFonts w:hint="eastAsia" w:ascii="宋体" w:hAnsi="宋体" w:eastAsia="宋体"/>
          <w:sz w:val="28"/>
          <w:lang w:eastAsia="zh-CN"/>
        </w:rPr>
        <w:t>。</w:t>
      </w:r>
    </w:p>
    <w:p>
      <w:pPr>
        <w:spacing w:before="2" w:line="220" w:lineRule="auto"/>
        <w:ind w:left="68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十、其他需要说明的情况</w:t>
      </w:r>
    </w:p>
    <w:p>
      <w:pPr>
        <w:ind w:firstLine="700" w:firstLineChars="2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33CF"/>
    <w:rsid w:val="00052D3A"/>
    <w:rsid w:val="00071C09"/>
    <w:rsid w:val="000B2525"/>
    <w:rsid w:val="00120E7F"/>
    <w:rsid w:val="00165AB0"/>
    <w:rsid w:val="001B7221"/>
    <w:rsid w:val="001E2CBC"/>
    <w:rsid w:val="00225553"/>
    <w:rsid w:val="0025457D"/>
    <w:rsid w:val="0027548D"/>
    <w:rsid w:val="0028361D"/>
    <w:rsid w:val="0029294B"/>
    <w:rsid w:val="002A1346"/>
    <w:rsid w:val="002A3696"/>
    <w:rsid w:val="002B2ABB"/>
    <w:rsid w:val="002D0218"/>
    <w:rsid w:val="002D7785"/>
    <w:rsid w:val="002F5386"/>
    <w:rsid w:val="00347FA3"/>
    <w:rsid w:val="00395FFB"/>
    <w:rsid w:val="00437A84"/>
    <w:rsid w:val="00467B98"/>
    <w:rsid w:val="004945E2"/>
    <w:rsid w:val="004B55B4"/>
    <w:rsid w:val="004C3773"/>
    <w:rsid w:val="004E046B"/>
    <w:rsid w:val="00585833"/>
    <w:rsid w:val="005D3182"/>
    <w:rsid w:val="00682B41"/>
    <w:rsid w:val="006B51CF"/>
    <w:rsid w:val="006D66A5"/>
    <w:rsid w:val="007079B5"/>
    <w:rsid w:val="0073533B"/>
    <w:rsid w:val="00796FBF"/>
    <w:rsid w:val="007A2882"/>
    <w:rsid w:val="007A5D6C"/>
    <w:rsid w:val="007F2661"/>
    <w:rsid w:val="00823C5A"/>
    <w:rsid w:val="00842974"/>
    <w:rsid w:val="00885B72"/>
    <w:rsid w:val="0088644A"/>
    <w:rsid w:val="008A3ED8"/>
    <w:rsid w:val="00904B19"/>
    <w:rsid w:val="009077B0"/>
    <w:rsid w:val="0092040C"/>
    <w:rsid w:val="00936B09"/>
    <w:rsid w:val="009560B4"/>
    <w:rsid w:val="009C5CD9"/>
    <w:rsid w:val="00A2769B"/>
    <w:rsid w:val="00A278B6"/>
    <w:rsid w:val="00A607EF"/>
    <w:rsid w:val="00A77B2E"/>
    <w:rsid w:val="00A92BB5"/>
    <w:rsid w:val="00AA3CD9"/>
    <w:rsid w:val="00AB4293"/>
    <w:rsid w:val="00AB7385"/>
    <w:rsid w:val="00B56586"/>
    <w:rsid w:val="00BA2E76"/>
    <w:rsid w:val="00BA5401"/>
    <w:rsid w:val="00BC6581"/>
    <w:rsid w:val="00BC7A9A"/>
    <w:rsid w:val="00C32609"/>
    <w:rsid w:val="00C3512F"/>
    <w:rsid w:val="00C9742B"/>
    <w:rsid w:val="00CA3A8B"/>
    <w:rsid w:val="00CB663E"/>
    <w:rsid w:val="00CB7897"/>
    <w:rsid w:val="00CE1E76"/>
    <w:rsid w:val="00D010FB"/>
    <w:rsid w:val="00D177ED"/>
    <w:rsid w:val="00D3168D"/>
    <w:rsid w:val="00D327B1"/>
    <w:rsid w:val="00D401A6"/>
    <w:rsid w:val="00D72704"/>
    <w:rsid w:val="00D87CD7"/>
    <w:rsid w:val="00DA7640"/>
    <w:rsid w:val="00DB28E8"/>
    <w:rsid w:val="00DB66EE"/>
    <w:rsid w:val="00DD0C3F"/>
    <w:rsid w:val="00DE5321"/>
    <w:rsid w:val="00EA3504"/>
    <w:rsid w:val="00EC7FEE"/>
    <w:rsid w:val="00F22C48"/>
    <w:rsid w:val="00F428B2"/>
    <w:rsid w:val="00F5403C"/>
    <w:rsid w:val="00F815AD"/>
    <w:rsid w:val="00F933CF"/>
    <w:rsid w:val="00F936AC"/>
    <w:rsid w:val="00FB27B3"/>
    <w:rsid w:val="00FB30F5"/>
    <w:rsid w:val="00FB6269"/>
    <w:rsid w:val="00FC4541"/>
    <w:rsid w:val="00FC607C"/>
    <w:rsid w:val="00FE013D"/>
    <w:rsid w:val="00FF22C5"/>
    <w:rsid w:val="059A689E"/>
    <w:rsid w:val="07023E63"/>
    <w:rsid w:val="0C472D07"/>
    <w:rsid w:val="359C7A02"/>
    <w:rsid w:val="35DF7D2D"/>
    <w:rsid w:val="592435EB"/>
    <w:rsid w:val="72A66B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2931</Characters>
  <Lines>24</Lines>
  <Paragraphs>6</Paragraphs>
  <TotalTime>0</TotalTime>
  <ScaleCrop>false</ScaleCrop>
  <LinksUpToDate>false</LinksUpToDate>
  <CharactersWithSpaces>3439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2023-06-30T00:42:00Z</dcterms:created>
  <dc:creator>Microsoft</dc:creator>
  <cp:lastModifiedBy>Administrator</cp:lastModifiedBy>
  <dcterms:modified xsi:type="dcterms:W3CDTF">2025-10-21T11:48:54Z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