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31"/>
          <w:szCs w:val="31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pacing w:val="21"/>
          <w:sz w:val="31"/>
          <w:szCs w:val="31"/>
          <w:lang w:eastAsia="zh-CN"/>
        </w:rPr>
        <w:t>：</w:t>
      </w:r>
    </w:p>
    <w:p>
      <w:pPr>
        <w:spacing w:line="266" w:lineRule="auto"/>
      </w:pPr>
    </w:p>
    <w:p>
      <w:pPr>
        <w:spacing w:before="163" w:line="787" w:lineRule="exact"/>
        <w:jc w:val="center"/>
        <w:rPr>
          <w:rFonts w:ascii="仿宋" w:hAnsi="仿宋" w:eastAsia="仿宋" w:cs="仿宋"/>
          <w:b/>
          <w:bCs/>
          <w:spacing w:val="15"/>
          <w:position w:val="20"/>
          <w:sz w:val="50"/>
          <w:szCs w:val="50"/>
        </w:rPr>
      </w:pPr>
      <w:r>
        <w:rPr>
          <w:rFonts w:hint="eastAsia" w:ascii="仿宋" w:hAnsi="仿宋" w:eastAsia="仿宋" w:cs="仿宋"/>
          <w:b/>
          <w:bCs/>
          <w:spacing w:val="15"/>
          <w:position w:val="20"/>
          <w:sz w:val="50"/>
          <w:szCs w:val="50"/>
        </w:rPr>
        <w:t>202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50"/>
          <w:szCs w:val="5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50"/>
          <w:szCs w:val="50"/>
        </w:rPr>
        <w:t>年度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50"/>
          <w:szCs w:val="50"/>
          <w:lang w:eastAsia="zh-CN"/>
        </w:rPr>
        <w:t>部门</w:t>
      </w:r>
      <w:r>
        <w:rPr>
          <w:rFonts w:hint="eastAsia" w:ascii="仿宋" w:hAnsi="仿宋" w:eastAsia="仿宋" w:cs="仿宋"/>
          <w:b/>
          <w:bCs/>
          <w:spacing w:val="15"/>
          <w:position w:val="20"/>
          <w:sz w:val="50"/>
          <w:szCs w:val="50"/>
        </w:rPr>
        <w:t>整体支出</w:t>
      </w:r>
    </w:p>
    <w:p>
      <w:pPr>
        <w:spacing w:before="163" w:line="787" w:lineRule="exact"/>
        <w:jc w:val="center"/>
        <w:rPr>
          <w:rFonts w:ascii="仿宋" w:hAnsi="仿宋" w:eastAsia="仿宋" w:cs="仿宋"/>
          <w:sz w:val="50"/>
          <w:szCs w:val="50"/>
        </w:rPr>
      </w:pPr>
      <w:r>
        <w:rPr>
          <w:rFonts w:hint="eastAsia" w:ascii="仿宋" w:hAnsi="仿宋" w:eastAsia="仿宋" w:cs="仿宋"/>
          <w:b/>
          <w:bCs/>
          <w:spacing w:val="8"/>
          <w:sz w:val="50"/>
          <w:szCs w:val="50"/>
        </w:rPr>
        <w:t>绩效自评报告</w:t>
      </w: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pStyle w:val="2"/>
        <w:spacing w:before="87" w:line="221" w:lineRule="auto"/>
        <w:ind w:left="1825"/>
        <w:rPr>
          <w:b/>
          <w:bCs/>
          <w:spacing w:val="-21"/>
          <w:sz w:val="27"/>
          <w:szCs w:val="27"/>
          <w:u w:val="single"/>
          <w:lang w:eastAsia="zh-CN"/>
        </w:rPr>
      </w:pPr>
      <w:r>
        <w:rPr>
          <w:spacing w:val="-21"/>
          <w:sz w:val="27"/>
          <w:szCs w:val="27"/>
          <w:lang w:eastAsia="zh-CN"/>
        </w:rPr>
        <w:t>部 门( 单位)名称：</w:t>
      </w:r>
      <w:r>
        <w:rPr>
          <w:rFonts w:hint="eastAsia"/>
          <w:b/>
          <w:bCs/>
          <w:spacing w:val="-21"/>
          <w:sz w:val="28"/>
          <w:szCs w:val="28"/>
          <w:u w:val="single"/>
          <w:lang w:eastAsia="zh-CN"/>
        </w:rPr>
        <w:t>临武县麦市镇中心小学</w:t>
      </w:r>
    </w:p>
    <w:p>
      <w:pPr>
        <w:pStyle w:val="3"/>
        <w:ind w:firstLine="210"/>
        <w:rPr>
          <w:rFonts w:hint="default"/>
          <w:lang w:eastAsia="zh-CN"/>
        </w:rPr>
      </w:pPr>
    </w:p>
    <w:p>
      <w:pPr>
        <w:spacing w:before="308" w:line="225" w:lineRule="auto"/>
        <w:ind w:left="3065" w:firstLine="492" w:firstLineChars="200"/>
        <w:rPr>
          <w:rFonts w:hint="eastAsia" w:ascii="楷体" w:hAnsi="楷体" w:eastAsia="楷体" w:cs="楷体"/>
          <w:spacing w:val="-12"/>
          <w:sz w:val="27"/>
          <w:szCs w:val="27"/>
          <w:lang w:eastAsia="zh-CN"/>
        </w:rPr>
      </w:pPr>
    </w:p>
    <w:p>
      <w:pPr>
        <w:spacing w:before="308" w:line="225" w:lineRule="auto"/>
        <w:ind w:left="3065" w:firstLine="492" w:firstLineChars="200"/>
        <w:rPr>
          <w:rFonts w:hint="eastAsia" w:ascii="楷体" w:hAnsi="楷体" w:eastAsia="楷体" w:cs="楷体"/>
          <w:spacing w:val="-12"/>
          <w:sz w:val="27"/>
          <w:szCs w:val="27"/>
          <w:lang w:eastAsia="zh-CN"/>
        </w:rPr>
      </w:pPr>
    </w:p>
    <w:p>
      <w:pPr>
        <w:spacing w:before="308" w:line="225" w:lineRule="auto"/>
        <w:ind w:left="3065" w:firstLine="492" w:firstLineChars="200"/>
        <w:rPr>
          <w:rFonts w:ascii="楷体" w:hAnsi="楷体" w:eastAsia="楷体" w:cs="楷体"/>
          <w:sz w:val="27"/>
          <w:szCs w:val="27"/>
          <w:lang w:eastAsia="zh-CN"/>
        </w:rPr>
      </w:pPr>
      <w:r>
        <w:rPr>
          <w:rFonts w:hint="eastAsia" w:ascii="楷体" w:hAnsi="楷体" w:eastAsia="楷体" w:cs="楷体"/>
          <w:spacing w:val="-12"/>
          <w:sz w:val="27"/>
          <w:szCs w:val="27"/>
          <w:lang w:eastAsia="zh-CN"/>
        </w:rPr>
        <w:t>202</w:t>
      </w:r>
      <w:r>
        <w:rPr>
          <w:rFonts w:hint="eastAsia" w:ascii="楷体" w:hAnsi="楷体" w:eastAsia="楷体" w:cs="楷体"/>
          <w:spacing w:val="-12"/>
          <w:sz w:val="27"/>
          <w:szCs w:val="27"/>
          <w:lang w:val="en-US" w:eastAsia="zh-CN"/>
        </w:rPr>
        <w:t>5</w:t>
      </w:r>
      <w:r>
        <w:rPr>
          <w:rFonts w:ascii="楷体" w:hAnsi="楷体" w:eastAsia="楷体" w:cs="楷体"/>
          <w:spacing w:val="-12"/>
          <w:sz w:val="27"/>
          <w:szCs w:val="27"/>
          <w:lang w:eastAsia="zh-CN"/>
        </w:rPr>
        <w:t>年</w:t>
      </w:r>
      <w:r>
        <w:rPr>
          <w:rFonts w:hint="eastAsia" w:ascii="楷体" w:hAnsi="楷体" w:eastAsia="楷体" w:cs="楷体"/>
          <w:spacing w:val="-12"/>
          <w:sz w:val="27"/>
          <w:szCs w:val="27"/>
          <w:lang w:val="en-US" w:eastAsia="zh-CN"/>
        </w:rPr>
        <w:t>6</w:t>
      </w:r>
      <w:r>
        <w:rPr>
          <w:rFonts w:ascii="楷体" w:hAnsi="楷体" w:eastAsia="楷体" w:cs="楷体"/>
          <w:spacing w:val="-12"/>
          <w:sz w:val="27"/>
          <w:szCs w:val="27"/>
          <w:lang w:eastAsia="zh-CN"/>
        </w:rPr>
        <w:t>月</w:t>
      </w:r>
      <w:r>
        <w:rPr>
          <w:rFonts w:hint="eastAsia" w:ascii="楷体" w:hAnsi="楷体" w:eastAsia="楷体" w:cs="楷体"/>
          <w:spacing w:val="-12"/>
          <w:sz w:val="27"/>
          <w:szCs w:val="27"/>
          <w:lang w:val="en-US" w:eastAsia="zh-CN"/>
        </w:rPr>
        <w:t>4</w:t>
      </w:r>
      <w:r>
        <w:rPr>
          <w:rFonts w:ascii="楷体" w:hAnsi="楷体" w:eastAsia="楷体" w:cs="楷体"/>
          <w:spacing w:val="-12"/>
          <w:sz w:val="27"/>
          <w:szCs w:val="27"/>
          <w:lang w:eastAsia="zh-CN"/>
        </w:rPr>
        <w:t>日</w:t>
      </w:r>
    </w:p>
    <w:p>
      <w:pPr>
        <w:spacing w:line="361" w:lineRule="auto"/>
        <w:rPr>
          <w:lang w:eastAsia="zh-CN"/>
        </w:rPr>
      </w:pPr>
    </w:p>
    <w:p>
      <w:pPr>
        <w:spacing w:line="224" w:lineRule="auto"/>
        <w:rPr>
          <w:sz w:val="31"/>
          <w:szCs w:val="31"/>
          <w:lang w:eastAsia="zh-CN"/>
        </w:rPr>
      </w:pPr>
    </w:p>
    <w:p>
      <w:pPr>
        <w:pStyle w:val="2"/>
        <w:rPr>
          <w:sz w:val="31"/>
          <w:szCs w:val="31"/>
          <w:lang w:eastAsia="zh-CN"/>
        </w:rPr>
      </w:pPr>
    </w:p>
    <w:p>
      <w:pPr>
        <w:pStyle w:val="3"/>
        <w:ind w:firstLine="310"/>
        <w:rPr>
          <w:rFonts w:hint="default"/>
          <w:sz w:val="31"/>
          <w:szCs w:val="31"/>
          <w:lang w:eastAsia="zh-CN"/>
        </w:rPr>
      </w:pPr>
    </w:p>
    <w:p>
      <w:pPr>
        <w:rPr>
          <w:sz w:val="31"/>
          <w:szCs w:val="31"/>
          <w:lang w:eastAsia="zh-CN"/>
        </w:rPr>
      </w:pPr>
      <w:bookmarkStart w:id="1" w:name="_GoBack"/>
      <w:bookmarkEnd w:id="1"/>
    </w:p>
    <w:p>
      <w:pPr>
        <w:pStyle w:val="2"/>
        <w:rPr>
          <w:sz w:val="31"/>
          <w:szCs w:val="31"/>
          <w:lang w:eastAsia="zh-CN"/>
        </w:rPr>
      </w:pPr>
    </w:p>
    <w:p>
      <w:pPr>
        <w:pStyle w:val="3"/>
        <w:ind w:firstLine="210"/>
        <w:rPr>
          <w:rFonts w:hint="default"/>
          <w:lang w:eastAsia="zh-CN"/>
        </w:rPr>
        <w:sectPr>
          <w:footerReference r:id="rId3" w:type="default"/>
          <w:pgSz w:w="12130" w:h="16980"/>
          <w:pgMar w:top="1443" w:right="1812" w:bottom="1538" w:left="1744" w:header="0" w:footer="1229" w:gutter="0"/>
          <w:cols w:space="720" w:num="1"/>
        </w:sectPr>
      </w:pPr>
    </w:p>
    <w:p>
      <w:pPr>
        <w:spacing w:line="268" w:lineRule="auto"/>
        <w:rPr>
          <w:lang w:eastAsia="zh-CN"/>
        </w:rPr>
      </w:pPr>
    </w:p>
    <w:p>
      <w:pPr>
        <w:spacing w:before="140" w:line="667" w:lineRule="exact"/>
        <w:jc w:val="center"/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18"/>
          <w:position w:val="16"/>
          <w:sz w:val="43"/>
          <w:szCs w:val="43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  <w:lang w:eastAsia="zh-CN"/>
        </w:rPr>
        <w:t>年度</w:t>
      </w:r>
      <w:r>
        <w:rPr>
          <w:rFonts w:hint="eastAsia" w:ascii="宋体" w:hAnsi="宋体" w:eastAsia="宋体" w:cs="宋体"/>
          <w:b/>
          <w:bCs/>
          <w:spacing w:val="-18"/>
          <w:position w:val="16"/>
          <w:sz w:val="43"/>
          <w:szCs w:val="43"/>
          <w:lang w:eastAsia="zh-CN"/>
        </w:rPr>
        <w:t>部门</w:t>
      </w:r>
      <w:r>
        <w:rPr>
          <w:rFonts w:ascii="宋体" w:hAnsi="宋体" w:eastAsia="宋体" w:cs="宋体"/>
          <w:b/>
          <w:bCs/>
          <w:spacing w:val="-18"/>
          <w:position w:val="16"/>
          <w:sz w:val="43"/>
          <w:szCs w:val="43"/>
          <w:lang w:eastAsia="zh-CN"/>
        </w:rPr>
        <w:t>整体支出</w:t>
      </w:r>
    </w:p>
    <w:p>
      <w:pPr>
        <w:spacing w:before="140" w:line="667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绩效自评报告</w:t>
      </w:r>
    </w:p>
    <w:p>
      <w:pPr>
        <w:spacing w:line="307" w:lineRule="auto"/>
      </w:pPr>
    </w:p>
    <w:p>
      <w:pPr>
        <w:spacing w:line="307" w:lineRule="auto"/>
      </w:pPr>
    </w:p>
    <w:p>
      <w:pPr>
        <w:spacing w:line="307" w:lineRule="auto"/>
      </w:pPr>
    </w:p>
    <w:p>
      <w:pPr>
        <w:numPr>
          <w:ilvl w:val="0"/>
          <w:numId w:val="1"/>
        </w:numPr>
        <w:spacing w:before="101" w:line="223" w:lineRule="auto"/>
        <w:ind w:left="680"/>
        <w:rPr>
          <w:rFonts w:ascii="黑体" w:hAnsi="黑体" w:eastAsia="黑体" w:cs="黑体"/>
          <w:spacing w:val="4"/>
          <w:sz w:val="31"/>
          <w:szCs w:val="31"/>
        </w:rPr>
      </w:pPr>
      <w:bookmarkStart w:id="0" w:name="OLE_LINK1"/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（一）机构设置情况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内设督导部门、党建部门、教务部门、教研部门、政务部门、后勤部门、财务部门、卫健部门等八个部门。</w:t>
      </w:r>
    </w:p>
    <w:p>
      <w:pPr>
        <w:pStyle w:val="7"/>
        <w:numPr>
          <w:ilvl w:val="0"/>
          <w:numId w:val="2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人员编制情况</w:t>
      </w:r>
    </w:p>
    <w:p>
      <w:pPr>
        <w:pStyle w:val="7"/>
        <w:spacing w:beforeAutospacing="0" w:afterAutospacing="0"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共有事业编制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名，实有在编人员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人，学生情况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人。</w:t>
      </w:r>
    </w:p>
    <w:p>
      <w:pPr>
        <w:pStyle w:val="7"/>
        <w:numPr>
          <w:ilvl w:val="0"/>
          <w:numId w:val="2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主要职能职责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1、负责贯彻党的教育方针，坚持社会主义办学方向，对学生进行德育、智育、体育、美育和劳动教育等方面的教育。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2、负责配合各级人民政府依法动员适龄儿童、少年入学，严格控制学生辍学，依法保证适龄儿童、少年接受九年义务教育。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3、负责制定学校教育发展规划，并抓好组织实施和落实工作。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4、负责按照教育主管部门发布的指导性教学计划、教学大纲，组织实施教育教学活动。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5、负责依据国家主管部门有关教学计划、课程设置等方面的规定，决定和实施本校的教学计划，组织教学评比、集体备课，对学生进行统一考核、考试等。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6、负责学籍管理。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7、负责聘任、培训、考核教师，依法奖励或处分有关教师和职工。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8、负责科学管理、合理使用学校的设施和经费，并积极筹措资金，改善办学条件。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9、负责维护学校、师生的合法权益，有权拒绝任何组织和个人对教育教学活动进行非法干涉。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10、依法接受各级教育行政部门的检查指导和人民群众的监督。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（四）绩效目标设定情况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1377.47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万元，其中：一般公共服务支出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万元；教育（类）支出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1120.19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万元；住房保障支出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95.81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numPr>
          <w:ilvl w:val="0"/>
          <w:numId w:val="1"/>
        </w:numPr>
        <w:spacing w:before="211" w:line="221" w:lineRule="auto"/>
        <w:ind w:left="680" w:leftChars="0" w:firstLine="0" w:firstLineChars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一般公共预算支出情况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680" w:leftChars="0"/>
        <w:textAlignment w:val="baseline"/>
        <w:rPr>
          <w:lang w:eastAsia="zh-CN"/>
        </w:rPr>
      </w:pPr>
    </w:p>
    <w:p>
      <w:pPr>
        <w:pStyle w:val="7"/>
        <w:spacing w:beforeAutospacing="0" w:afterAutospacing="0" w:line="560" w:lineRule="exact"/>
        <w:ind w:firstLine="706" w:firstLineChars="200"/>
        <w:rPr>
          <w:rFonts w:ascii="楷体" w:hAnsi="楷体" w:eastAsia="楷体" w:cs="楷体"/>
          <w:b/>
          <w:bCs/>
          <w:spacing w:val="21"/>
          <w:position w:val="19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21"/>
          <w:position w:val="19"/>
          <w:sz w:val="31"/>
          <w:szCs w:val="31"/>
          <w:lang w:eastAsia="zh-CN"/>
        </w:rPr>
        <w:t>(一)基本支出情况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（一）经批复的预、决算情况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年经批复预算收支情况：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年经批复的预算收入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1132.47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万元，其中人员经费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1114.47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万元，公用经费11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万元，财政专户管理资金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年经批复的预算支出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1276.52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万元，其中人员经费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1159.65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万元，公用经费1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万元，财政专户管理资金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年经批复部门决算收支完成情况：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1276.52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万元。其中，财政基本预算收入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1276.52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1276.52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万元。其中：人员经费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1114.47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（二）部门预算执行情况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1276.52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万元。其中：人员经费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1114.47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116.86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万元。与上年相比，有所增加，变化的主要原因：202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年秋季学生和教师人数都增加，导致支出增加。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（三）“三公”经费使用和管理情况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“三公经费”控制情况：贯彻落实上级有关精神，严格控制“三公经费”支出，取得了良好效果。202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“三公经费”0万元，比去年减少0，比预算下降0%，比去年下降0%。其中：公务接待费0万元,比预算下降0%，比去年0，下降0%；无因公出国（境）费。同时，按照上级的要求，在政府门户网站对“三公”经费情况进行了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原因是本单位无“三公”事务。</w:t>
      </w:r>
    </w:p>
    <w:p>
      <w:pPr>
        <w:pStyle w:val="7"/>
        <w:numPr>
          <w:ilvl w:val="0"/>
          <w:numId w:val="2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资金结转和结余情况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年资金结转0万元，资金结余0万元。</w:t>
      </w:r>
    </w:p>
    <w:p>
      <w:pPr>
        <w:pStyle w:val="7"/>
        <w:numPr>
          <w:ilvl w:val="0"/>
          <w:numId w:val="2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部门整体支出管理与制度建设情况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整体情况来看，我校严格按照年初预算进行部门整体支出。在支出过程中，能严格遵守各项规章制度，“三公经费”明显下降。所有项目都详细制定了方案，严格按方案组织实施，并加强了监督。尤其是在专项经费支出上，我们能专款专用，按项目实施计划的进度情况进行资金拨付，无截留、无挪用等现象。实行了先有预算、后有执行、“用钱必问效、无效必问责”的新常态。</w:t>
      </w:r>
    </w:p>
    <w:p>
      <w:pPr>
        <w:numPr>
          <w:ilvl w:val="0"/>
          <w:numId w:val="3"/>
        </w:numPr>
        <w:spacing w:line="226" w:lineRule="auto"/>
        <w:ind w:left="834"/>
        <w:rPr>
          <w:rFonts w:ascii="楷体" w:hAnsi="楷体" w:eastAsia="楷体" w:cs="楷体"/>
          <w:b/>
          <w:bCs/>
          <w:spacing w:val="17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项目支出情况</w:t>
      </w:r>
    </w:p>
    <w:p>
      <w:pPr>
        <w:pStyle w:val="7"/>
        <w:spacing w:beforeAutospacing="0" w:afterAutospacing="0" w:line="560" w:lineRule="exact"/>
        <w:ind w:firstLine="640" w:firstLineChars="200"/>
        <w:rPr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年财政专户管理资金课后服务费支出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88.93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万元，与上年相比，有所增长，变化的主要原因：202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年秋季学生和教师人数都增加，导致支出增加。</w:t>
      </w:r>
    </w:p>
    <w:p>
      <w:pPr>
        <w:numPr>
          <w:ilvl w:val="0"/>
          <w:numId w:val="1"/>
        </w:numPr>
        <w:spacing w:before="239" w:line="222" w:lineRule="auto"/>
        <w:ind w:left="680"/>
        <w:rPr>
          <w:rFonts w:ascii="黑体" w:hAnsi="黑体" w:eastAsia="黑体" w:cs="黑体"/>
          <w:b/>
          <w:bCs/>
          <w:spacing w:val="-4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  <w:lang w:eastAsia="zh-CN"/>
        </w:rPr>
        <w:t>政府性基金预算支出情况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年无政府性基金预算支出。</w:t>
      </w:r>
    </w:p>
    <w:p>
      <w:pPr>
        <w:numPr>
          <w:ilvl w:val="0"/>
          <w:numId w:val="1"/>
        </w:numPr>
        <w:spacing w:before="239" w:line="222" w:lineRule="auto"/>
        <w:ind w:left="680"/>
        <w:rPr>
          <w:rFonts w:ascii="黑体" w:hAnsi="黑体" w:eastAsia="黑体" w:cs="黑体"/>
          <w:b/>
          <w:bCs/>
          <w:spacing w:val="-4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  <w:lang w:eastAsia="zh-CN"/>
        </w:rPr>
        <w:t>国有资本经营预算支出情况</w:t>
      </w:r>
    </w:p>
    <w:p>
      <w:pPr>
        <w:pStyle w:val="7"/>
        <w:spacing w:beforeAutospacing="0" w:afterAutospacing="0" w:line="560" w:lineRule="exact"/>
        <w:ind w:left="68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年无政府性基金预算支出。</w:t>
      </w:r>
    </w:p>
    <w:p>
      <w:pPr>
        <w:numPr>
          <w:ilvl w:val="0"/>
          <w:numId w:val="1"/>
        </w:numPr>
        <w:spacing w:before="1" w:line="221" w:lineRule="auto"/>
        <w:ind w:left="680"/>
        <w:rPr>
          <w:rFonts w:ascii="黑体" w:hAnsi="黑体" w:eastAsia="黑体" w:cs="黑体"/>
          <w:b/>
          <w:bCs/>
          <w:spacing w:val="-1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  <w:lang w:eastAsia="zh-CN"/>
        </w:rPr>
        <w:t>社会保险基金预算支出情况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万元，职工基本医疗保险缴费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万元，其他社会保障缴费8.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85.97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numPr>
          <w:ilvl w:val="0"/>
          <w:numId w:val="1"/>
        </w:numPr>
        <w:spacing w:before="226" w:line="221" w:lineRule="auto"/>
        <w:ind w:left="680"/>
        <w:rPr>
          <w:rFonts w:ascii="黑体" w:hAnsi="黑体" w:eastAsia="黑体" w:cs="黑体"/>
          <w:b/>
          <w:bCs/>
          <w:spacing w:val="-8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整体支出绩效情况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（一）综合评价结论。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年整体绩效自评得分9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分，评价等级为优秀。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（二）评价指标分析（或综合评价情况）。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1、单位预算编制科学，民主理财、公开理财氛围浓厚，重大财务事项经由集体研究决策，财务制度健全。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2、预算执行方面。经费开支严格按预算执行，经费开支按用途使用合理，专款专用，不铺张浪费，开源节流。 “三公”经费方面，202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年度没有公务接待费及公务用车运行维护费用，没有出国出境考察的情况。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3、预算管理方面。我校制定了切实有效的内部管理制度和经费支出控制方案，有较强的内控风险管理意识、各项经费支出得到了有效控制。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学生人数、教师培训次数和人数、工会、思想道德、党建活动等数量指标完成达标。在校教师实有人数比编制数少4人未达标。入学率、专任教师合格率、教师培训合格率、工会活动参与率、教学任务完成及时率、教师培训及时率质量指标均达标。</w:t>
      </w:r>
    </w:p>
    <w:p>
      <w:pPr>
        <w:pStyle w:val="7"/>
        <w:numPr>
          <w:ilvl w:val="0"/>
          <w:numId w:val="4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整体支出指标完成情况：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（1）、产出指标完成情况：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数量指标：在校学生人数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人，在校教师人数8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人，临聘教师人数1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人，添置课桌桌椅200套，教师培训次数3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次，教师培训人数3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人，工会活动次数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次，开展思想道德、法制教育活动1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次，党建活动次数12次。其中只有在校教师人数未达指标值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人，达标率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89.90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%。其他指标完成值达100%。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质量指标：入学率100%，专任教师合格率100%，教师培训合格率100%，工会会员活动参与率99%。指标完成值都达100%。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时效指标：预算执行率100%，教学任务完成及时率100%，教师培训及时率100%，指标完成值都达100%。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成本指标：人员经费支出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1135.13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107.87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万元。人员经费支出达指标值；公用经费支出未达指标值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116.87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万元，达标率9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>
      <w:pPr>
        <w:pStyle w:val="7"/>
        <w:numPr>
          <w:ilvl w:val="0"/>
          <w:numId w:val="5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、效益指标完成情况：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社会效益指标：标辍学率0%，学校知名度逐步提高，指标完成值都达100%。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生态效益指标：校园绿化率提升，指标完成值都达100%。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可持续影响指标：教师业务能力、教学水平提升，长期依照国家法律法规实施义务教育，指标完成值都达100%。</w:t>
      </w:r>
    </w:p>
    <w:p>
      <w:pPr>
        <w:pStyle w:val="7"/>
        <w:numPr>
          <w:ilvl w:val="0"/>
          <w:numId w:val="5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、满意度指标完成情况：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社会公众或服务对象满意度指标：学生和家长满意度97%，全体教职工满意度99%，指标完成值都达100%。</w:t>
      </w:r>
    </w:p>
    <w:p>
      <w:pPr>
        <w:pStyle w:val="7"/>
        <w:numPr>
          <w:ilvl w:val="0"/>
          <w:numId w:val="6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课后服务项目支出指标完成情况：</w:t>
      </w:r>
    </w:p>
    <w:p>
      <w:pPr>
        <w:pStyle w:val="7"/>
        <w:numPr>
          <w:ilvl w:val="0"/>
          <w:numId w:val="7"/>
        </w:numPr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、成本指标完成情况：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经济成本指标：器械、书籍、水电费等1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社会成本指标：舞蹈、音乐兴趣班教学用品费等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（2）、产出指标完成情况：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数量指标：每天完成辅导时间，2小时，指标完成值达100%。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质量指标：完成学校日常教学教育成绩，9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分，指标完成值达9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时效指标：项目完成时间，202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年度内，指标完成值达100%。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（3）、效益指标完成情况：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经济效益指标：促进教育零收费政落实，教育零收费，指标完成值达100%。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社会效益指标：解决放学接送困难、在家无人照顾、安全存在隐患等社会难题，已解决，指标完成值达100%。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生态效益指标：促进校园卫生优化，校园卫生已优化，指标完成值达98%。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（4）、满意度指标完成情况：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服务对象满意度指标：家长学生问卷满意度，满意，指标完成值达99%。</w:t>
      </w:r>
    </w:p>
    <w:p>
      <w:pPr>
        <w:spacing w:before="1" w:line="221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1"/>
          <w:szCs w:val="31"/>
          <w:lang w:eastAsia="zh-CN"/>
        </w:rPr>
        <w:t>六、</w:t>
      </w:r>
      <w:r>
        <w:rPr>
          <w:rFonts w:ascii="黑体" w:hAnsi="黑体" w:eastAsia="黑体" w:cs="黑体"/>
          <w:b/>
          <w:bCs/>
          <w:spacing w:val="-1"/>
          <w:sz w:val="31"/>
          <w:szCs w:val="31"/>
          <w:lang w:eastAsia="zh-CN"/>
        </w:rPr>
        <w:t>存在的问题及原因分析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年人员经费支出比预算多，主要是202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年下期教师人数增加。公用经费支出比预算少，主要是财政给予的支付额度不足。</w:t>
      </w:r>
    </w:p>
    <w:p>
      <w:pPr>
        <w:numPr>
          <w:ilvl w:val="0"/>
          <w:numId w:val="1"/>
        </w:numPr>
        <w:spacing w:before="1" w:line="221" w:lineRule="auto"/>
        <w:ind w:left="680"/>
        <w:rPr>
          <w:rFonts w:ascii="黑体" w:hAnsi="黑体" w:eastAsia="黑体" w:cs="黑体"/>
          <w:b/>
          <w:bCs/>
          <w:spacing w:val="-1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下一步改进措施</w:t>
      </w:r>
    </w:p>
    <w:p>
      <w:pPr>
        <w:pStyle w:val="7"/>
        <w:spacing w:beforeAutospacing="0" w:afterAutospacing="0"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及时支付公用经费，到财政争取足额支付额度。</w:t>
      </w:r>
    </w:p>
    <w:p>
      <w:pPr>
        <w:numPr>
          <w:ilvl w:val="0"/>
          <w:numId w:val="1"/>
        </w:numPr>
        <w:spacing w:before="246" w:line="580" w:lineRule="exact"/>
        <w:ind w:left="680"/>
        <w:rPr>
          <w:rFonts w:ascii="黑体" w:hAnsi="黑体" w:eastAsia="黑体" w:cs="黑体"/>
          <w:b/>
          <w:bCs/>
          <w:position w:val="20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  <w:lang w:eastAsia="zh-CN"/>
        </w:rPr>
        <w:t>部门整体支出绩效自评结果拟应用和公开情况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部门整体支出绩效自评结果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，为单位提高了管理的标准化、提高了薪酬的激励性、提高了职位调整科学性、提高了培训的针对性。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年部门整体绩效自评报告将于202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日前公开。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before="2" w:line="220" w:lineRule="auto"/>
        <w:ind w:left="684"/>
        <w:rPr>
          <w:rFonts w:ascii="黑体" w:hAnsi="黑体" w:eastAsia="黑体" w:cs="黑体"/>
          <w:b/>
          <w:bCs/>
          <w:spacing w:val="-1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1"/>
          <w:szCs w:val="31"/>
          <w:lang w:eastAsia="zh-CN"/>
        </w:rPr>
        <w:t>九、</w:t>
      </w:r>
      <w:r>
        <w:rPr>
          <w:rFonts w:ascii="黑体" w:hAnsi="黑体" w:eastAsia="黑体" w:cs="黑体"/>
          <w:b/>
          <w:bCs/>
          <w:spacing w:val="-1"/>
          <w:sz w:val="31"/>
          <w:szCs w:val="31"/>
          <w:lang w:eastAsia="zh-CN"/>
        </w:rPr>
        <w:t>其他需要说明的情况</w:t>
      </w:r>
    </w:p>
    <w:p>
      <w:pPr>
        <w:pStyle w:val="7"/>
        <w:spacing w:beforeAutospacing="0" w:afterAutospacing="0"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spacing w:line="252" w:lineRule="auto"/>
        <w:rPr>
          <w:lang w:eastAsia="zh-CN"/>
        </w:rPr>
      </w:pPr>
    </w:p>
    <w:p>
      <w:pPr>
        <w:pStyle w:val="2"/>
        <w:spacing w:line="600" w:lineRule="exact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附件：1、部门整体支出绩效评价基础数据表</w:t>
      </w:r>
    </w:p>
    <w:p>
      <w:pPr>
        <w:pStyle w:val="2"/>
        <w:spacing w:line="600" w:lineRule="exact"/>
        <w:ind w:firstLine="930" w:firstLineChars="300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2、部门整体支出绩效自评表</w:t>
      </w:r>
    </w:p>
    <w:p>
      <w:pPr>
        <w:pStyle w:val="2"/>
        <w:spacing w:line="600" w:lineRule="exact"/>
        <w:ind w:firstLine="930" w:firstLineChars="300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3、项目支出绩效自评表</w:t>
      </w:r>
    </w:p>
    <w:p>
      <w:pPr>
        <w:pStyle w:val="2"/>
        <w:spacing w:line="600" w:lineRule="exact"/>
        <w:ind w:firstLine="930" w:firstLineChars="300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4、整体支出绩效自评</w:t>
      </w:r>
      <w:r>
        <w:rPr>
          <w:rFonts w:hint="eastAsia"/>
          <w:sz w:val="31"/>
          <w:szCs w:val="31"/>
          <w:lang w:eastAsia="zh-CN"/>
        </w:rPr>
        <w:t>报告</w:t>
      </w:r>
    </w:p>
    <w:bookmarkEnd w:id="0"/>
    <w:p>
      <w:pPr>
        <w:pStyle w:val="2"/>
        <w:spacing w:line="600" w:lineRule="exact"/>
        <w:ind w:firstLine="620" w:firstLineChars="200"/>
        <w:rPr>
          <w:sz w:val="31"/>
          <w:szCs w:val="31"/>
          <w:lang w:eastAsia="zh-CN"/>
        </w:rPr>
      </w:pPr>
    </w:p>
    <w:p>
      <w:pPr>
        <w:spacing w:line="242" w:lineRule="auto"/>
        <w:rPr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both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940"/>
      <w:rPr>
        <w:rFonts w:ascii="宋体" w:hAnsi="宋体" w:eastAsia="宋体" w:cs="宋体"/>
        <w:sz w:val="32"/>
        <w:szCs w:val="32"/>
      </w:rPr>
    </w:pPr>
    <w:r>
      <w:rPr>
        <w:sz w:val="32"/>
        <w:lang w:eastAsia="zh-CN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242B6"/>
    <w:multiLevelType w:val="singleLevel"/>
    <w:tmpl w:val="D49242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2D358360"/>
    <w:multiLevelType w:val="singleLevel"/>
    <w:tmpl w:val="2D3583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BCBB5D"/>
    <w:multiLevelType w:val="singleLevel"/>
    <w:tmpl w:val="64BCBB5D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4E817D7"/>
    <w:multiLevelType w:val="singleLevel"/>
    <w:tmpl w:val="64E817D7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64E81C64"/>
    <w:multiLevelType w:val="singleLevel"/>
    <w:tmpl w:val="64E81C64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64E843A0"/>
    <w:multiLevelType w:val="singleLevel"/>
    <w:tmpl w:val="64E843A0"/>
    <w:lvl w:ilvl="0" w:tentative="0">
      <w:start w:val="5"/>
      <w:numFmt w:val="decimal"/>
      <w:suff w:val="nothing"/>
      <w:lvlText w:val="%1、"/>
      <w:lvlJc w:val="left"/>
    </w:lvl>
  </w:abstractNum>
  <w:abstractNum w:abstractNumId="6">
    <w:nsid w:val="64E843EC"/>
    <w:multiLevelType w:val="singleLevel"/>
    <w:tmpl w:val="64E843E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0YTZjMmUxNzQ0MDNjNDZkNDY4OGM2ZmRhNzVhN2YifQ=="/>
    <w:docVar w:name="KSO_WPS_MARK_KEY" w:val="a33d557f-e408-421e-88f6-301d45fd3d7c"/>
  </w:docVars>
  <w:rsids>
    <w:rsidRoot w:val="51940CB2"/>
    <w:rsid w:val="001E3752"/>
    <w:rsid w:val="002413F5"/>
    <w:rsid w:val="00251D15"/>
    <w:rsid w:val="00330473"/>
    <w:rsid w:val="003B353F"/>
    <w:rsid w:val="004330E2"/>
    <w:rsid w:val="008F3BE0"/>
    <w:rsid w:val="00A8568A"/>
    <w:rsid w:val="00D67594"/>
    <w:rsid w:val="00FA1515"/>
    <w:rsid w:val="04096D7E"/>
    <w:rsid w:val="05843D4C"/>
    <w:rsid w:val="05977D2C"/>
    <w:rsid w:val="05E45479"/>
    <w:rsid w:val="06174499"/>
    <w:rsid w:val="08340A49"/>
    <w:rsid w:val="08CD59C9"/>
    <w:rsid w:val="0A343A97"/>
    <w:rsid w:val="0A8D27B8"/>
    <w:rsid w:val="0E955278"/>
    <w:rsid w:val="10F26D24"/>
    <w:rsid w:val="12B81020"/>
    <w:rsid w:val="153C6110"/>
    <w:rsid w:val="18194C82"/>
    <w:rsid w:val="19BA25A0"/>
    <w:rsid w:val="1A9D15DF"/>
    <w:rsid w:val="1E0509DF"/>
    <w:rsid w:val="1E82758C"/>
    <w:rsid w:val="1E8A6544"/>
    <w:rsid w:val="1F1030EF"/>
    <w:rsid w:val="1FDD2F87"/>
    <w:rsid w:val="20783392"/>
    <w:rsid w:val="21E2569F"/>
    <w:rsid w:val="237179F3"/>
    <w:rsid w:val="239C460F"/>
    <w:rsid w:val="265B4D2F"/>
    <w:rsid w:val="27CC0D49"/>
    <w:rsid w:val="285663C6"/>
    <w:rsid w:val="28810842"/>
    <w:rsid w:val="28842123"/>
    <w:rsid w:val="29950109"/>
    <w:rsid w:val="29B0148F"/>
    <w:rsid w:val="2A9517C3"/>
    <w:rsid w:val="2C026FB6"/>
    <w:rsid w:val="32686660"/>
    <w:rsid w:val="32C26837"/>
    <w:rsid w:val="34697AD5"/>
    <w:rsid w:val="34D06492"/>
    <w:rsid w:val="35225033"/>
    <w:rsid w:val="368A2950"/>
    <w:rsid w:val="3EC31690"/>
    <w:rsid w:val="405703D0"/>
    <w:rsid w:val="41487722"/>
    <w:rsid w:val="43437134"/>
    <w:rsid w:val="45BE46D9"/>
    <w:rsid w:val="46053443"/>
    <w:rsid w:val="46EE0C4B"/>
    <w:rsid w:val="47A6185F"/>
    <w:rsid w:val="48D55830"/>
    <w:rsid w:val="49DD17F6"/>
    <w:rsid w:val="4AAC764D"/>
    <w:rsid w:val="4B0709C0"/>
    <w:rsid w:val="4DA3704D"/>
    <w:rsid w:val="51940CB2"/>
    <w:rsid w:val="52D35602"/>
    <w:rsid w:val="55F34E54"/>
    <w:rsid w:val="586229FD"/>
    <w:rsid w:val="5CC10583"/>
    <w:rsid w:val="5CFD64EB"/>
    <w:rsid w:val="5E247CFA"/>
    <w:rsid w:val="5EC44A95"/>
    <w:rsid w:val="5FFC54FD"/>
    <w:rsid w:val="63122CD2"/>
    <w:rsid w:val="639E6CCD"/>
    <w:rsid w:val="64095361"/>
    <w:rsid w:val="641A0B7A"/>
    <w:rsid w:val="6431513C"/>
    <w:rsid w:val="65D175D2"/>
    <w:rsid w:val="677F539E"/>
    <w:rsid w:val="6978218C"/>
    <w:rsid w:val="69851D08"/>
    <w:rsid w:val="69CC4E56"/>
    <w:rsid w:val="6B6F1C51"/>
    <w:rsid w:val="6E8025BA"/>
    <w:rsid w:val="6FAC657E"/>
    <w:rsid w:val="713B36A5"/>
    <w:rsid w:val="73754A0D"/>
    <w:rsid w:val="75C87DF7"/>
    <w:rsid w:val="79871301"/>
    <w:rsid w:val="7AC157CB"/>
    <w:rsid w:val="7B7F7D13"/>
    <w:rsid w:val="7F343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5"/>
      <w:szCs w:val="35"/>
    </w:rPr>
  </w:style>
  <w:style w:type="paragraph" w:customStyle="1" w:styleId="3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10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787C03-5727-4A67-BF9A-9489C1798F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2919</Words>
  <Characters>3255</Characters>
  <Lines>19</Lines>
  <Paragraphs>22</Paragraphs>
  <TotalTime>1</TotalTime>
  <ScaleCrop>false</ScaleCrop>
  <LinksUpToDate>false</LinksUpToDate>
  <CharactersWithSpaces>3258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2024-03-29T03:44:00Z</dcterms:created>
  <dc:creator>Administrator</dc:creator>
  <cp:lastModifiedBy>小黄瑶</cp:lastModifiedBy>
  <cp:lastPrinted>2024-04-30T02:36:00Z</cp:lastPrinted>
  <dcterms:modified xsi:type="dcterms:W3CDTF">2025-06-05T04:05:45Z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CEFFFC1E31584FAD879BD1E35379AA2A_13</vt:lpwstr>
  </property>
</Properties>
</file>