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FB1F2">
      <w:pPr>
        <w:spacing w:before="98" w:line="224" w:lineRule="auto"/>
        <w:rPr>
          <w:rFonts w:ascii="黑体" w:hAnsi="黑体" w:eastAsia="黑体" w:cs="黑体"/>
          <w:sz w:val="33"/>
          <w:szCs w:val="33"/>
          <w:lang w:eastAsia="zh-CN"/>
        </w:rPr>
      </w:pPr>
      <w:bookmarkStart w:id="0" w:name="_GoBack"/>
      <w:bookmarkEnd w:id="0"/>
      <w:r>
        <w:rPr>
          <w:rFonts w:ascii="黑体" w:hAnsi="黑体" w:eastAsia="黑体" w:cs="黑体"/>
          <w:b/>
          <w:bCs/>
          <w:spacing w:val="11"/>
          <w:sz w:val="33"/>
          <w:szCs w:val="33"/>
        </w:rPr>
        <w:t>附件2</w:t>
      </w:r>
      <w:r>
        <w:rPr>
          <w:rFonts w:hint="eastAsia" w:ascii="黑体" w:hAnsi="黑体" w:eastAsia="黑体" w:cs="黑体"/>
          <w:b/>
          <w:bCs/>
          <w:spacing w:val="11"/>
          <w:sz w:val="33"/>
          <w:szCs w:val="33"/>
          <w:lang w:eastAsia="zh-CN"/>
        </w:rPr>
        <w:t>：</w:t>
      </w:r>
    </w:p>
    <w:p w14:paraId="31300B12">
      <w:pPr>
        <w:spacing w:line="253" w:lineRule="auto"/>
      </w:pPr>
    </w:p>
    <w:p w14:paraId="24F4E944">
      <w:pPr>
        <w:spacing w:before="107" w:line="218" w:lineRule="auto"/>
        <w:ind w:left="1419"/>
        <w:rPr>
          <w:rFonts w:ascii="宋体" w:hAnsi="宋体" w:eastAsia="宋体" w:cs="宋体"/>
          <w:sz w:val="33"/>
          <w:szCs w:val="33"/>
        </w:rPr>
      </w:pPr>
      <w:r>
        <w:rPr>
          <w:rFonts w:hint="eastAsia" w:ascii="宋体" w:hAnsi="宋体" w:eastAsia="宋体" w:cs="宋体"/>
          <w:b/>
          <w:bCs/>
          <w:spacing w:val="24"/>
          <w:sz w:val="33"/>
          <w:szCs w:val="33"/>
          <w:lang w:eastAsia="zh-CN"/>
        </w:rPr>
        <w:t>2024</w:t>
      </w:r>
      <w:r>
        <w:rPr>
          <w:rFonts w:ascii="宋体" w:hAnsi="宋体" w:eastAsia="宋体" w:cs="宋体"/>
          <w:b/>
          <w:bCs/>
          <w:spacing w:val="24"/>
          <w:sz w:val="33"/>
          <w:szCs w:val="33"/>
        </w:rPr>
        <w:t>年度整体支出绩效评价基础数</w:t>
      </w:r>
      <w:r>
        <w:rPr>
          <w:rFonts w:ascii="宋体" w:hAnsi="宋体" w:eastAsia="宋体" w:cs="宋体"/>
          <w:b/>
          <w:bCs/>
          <w:spacing w:val="23"/>
          <w:sz w:val="33"/>
          <w:szCs w:val="33"/>
        </w:rPr>
        <w:t>据表</w:t>
      </w:r>
    </w:p>
    <w:p w14:paraId="32295A7E">
      <w:pPr>
        <w:spacing w:line="129" w:lineRule="exact"/>
      </w:pPr>
    </w:p>
    <w:tbl>
      <w:tblPr>
        <w:tblStyle w:val="11"/>
        <w:tblW w:w="95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1"/>
        <w:gridCol w:w="1058"/>
        <w:gridCol w:w="1130"/>
        <w:gridCol w:w="1109"/>
        <w:gridCol w:w="1108"/>
        <w:gridCol w:w="1059"/>
        <w:gridCol w:w="954"/>
      </w:tblGrid>
      <w:tr w14:paraId="34B6F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3121" w:type="dxa"/>
            <w:vMerge w:val="restart"/>
            <w:tcBorders>
              <w:bottom w:val="nil"/>
            </w:tcBorders>
          </w:tcPr>
          <w:p w14:paraId="15CB8D35">
            <w:pPr>
              <w:pStyle w:val="10"/>
              <w:spacing w:before="271" w:line="219" w:lineRule="auto"/>
              <w:ind w:left="534"/>
              <w:rPr>
                <w:sz w:val="20"/>
                <w:szCs w:val="20"/>
              </w:rPr>
            </w:pPr>
            <w:r>
              <w:rPr>
                <w:spacing w:val="3"/>
                <w:sz w:val="20"/>
                <w:szCs w:val="20"/>
              </w:rPr>
              <w:t>财政供养人员情况(人)</w:t>
            </w:r>
          </w:p>
        </w:tc>
        <w:tc>
          <w:tcPr>
            <w:tcW w:w="2188" w:type="dxa"/>
            <w:gridSpan w:val="2"/>
          </w:tcPr>
          <w:p w14:paraId="5AC0CB00">
            <w:pPr>
              <w:pStyle w:val="10"/>
              <w:spacing w:before="83" w:line="219" w:lineRule="auto"/>
              <w:ind w:left="694"/>
              <w:rPr>
                <w:sz w:val="20"/>
                <w:szCs w:val="20"/>
              </w:rPr>
            </w:pPr>
            <w:r>
              <w:rPr>
                <w:spacing w:val="-3"/>
                <w:sz w:val="20"/>
                <w:szCs w:val="20"/>
              </w:rPr>
              <w:t>编制数</w:t>
            </w:r>
          </w:p>
        </w:tc>
        <w:tc>
          <w:tcPr>
            <w:tcW w:w="2217" w:type="dxa"/>
            <w:gridSpan w:val="2"/>
          </w:tcPr>
          <w:p w14:paraId="250C6F06">
            <w:pPr>
              <w:pStyle w:val="10"/>
              <w:spacing w:before="83" w:line="219" w:lineRule="auto"/>
              <w:ind w:left="206"/>
              <w:rPr>
                <w:sz w:val="20"/>
                <w:szCs w:val="20"/>
              </w:rPr>
            </w:pPr>
            <w:r>
              <w:rPr>
                <w:rFonts w:hint="eastAsia"/>
                <w:spacing w:val="-1"/>
                <w:sz w:val="20"/>
                <w:szCs w:val="20"/>
                <w:lang w:eastAsia="zh-CN"/>
              </w:rPr>
              <w:t>2024</w:t>
            </w:r>
            <w:r>
              <w:rPr>
                <w:spacing w:val="-1"/>
                <w:sz w:val="20"/>
                <w:szCs w:val="20"/>
              </w:rPr>
              <w:t>年实际在职人数</w:t>
            </w:r>
          </w:p>
        </w:tc>
        <w:tc>
          <w:tcPr>
            <w:tcW w:w="2013" w:type="dxa"/>
            <w:gridSpan w:val="2"/>
          </w:tcPr>
          <w:p w14:paraId="543F039F">
            <w:pPr>
              <w:pStyle w:val="10"/>
              <w:spacing w:before="83" w:line="219" w:lineRule="auto"/>
              <w:ind w:left="699"/>
              <w:rPr>
                <w:sz w:val="20"/>
                <w:szCs w:val="20"/>
              </w:rPr>
            </w:pPr>
            <w:r>
              <w:rPr>
                <w:spacing w:val="-2"/>
                <w:sz w:val="20"/>
                <w:szCs w:val="20"/>
              </w:rPr>
              <w:t>控制率</w:t>
            </w:r>
          </w:p>
        </w:tc>
      </w:tr>
      <w:tr w14:paraId="26FAE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21" w:type="dxa"/>
            <w:vMerge w:val="continue"/>
            <w:tcBorders>
              <w:top w:val="nil"/>
            </w:tcBorders>
          </w:tcPr>
          <w:p w14:paraId="6D8F3DCB"/>
        </w:tc>
        <w:tc>
          <w:tcPr>
            <w:tcW w:w="2188" w:type="dxa"/>
            <w:gridSpan w:val="2"/>
          </w:tcPr>
          <w:p w14:paraId="0CB3E76B">
            <w:pPr>
              <w:rPr>
                <w:rFonts w:hint="default" w:eastAsia="宋体"/>
                <w:lang w:val="en-US" w:eastAsia="zh-CN"/>
              </w:rPr>
            </w:pPr>
            <w:r>
              <w:rPr>
                <w:rFonts w:hint="eastAsia" w:eastAsia="宋体"/>
                <w:lang w:val="en-US" w:eastAsia="zh-CN"/>
              </w:rPr>
              <w:t>33</w:t>
            </w:r>
          </w:p>
        </w:tc>
        <w:tc>
          <w:tcPr>
            <w:tcW w:w="2217" w:type="dxa"/>
            <w:gridSpan w:val="2"/>
          </w:tcPr>
          <w:p w14:paraId="758F36AC">
            <w:pPr>
              <w:rPr>
                <w:rFonts w:hint="default" w:eastAsia="宋体"/>
                <w:lang w:val="en-US" w:eastAsia="zh-CN"/>
              </w:rPr>
            </w:pPr>
            <w:r>
              <w:rPr>
                <w:rFonts w:hint="eastAsia" w:eastAsia="宋体"/>
                <w:lang w:val="en-US" w:eastAsia="zh-CN"/>
              </w:rPr>
              <w:t>33</w:t>
            </w:r>
          </w:p>
        </w:tc>
        <w:tc>
          <w:tcPr>
            <w:tcW w:w="2013" w:type="dxa"/>
            <w:gridSpan w:val="2"/>
          </w:tcPr>
          <w:p w14:paraId="07486F5E">
            <w:pPr>
              <w:rPr>
                <w:rFonts w:hint="default" w:eastAsia="宋体"/>
                <w:lang w:val="en-US" w:eastAsia="zh-CN"/>
              </w:rPr>
            </w:pPr>
            <w:r>
              <w:rPr>
                <w:rFonts w:hint="eastAsia" w:eastAsia="宋体"/>
                <w:lang w:val="en-US" w:eastAsia="zh-CN"/>
              </w:rPr>
              <w:t>100%</w:t>
            </w:r>
          </w:p>
        </w:tc>
      </w:tr>
      <w:tr w14:paraId="4DF86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121" w:type="dxa"/>
          </w:tcPr>
          <w:p w14:paraId="600E8346">
            <w:pPr>
              <w:pStyle w:val="10"/>
              <w:spacing w:before="79" w:line="220" w:lineRule="auto"/>
              <w:ind w:left="645"/>
              <w:rPr>
                <w:sz w:val="20"/>
                <w:szCs w:val="20"/>
              </w:rPr>
            </w:pPr>
            <w:r>
              <w:rPr>
                <w:spacing w:val="4"/>
                <w:sz w:val="20"/>
                <w:szCs w:val="20"/>
              </w:rPr>
              <w:t>经费控制情况(万元)</w:t>
            </w:r>
          </w:p>
        </w:tc>
        <w:tc>
          <w:tcPr>
            <w:tcW w:w="2188" w:type="dxa"/>
            <w:gridSpan w:val="2"/>
          </w:tcPr>
          <w:p w14:paraId="0DC58622">
            <w:pPr>
              <w:pStyle w:val="10"/>
              <w:spacing w:before="79" w:line="219" w:lineRule="auto"/>
              <w:ind w:left="394"/>
              <w:rPr>
                <w:sz w:val="20"/>
                <w:szCs w:val="20"/>
              </w:rPr>
            </w:pPr>
            <w:r>
              <w:rPr>
                <w:spacing w:val="-2"/>
                <w:sz w:val="20"/>
                <w:szCs w:val="20"/>
              </w:rPr>
              <w:t>202</w:t>
            </w:r>
            <w:r>
              <w:rPr>
                <w:rFonts w:hint="eastAsia"/>
                <w:spacing w:val="-2"/>
                <w:sz w:val="20"/>
                <w:szCs w:val="20"/>
                <w:lang w:val="en-US" w:eastAsia="zh-CN"/>
              </w:rPr>
              <w:t>3</w:t>
            </w:r>
            <w:r>
              <w:rPr>
                <w:spacing w:val="-2"/>
                <w:sz w:val="20"/>
                <w:szCs w:val="20"/>
              </w:rPr>
              <w:t>年决算数</w:t>
            </w:r>
          </w:p>
        </w:tc>
        <w:tc>
          <w:tcPr>
            <w:tcW w:w="2217" w:type="dxa"/>
            <w:gridSpan w:val="2"/>
          </w:tcPr>
          <w:p w14:paraId="70A2C311">
            <w:pPr>
              <w:pStyle w:val="10"/>
              <w:spacing w:before="79" w:line="219" w:lineRule="auto"/>
              <w:ind w:left="506"/>
              <w:rPr>
                <w:sz w:val="20"/>
                <w:szCs w:val="20"/>
              </w:rPr>
            </w:pPr>
            <w:r>
              <w:rPr>
                <w:rFonts w:hint="eastAsia"/>
                <w:spacing w:val="-2"/>
                <w:sz w:val="20"/>
                <w:szCs w:val="20"/>
                <w:lang w:eastAsia="zh-CN"/>
              </w:rPr>
              <w:t>2024</w:t>
            </w:r>
            <w:r>
              <w:rPr>
                <w:spacing w:val="-2"/>
                <w:sz w:val="20"/>
                <w:szCs w:val="20"/>
              </w:rPr>
              <w:t>年预算数</w:t>
            </w:r>
          </w:p>
        </w:tc>
        <w:tc>
          <w:tcPr>
            <w:tcW w:w="2013" w:type="dxa"/>
            <w:gridSpan w:val="2"/>
          </w:tcPr>
          <w:p w14:paraId="07D242E2">
            <w:pPr>
              <w:pStyle w:val="10"/>
              <w:spacing w:before="79" w:line="219" w:lineRule="auto"/>
              <w:ind w:left="399"/>
              <w:rPr>
                <w:sz w:val="20"/>
                <w:szCs w:val="20"/>
              </w:rPr>
            </w:pPr>
            <w:r>
              <w:rPr>
                <w:rFonts w:hint="eastAsia"/>
                <w:spacing w:val="-2"/>
                <w:sz w:val="20"/>
                <w:szCs w:val="20"/>
                <w:lang w:eastAsia="zh-CN"/>
              </w:rPr>
              <w:t>2024</w:t>
            </w:r>
            <w:r>
              <w:rPr>
                <w:spacing w:val="-2"/>
                <w:sz w:val="20"/>
                <w:szCs w:val="20"/>
              </w:rPr>
              <w:t>年决算数</w:t>
            </w:r>
          </w:p>
        </w:tc>
      </w:tr>
      <w:tr w14:paraId="54CE1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21" w:type="dxa"/>
          </w:tcPr>
          <w:p w14:paraId="76039777">
            <w:pPr>
              <w:pStyle w:val="10"/>
              <w:spacing w:before="79" w:line="220" w:lineRule="auto"/>
              <w:ind w:left="95"/>
              <w:rPr>
                <w:sz w:val="20"/>
                <w:szCs w:val="20"/>
              </w:rPr>
            </w:pPr>
            <w:r>
              <w:rPr>
                <w:spacing w:val="-1"/>
                <w:sz w:val="20"/>
                <w:szCs w:val="20"/>
              </w:rPr>
              <w:t>三公经费：</w:t>
            </w:r>
          </w:p>
        </w:tc>
        <w:tc>
          <w:tcPr>
            <w:tcW w:w="2188" w:type="dxa"/>
            <w:gridSpan w:val="2"/>
          </w:tcPr>
          <w:p w14:paraId="025D9393">
            <w:pPr>
              <w:rPr>
                <w:rFonts w:hint="eastAsia" w:eastAsia="宋体"/>
                <w:lang w:val="en-US" w:eastAsia="zh-CN"/>
              </w:rPr>
            </w:pPr>
            <w:r>
              <w:rPr>
                <w:rFonts w:hint="eastAsia" w:eastAsia="宋体"/>
                <w:lang w:val="en-US" w:eastAsia="zh-CN"/>
              </w:rPr>
              <w:t>0</w:t>
            </w:r>
          </w:p>
        </w:tc>
        <w:tc>
          <w:tcPr>
            <w:tcW w:w="2217" w:type="dxa"/>
            <w:gridSpan w:val="2"/>
          </w:tcPr>
          <w:p w14:paraId="46D78137">
            <w:pPr>
              <w:rPr>
                <w:rFonts w:hint="default" w:eastAsia="宋体"/>
                <w:lang w:val="en-US" w:eastAsia="zh-CN"/>
              </w:rPr>
            </w:pPr>
            <w:r>
              <w:rPr>
                <w:rFonts w:hint="eastAsia" w:eastAsia="宋体"/>
                <w:lang w:val="en-US" w:eastAsia="zh-CN"/>
              </w:rPr>
              <w:t>0</w:t>
            </w:r>
          </w:p>
        </w:tc>
        <w:tc>
          <w:tcPr>
            <w:tcW w:w="2013" w:type="dxa"/>
            <w:gridSpan w:val="2"/>
          </w:tcPr>
          <w:p w14:paraId="12F319A1">
            <w:pPr>
              <w:rPr>
                <w:rFonts w:hint="eastAsia" w:eastAsia="宋体"/>
                <w:lang w:val="en-US" w:eastAsia="zh-CN"/>
              </w:rPr>
            </w:pPr>
            <w:r>
              <w:rPr>
                <w:rFonts w:hint="eastAsia" w:eastAsia="宋体"/>
                <w:lang w:val="en-US" w:eastAsia="zh-CN"/>
              </w:rPr>
              <w:t>0</w:t>
            </w:r>
          </w:p>
        </w:tc>
      </w:tr>
      <w:tr w14:paraId="6BEEB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121" w:type="dxa"/>
          </w:tcPr>
          <w:p w14:paraId="348112E8">
            <w:pPr>
              <w:pStyle w:val="10"/>
              <w:spacing w:before="80" w:line="219" w:lineRule="auto"/>
              <w:ind w:left="395"/>
              <w:rPr>
                <w:sz w:val="20"/>
                <w:szCs w:val="20"/>
              </w:rPr>
            </w:pPr>
            <w:r>
              <w:rPr>
                <w:sz w:val="20"/>
                <w:szCs w:val="20"/>
              </w:rPr>
              <w:t>1、公务用车购置和维护经费</w:t>
            </w:r>
          </w:p>
        </w:tc>
        <w:tc>
          <w:tcPr>
            <w:tcW w:w="2188" w:type="dxa"/>
            <w:gridSpan w:val="2"/>
          </w:tcPr>
          <w:p w14:paraId="4E0A7BB3">
            <w:pPr>
              <w:rPr>
                <w:rFonts w:hint="eastAsia" w:eastAsia="宋体"/>
                <w:lang w:val="en-US" w:eastAsia="zh-CN"/>
              </w:rPr>
            </w:pPr>
            <w:r>
              <w:rPr>
                <w:rFonts w:hint="eastAsia" w:eastAsia="宋体"/>
                <w:lang w:val="en-US" w:eastAsia="zh-CN"/>
              </w:rPr>
              <w:t>0</w:t>
            </w:r>
          </w:p>
        </w:tc>
        <w:tc>
          <w:tcPr>
            <w:tcW w:w="2217" w:type="dxa"/>
            <w:gridSpan w:val="2"/>
          </w:tcPr>
          <w:p w14:paraId="156A2872">
            <w:pPr>
              <w:rPr>
                <w:rFonts w:hint="eastAsia" w:eastAsia="宋体"/>
                <w:lang w:val="en-US" w:eastAsia="zh-CN"/>
              </w:rPr>
            </w:pPr>
            <w:r>
              <w:rPr>
                <w:rFonts w:hint="eastAsia" w:eastAsia="宋体"/>
                <w:lang w:val="en-US" w:eastAsia="zh-CN"/>
              </w:rPr>
              <w:t>0</w:t>
            </w:r>
          </w:p>
        </w:tc>
        <w:tc>
          <w:tcPr>
            <w:tcW w:w="2013" w:type="dxa"/>
            <w:gridSpan w:val="2"/>
          </w:tcPr>
          <w:p w14:paraId="5B4A1389">
            <w:pPr>
              <w:rPr>
                <w:rFonts w:hint="eastAsia" w:eastAsia="宋体"/>
                <w:lang w:val="en-US" w:eastAsia="zh-CN"/>
              </w:rPr>
            </w:pPr>
            <w:r>
              <w:rPr>
                <w:rFonts w:hint="eastAsia" w:eastAsia="宋体"/>
                <w:lang w:val="en-US" w:eastAsia="zh-CN"/>
              </w:rPr>
              <w:t>0</w:t>
            </w:r>
          </w:p>
        </w:tc>
      </w:tr>
      <w:tr w14:paraId="12B80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21" w:type="dxa"/>
          </w:tcPr>
          <w:p w14:paraId="0B7F8979">
            <w:pPr>
              <w:pStyle w:val="10"/>
              <w:spacing w:before="80" w:line="219" w:lineRule="auto"/>
              <w:ind w:left="774"/>
              <w:rPr>
                <w:sz w:val="20"/>
                <w:szCs w:val="20"/>
              </w:rPr>
            </w:pPr>
            <w:r>
              <w:rPr>
                <w:spacing w:val="-2"/>
                <w:sz w:val="20"/>
                <w:szCs w:val="20"/>
              </w:rPr>
              <w:t>其中：公车购置</w:t>
            </w:r>
          </w:p>
        </w:tc>
        <w:tc>
          <w:tcPr>
            <w:tcW w:w="2188" w:type="dxa"/>
            <w:gridSpan w:val="2"/>
          </w:tcPr>
          <w:p w14:paraId="0BB5E09B">
            <w:pPr>
              <w:rPr>
                <w:rFonts w:hint="eastAsia" w:eastAsia="宋体"/>
                <w:lang w:val="en-US" w:eastAsia="zh-CN"/>
              </w:rPr>
            </w:pPr>
            <w:r>
              <w:rPr>
                <w:rFonts w:hint="eastAsia" w:eastAsia="宋体"/>
                <w:lang w:val="en-US" w:eastAsia="zh-CN"/>
              </w:rPr>
              <w:t>0</w:t>
            </w:r>
          </w:p>
        </w:tc>
        <w:tc>
          <w:tcPr>
            <w:tcW w:w="2217" w:type="dxa"/>
            <w:gridSpan w:val="2"/>
          </w:tcPr>
          <w:p w14:paraId="46CD25F1">
            <w:pPr>
              <w:rPr>
                <w:rFonts w:hint="eastAsia" w:eastAsia="宋体"/>
                <w:lang w:val="en-US" w:eastAsia="zh-CN"/>
              </w:rPr>
            </w:pPr>
            <w:r>
              <w:rPr>
                <w:rFonts w:hint="eastAsia" w:eastAsia="宋体"/>
                <w:lang w:val="en-US" w:eastAsia="zh-CN"/>
              </w:rPr>
              <w:t>0</w:t>
            </w:r>
          </w:p>
        </w:tc>
        <w:tc>
          <w:tcPr>
            <w:tcW w:w="2013" w:type="dxa"/>
            <w:gridSpan w:val="2"/>
          </w:tcPr>
          <w:p w14:paraId="16977BE0">
            <w:pPr>
              <w:rPr>
                <w:rFonts w:hint="eastAsia" w:eastAsia="宋体"/>
                <w:lang w:val="en-US" w:eastAsia="zh-CN"/>
              </w:rPr>
            </w:pPr>
            <w:r>
              <w:rPr>
                <w:rFonts w:hint="eastAsia" w:eastAsia="宋体"/>
                <w:lang w:val="en-US" w:eastAsia="zh-CN"/>
              </w:rPr>
              <w:t>0</w:t>
            </w:r>
          </w:p>
        </w:tc>
      </w:tr>
      <w:tr w14:paraId="6AFCE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121" w:type="dxa"/>
          </w:tcPr>
          <w:p w14:paraId="2A3A5EB0">
            <w:pPr>
              <w:pStyle w:val="10"/>
              <w:spacing w:before="81" w:line="219" w:lineRule="auto"/>
              <w:ind w:left="1355"/>
              <w:rPr>
                <w:sz w:val="20"/>
                <w:szCs w:val="20"/>
              </w:rPr>
            </w:pPr>
            <w:r>
              <w:rPr>
                <w:spacing w:val="2"/>
                <w:sz w:val="20"/>
                <w:szCs w:val="20"/>
              </w:rPr>
              <w:t>公车运行维护</w:t>
            </w:r>
          </w:p>
        </w:tc>
        <w:tc>
          <w:tcPr>
            <w:tcW w:w="2188" w:type="dxa"/>
            <w:gridSpan w:val="2"/>
          </w:tcPr>
          <w:p w14:paraId="12303FEA">
            <w:pPr>
              <w:rPr>
                <w:rFonts w:hint="eastAsia" w:eastAsia="宋体"/>
                <w:lang w:val="en-US" w:eastAsia="zh-CN"/>
              </w:rPr>
            </w:pPr>
            <w:r>
              <w:rPr>
                <w:rFonts w:hint="eastAsia" w:eastAsia="宋体"/>
                <w:lang w:val="en-US" w:eastAsia="zh-CN"/>
              </w:rPr>
              <w:t>0</w:t>
            </w:r>
          </w:p>
        </w:tc>
        <w:tc>
          <w:tcPr>
            <w:tcW w:w="2217" w:type="dxa"/>
            <w:gridSpan w:val="2"/>
          </w:tcPr>
          <w:p w14:paraId="1389FE9B">
            <w:pPr>
              <w:rPr>
                <w:rFonts w:hint="eastAsia" w:eastAsia="宋体"/>
                <w:lang w:val="en-US" w:eastAsia="zh-CN"/>
              </w:rPr>
            </w:pPr>
            <w:r>
              <w:rPr>
                <w:rFonts w:hint="eastAsia" w:eastAsia="宋体"/>
                <w:lang w:val="en-US" w:eastAsia="zh-CN"/>
              </w:rPr>
              <w:t>0</w:t>
            </w:r>
          </w:p>
        </w:tc>
        <w:tc>
          <w:tcPr>
            <w:tcW w:w="2013" w:type="dxa"/>
            <w:gridSpan w:val="2"/>
          </w:tcPr>
          <w:p w14:paraId="097E7633">
            <w:pPr>
              <w:rPr>
                <w:rFonts w:hint="eastAsia" w:eastAsia="宋体"/>
                <w:lang w:val="en-US" w:eastAsia="zh-CN"/>
              </w:rPr>
            </w:pPr>
            <w:r>
              <w:rPr>
                <w:rFonts w:hint="eastAsia" w:eastAsia="宋体"/>
                <w:lang w:val="en-US" w:eastAsia="zh-CN"/>
              </w:rPr>
              <w:t>0</w:t>
            </w:r>
          </w:p>
        </w:tc>
      </w:tr>
      <w:tr w14:paraId="19C23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21" w:type="dxa"/>
          </w:tcPr>
          <w:p w14:paraId="11033C97">
            <w:pPr>
              <w:pStyle w:val="10"/>
              <w:spacing w:before="81" w:line="220" w:lineRule="auto"/>
              <w:ind w:left="354"/>
              <w:rPr>
                <w:sz w:val="20"/>
                <w:szCs w:val="20"/>
              </w:rPr>
            </w:pPr>
            <w:r>
              <w:rPr>
                <w:spacing w:val="2"/>
                <w:sz w:val="20"/>
                <w:szCs w:val="20"/>
              </w:rPr>
              <w:t>2、出国经费</w:t>
            </w:r>
          </w:p>
        </w:tc>
        <w:tc>
          <w:tcPr>
            <w:tcW w:w="2188" w:type="dxa"/>
            <w:gridSpan w:val="2"/>
          </w:tcPr>
          <w:p w14:paraId="41DA0C35">
            <w:pPr>
              <w:rPr>
                <w:rFonts w:hint="eastAsia" w:eastAsia="宋体"/>
                <w:lang w:val="en-US" w:eastAsia="zh-CN"/>
              </w:rPr>
            </w:pPr>
            <w:r>
              <w:rPr>
                <w:rFonts w:hint="eastAsia" w:eastAsia="宋体"/>
                <w:lang w:val="en-US" w:eastAsia="zh-CN"/>
              </w:rPr>
              <w:t>0</w:t>
            </w:r>
          </w:p>
        </w:tc>
        <w:tc>
          <w:tcPr>
            <w:tcW w:w="2217" w:type="dxa"/>
            <w:gridSpan w:val="2"/>
          </w:tcPr>
          <w:p w14:paraId="557B13F3">
            <w:pPr>
              <w:rPr>
                <w:rFonts w:hint="eastAsia" w:eastAsia="宋体"/>
                <w:lang w:val="en-US" w:eastAsia="zh-CN"/>
              </w:rPr>
            </w:pPr>
            <w:r>
              <w:rPr>
                <w:rFonts w:hint="eastAsia" w:eastAsia="宋体"/>
                <w:lang w:val="en-US" w:eastAsia="zh-CN"/>
              </w:rPr>
              <w:t>0</w:t>
            </w:r>
          </w:p>
        </w:tc>
        <w:tc>
          <w:tcPr>
            <w:tcW w:w="2013" w:type="dxa"/>
            <w:gridSpan w:val="2"/>
          </w:tcPr>
          <w:p w14:paraId="329DC249">
            <w:pPr>
              <w:rPr>
                <w:rFonts w:hint="eastAsia" w:eastAsia="宋体"/>
                <w:lang w:val="en-US" w:eastAsia="zh-CN"/>
              </w:rPr>
            </w:pPr>
            <w:r>
              <w:rPr>
                <w:rFonts w:hint="eastAsia" w:eastAsia="宋体"/>
                <w:lang w:val="en-US" w:eastAsia="zh-CN"/>
              </w:rPr>
              <w:t>0</w:t>
            </w:r>
          </w:p>
        </w:tc>
      </w:tr>
      <w:tr w14:paraId="5F42C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121" w:type="dxa"/>
          </w:tcPr>
          <w:p w14:paraId="542FDB9E">
            <w:pPr>
              <w:pStyle w:val="10"/>
              <w:spacing w:before="82" w:line="219" w:lineRule="auto"/>
              <w:ind w:left="365"/>
              <w:rPr>
                <w:sz w:val="20"/>
                <w:szCs w:val="20"/>
              </w:rPr>
            </w:pPr>
            <w:r>
              <w:rPr>
                <w:spacing w:val="1"/>
                <w:sz w:val="20"/>
                <w:szCs w:val="20"/>
              </w:rPr>
              <w:t>3、公务接待</w:t>
            </w:r>
          </w:p>
        </w:tc>
        <w:tc>
          <w:tcPr>
            <w:tcW w:w="2188" w:type="dxa"/>
            <w:gridSpan w:val="2"/>
          </w:tcPr>
          <w:p w14:paraId="22C6049F">
            <w:pPr>
              <w:rPr>
                <w:rFonts w:hint="eastAsia" w:eastAsia="宋体"/>
                <w:lang w:val="en-US" w:eastAsia="zh-CN"/>
              </w:rPr>
            </w:pPr>
            <w:r>
              <w:rPr>
                <w:rFonts w:hint="eastAsia" w:eastAsia="宋体"/>
                <w:lang w:val="en-US" w:eastAsia="zh-CN"/>
              </w:rPr>
              <w:t>0</w:t>
            </w:r>
          </w:p>
        </w:tc>
        <w:tc>
          <w:tcPr>
            <w:tcW w:w="2217" w:type="dxa"/>
            <w:gridSpan w:val="2"/>
          </w:tcPr>
          <w:p w14:paraId="70B2BF35">
            <w:pPr>
              <w:rPr>
                <w:rFonts w:hint="eastAsia" w:eastAsia="宋体"/>
                <w:lang w:val="en-US" w:eastAsia="zh-CN"/>
              </w:rPr>
            </w:pPr>
            <w:r>
              <w:rPr>
                <w:rFonts w:hint="eastAsia" w:eastAsia="宋体"/>
                <w:lang w:val="en-US" w:eastAsia="zh-CN"/>
              </w:rPr>
              <w:t>0</w:t>
            </w:r>
          </w:p>
        </w:tc>
        <w:tc>
          <w:tcPr>
            <w:tcW w:w="2013" w:type="dxa"/>
            <w:gridSpan w:val="2"/>
          </w:tcPr>
          <w:p w14:paraId="5C011486">
            <w:pPr>
              <w:rPr>
                <w:rFonts w:hint="eastAsia" w:eastAsia="宋体"/>
                <w:lang w:val="en-US" w:eastAsia="zh-CN"/>
              </w:rPr>
            </w:pPr>
            <w:r>
              <w:rPr>
                <w:rFonts w:hint="eastAsia" w:eastAsia="宋体"/>
                <w:lang w:val="en-US" w:eastAsia="zh-CN"/>
              </w:rPr>
              <w:t>0</w:t>
            </w:r>
          </w:p>
        </w:tc>
      </w:tr>
      <w:tr w14:paraId="79673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121" w:type="dxa"/>
          </w:tcPr>
          <w:p w14:paraId="399AA943">
            <w:pPr>
              <w:pStyle w:val="10"/>
              <w:spacing w:before="92" w:line="220" w:lineRule="auto"/>
              <w:ind w:left="75"/>
              <w:rPr>
                <w:sz w:val="20"/>
                <w:szCs w:val="20"/>
              </w:rPr>
            </w:pPr>
            <w:r>
              <w:rPr>
                <w:spacing w:val="-1"/>
                <w:sz w:val="20"/>
                <w:szCs w:val="20"/>
              </w:rPr>
              <w:t>项目支出：</w:t>
            </w:r>
          </w:p>
        </w:tc>
        <w:tc>
          <w:tcPr>
            <w:tcW w:w="2188" w:type="dxa"/>
            <w:gridSpan w:val="2"/>
          </w:tcPr>
          <w:p w14:paraId="53E509BF">
            <w:pPr>
              <w:rPr>
                <w:rFonts w:hint="eastAsia" w:eastAsia="宋体"/>
                <w:lang w:val="en-US" w:eastAsia="zh-CN"/>
              </w:rPr>
            </w:pPr>
            <w:r>
              <w:rPr>
                <w:rFonts w:hint="eastAsia" w:eastAsia="宋体"/>
                <w:lang w:val="en-US" w:eastAsia="zh-CN"/>
              </w:rPr>
              <w:t>0</w:t>
            </w:r>
          </w:p>
        </w:tc>
        <w:tc>
          <w:tcPr>
            <w:tcW w:w="2217" w:type="dxa"/>
            <w:gridSpan w:val="2"/>
          </w:tcPr>
          <w:p w14:paraId="2661A60D">
            <w:pPr>
              <w:rPr>
                <w:rFonts w:hint="eastAsia" w:eastAsia="宋体"/>
                <w:lang w:val="en-US" w:eastAsia="zh-CN"/>
              </w:rPr>
            </w:pPr>
            <w:r>
              <w:rPr>
                <w:rFonts w:hint="eastAsia" w:eastAsia="宋体"/>
                <w:lang w:val="en-US" w:eastAsia="zh-CN"/>
              </w:rPr>
              <w:t>0</w:t>
            </w:r>
          </w:p>
        </w:tc>
        <w:tc>
          <w:tcPr>
            <w:tcW w:w="2013" w:type="dxa"/>
            <w:gridSpan w:val="2"/>
          </w:tcPr>
          <w:p w14:paraId="6A6C53FD">
            <w:pPr>
              <w:rPr>
                <w:rFonts w:hint="eastAsia" w:eastAsia="宋体"/>
                <w:lang w:val="en-US" w:eastAsia="zh-CN"/>
              </w:rPr>
            </w:pPr>
            <w:r>
              <w:rPr>
                <w:rFonts w:hint="eastAsia" w:eastAsia="宋体"/>
                <w:lang w:val="en-US" w:eastAsia="zh-CN"/>
              </w:rPr>
              <w:t>0</w:t>
            </w:r>
          </w:p>
        </w:tc>
      </w:tr>
      <w:tr w14:paraId="4E075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21" w:type="dxa"/>
          </w:tcPr>
          <w:p w14:paraId="4FE1C8EB">
            <w:pPr>
              <w:pStyle w:val="10"/>
              <w:spacing w:before="82" w:line="219" w:lineRule="auto"/>
              <w:ind w:left="485"/>
              <w:rPr>
                <w:sz w:val="20"/>
                <w:szCs w:val="20"/>
              </w:rPr>
            </w:pPr>
            <w:r>
              <w:rPr>
                <w:spacing w:val="1"/>
                <w:sz w:val="20"/>
                <w:szCs w:val="20"/>
              </w:rPr>
              <w:t>1、业务工作经费</w:t>
            </w:r>
          </w:p>
        </w:tc>
        <w:tc>
          <w:tcPr>
            <w:tcW w:w="2188" w:type="dxa"/>
            <w:gridSpan w:val="2"/>
          </w:tcPr>
          <w:p w14:paraId="3A6B93A9">
            <w:pPr>
              <w:rPr>
                <w:rFonts w:hint="eastAsia" w:eastAsia="宋体"/>
                <w:lang w:val="en-US" w:eastAsia="zh-CN"/>
              </w:rPr>
            </w:pPr>
            <w:r>
              <w:rPr>
                <w:rFonts w:hint="eastAsia" w:eastAsia="宋体"/>
                <w:lang w:val="en-US" w:eastAsia="zh-CN"/>
              </w:rPr>
              <w:t>0</w:t>
            </w:r>
          </w:p>
        </w:tc>
        <w:tc>
          <w:tcPr>
            <w:tcW w:w="2217" w:type="dxa"/>
            <w:gridSpan w:val="2"/>
          </w:tcPr>
          <w:p w14:paraId="64E24528">
            <w:pPr>
              <w:rPr>
                <w:rFonts w:hint="eastAsia" w:eastAsia="宋体"/>
                <w:lang w:val="en-US" w:eastAsia="zh-CN"/>
              </w:rPr>
            </w:pPr>
            <w:r>
              <w:rPr>
                <w:rFonts w:hint="eastAsia" w:eastAsia="宋体"/>
                <w:lang w:val="en-US" w:eastAsia="zh-CN"/>
              </w:rPr>
              <w:t>0</w:t>
            </w:r>
          </w:p>
        </w:tc>
        <w:tc>
          <w:tcPr>
            <w:tcW w:w="2013" w:type="dxa"/>
            <w:gridSpan w:val="2"/>
          </w:tcPr>
          <w:p w14:paraId="647D8DA9">
            <w:pPr>
              <w:rPr>
                <w:rFonts w:hint="eastAsia" w:eastAsia="宋体"/>
                <w:lang w:val="en-US" w:eastAsia="zh-CN"/>
              </w:rPr>
            </w:pPr>
            <w:r>
              <w:rPr>
                <w:rFonts w:hint="eastAsia" w:eastAsia="宋体"/>
                <w:lang w:val="en-US" w:eastAsia="zh-CN"/>
              </w:rPr>
              <w:t>0</w:t>
            </w:r>
          </w:p>
        </w:tc>
      </w:tr>
      <w:tr w14:paraId="3F5DC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121" w:type="dxa"/>
          </w:tcPr>
          <w:p w14:paraId="4426DFB7">
            <w:pPr>
              <w:pStyle w:val="10"/>
              <w:spacing w:before="84" w:line="220" w:lineRule="auto"/>
              <w:ind w:left="455"/>
              <w:rPr>
                <w:sz w:val="20"/>
                <w:szCs w:val="20"/>
              </w:rPr>
            </w:pPr>
            <w:r>
              <w:rPr>
                <w:spacing w:val="1"/>
                <w:sz w:val="20"/>
                <w:szCs w:val="20"/>
              </w:rPr>
              <w:t>2、运行维护经费</w:t>
            </w:r>
          </w:p>
        </w:tc>
        <w:tc>
          <w:tcPr>
            <w:tcW w:w="2188" w:type="dxa"/>
            <w:gridSpan w:val="2"/>
          </w:tcPr>
          <w:p w14:paraId="54CB519C">
            <w:pPr>
              <w:rPr>
                <w:rFonts w:hint="eastAsia" w:eastAsia="宋体"/>
                <w:lang w:val="en-US" w:eastAsia="zh-CN"/>
              </w:rPr>
            </w:pPr>
            <w:r>
              <w:rPr>
                <w:rFonts w:hint="eastAsia" w:eastAsia="宋体"/>
                <w:lang w:val="en-US" w:eastAsia="zh-CN"/>
              </w:rPr>
              <w:t>0</w:t>
            </w:r>
          </w:p>
        </w:tc>
        <w:tc>
          <w:tcPr>
            <w:tcW w:w="2217" w:type="dxa"/>
            <w:gridSpan w:val="2"/>
          </w:tcPr>
          <w:p w14:paraId="5323B07A">
            <w:pPr>
              <w:rPr>
                <w:rFonts w:hint="eastAsia" w:eastAsia="宋体"/>
                <w:lang w:val="en-US" w:eastAsia="zh-CN"/>
              </w:rPr>
            </w:pPr>
            <w:r>
              <w:rPr>
                <w:rFonts w:hint="eastAsia" w:eastAsia="宋体"/>
                <w:lang w:val="en-US" w:eastAsia="zh-CN"/>
              </w:rPr>
              <w:t>0</w:t>
            </w:r>
          </w:p>
        </w:tc>
        <w:tc>
          <w:tcPr>
            <w:tcW w:w="2013" w:type="dxa"/>
            <w:gridSpan w:val="2"/>
          </w:tcPr>
          <w:p w14:paraId="69520891">
            <w:pPr>
              <w:rPr>
                <w:rFonts w:hint="eastAsia" w:eastAsia="宋体"/>
                <w:lang w:val="en-US" w:eastAsia="zh-CN"/>
              </w:rPr>
            </w:pPr>
            <w:r>
              <w:rPr>
                <w:rFonts w:hint="eastAsia" w:eastAsia="宋体"/>
                <w:lang w:val="en-US" w:eastAsia="zh-CN"/>
              </w:rPr>
              <w:t>0</w:t>
            </w:r>
          </w:p>
        </w:tc>
      </w:tr>
      <w:tr w14:paraId="5AF73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121" w:type="dxa"/>
          </w:tcPr>
          <w:p w14:paraId="09E14764">
            <w:pPr>
              <w:pStyle w:val="10"/>
              <w:spacing w:before="83" w:line="219" w:lineRule="auto"/>
              <w:ind w:left="85"/>
              <w:rPr>
                <w:sz w:val="20"/>
                <w:szCs w:val="20"/>
              </w:rPr>
            </w:pPr>
            <w:r>
              <w:rPr>
                <w:spacing w:val="2"/>
                <w:sz w:val="20"/>
                <w:szCs w:val="20"/>
              </w:rPr>
              <w:t>3、</w:t>
            </w:r>
            <w:r>
              <w:rPr>
                <w:rFonts w:hint="eastAsia"/>
                <w:spacing w:val="2"/>
                <w:sz w:val="20"/>
                <w:szCs w:val="20"/>
                <w:lang w:eastAsia="zh-CN"/>
              </w:rPr>
              <w:t>县</w:t>
            </w:r>
            <w:r>
              <w:rPr>
                <w:spacing w:val="2"/>
                <w:sz w:val="20"/>
                <w:szCs w:val="20"/>
              </w:rPr>
              <w:t>级专项资金(每个专项一行)</w:t>
            </w:r>
          </w:p>
        </w:tc>
        <w:tc>
          <w:tcPr>
            <w:tcW w:w="2188" w:type="dxa"/>
            <w:gridSpan w:val="2"/>
            <w:shd w:val="clear" w:color="auto" w:fill="auto"/>
            <w:vAlign w:val="top"/>
          </w:tcPr>
          <w:p w14:paraId="36BA08CB">
            <w:pPr>
              <w:rPr>
                <w:rFonts w:hint="default" w:ascii="Arial" w:hAnsi="Arial" w:eastAsia="Arial" w:cs="Arial"/>
                <w:snapToGrid w:val="0"/>
                <w:color w:val="000000"/>
                <w:sz w:val="21"/>
                <w:szCs w:val="21"/>
                <w:lang w:val="en-US" w:eastAsia="zh-CN" w:bidi="ar-SA"/>
              </w:rPr>
            </w:pPr>
            <w:r>
              <w:rPr>
                <w:rStyle w:val="9"/>
                <w:rFonts w:hint="eastAsia" w:eastAsia="宋体"/>
                <w:lang w:val="en-US" w:eastAsia="zh-CN"/>
              </w:rPr>
              <w:t>111.69</w:t>
            </w:r>
          </w:p>
        </w:tc>
        <w:tc>
          <w:tcPr>
            <w:tcW w:w="2217" w:type="dxa"/>
            <w:gridSpan w:val="2"/>
            <w:vAlign w:val="top"/>
          </w:tcPr>
          <w:p w14:paraId="2BFD1A74">
            <w:pPr>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2013" w:type="dxa"/>
            <w:gridSpan w:val="2"/>
            <w:vAlign w:val="top"/>
          </w:tcPr>
          <w:p w14:paraId="2F588E0C">
            <w:pPr>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190.04</w:t>
            </w:r>
          </w:p>
        </w:tc>
      </w:tr>
      <w:tr w14:paraId="6E584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121" w:type="dxa"/>
          </w:tcPr>
          <w:p w14:paraId="6B6FBD6B">
            <w:pPr>
              <w:pStyle w:val="10"/>
              <w:spacing w:before="94" w:line="220" w:lineRule="auto"/>
              <w:ind w:left="95"/>
              <w:rPr>
                <w:sz w:val="20"/>
                <w:szCs w:val="20"/>
              </w:rPr>
            </w:pPr>
            <w:r>
              <w:rPr>
                <w:spacing w:val="3"/>
                <w:sz w:val="20"/>
                <w:szCs w:val="20"/>
              </w:rPr>
              <w:t>公用经费</w:t>
            </w:r>
          </w:p>
        </w:tc>
        <w:tc>
          <w:tcPr>
            <w:tcW w:w="2188" w:type="dxa"/>
            <w:gridSpan w:val="2"/>
            <w:shd w:val="clear" w:color="auto" w:fill="auto"/>
            <w:vAlign w:val="top"/>
          </w:tcPr>
          <w:p w14:paraId="2B8D6B32">
            <w:pPr>
              <w:rPr>
                <w:rFonts w:hint="default" w:ascii="Arial" w:hAnsi="Arial" w:eastAsia="Arial" w:cs="Arial"/>
                <w:snapToGrid w:val="0"/>
                <w:color w:val="000000"/>
                <w:sz w:val="21"/>
                <w:szCs w:val="21"/>
                <w:lang w:val="en-US" w:eastAsia="zh-CN" w:bidi="ar-SA"/>
              </w:rPr>
            </w:pPr>
            <w:r>
              <w:rPr>
                <w:rStyle w:val="9"/>
                <w:rFonts w:hint="eastAsia" w:eastAsia="宋体"/>
                <w:lang w:val="en-US" w:eastAsia="zh-CN"/>
              </w:rPr>
              <w:t>111.69</w:t>
            </w:r>
          </w:p>
        </w:tc>
        <w:tc>
          <w:tcPr>
            <w:tcW w:w="2217" w:type="dxa"/>
            <w:gridSpan w:val="2"/>
          </w:tcPr>
          <w:p w14:paraId="49D832DE">
            <w:pPr>
              <w:rPr>
                <w:rFonts w:hint="default" w:eastAsia="宋体"/>
                <w:lang w:val="en-US" w:eastAsia="zh-CN"/>
              </w:rPr>
            </w:pPr>
            <w:r>
              <w:rPr>
                <w:rFonts w:hint="eastAsia" w:eastAsia="宋体"/>
                <w:lang w:val="en-US" w:eastAsia="zh-CN"/>
              </w:rPr>
              <w:t>0</w:t>
            </w:r>
          </w:p>
        </w:tc>
        <w:tc>
          <w:tcPr>
            <w:tcW w:w="2013" w:type="dxa"/>
            <w:gridSpan w:val="2"/>
          </w:tcPr>
          <w:p w14:paraId="2BD0EE40">
            <w:pPr>
              <w:rPr>
                <w:rFonts w:hint="default" w:eastAsia="宋体"/>
                <w:lang w:val="en-US" w:eastAsia="zh-CN"/>
              </w:rPr>
            </w:pPr>
            <w:r>
              <w:rPr>
                <w:rFonts w:hint="eastAsia" w:eastAsia="宋体"/>
                <w:lang w:val="en-US" w:eastAsia="zh-CN"/>
              </w:rPr>
              <w:t>190.04</w:t>
            </w:r>
          </w:p>
        </w:tc>
      </w:tr>
      <w:tr w14:paraId="76F73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21" w:type="dxa"/>
          </w:tcPr>
          <w:p w14:paraId="45460CCE">
            <w:pPr>
              <w:pStyle w:val="10"/>
              <w:spacing w:before="83" w:line="219" w:lineRule="auto"/>
              <w:ind w:left="485"/>
              <w:rPr>
                <w:sz w:val="20"/>
                <w:szCs w:val="20"/>
              </w:rPr>
            </w:pPr>
            <w:r>
              <w:rPr>
                <w:spacing w:val="1"/>
                <w:sz w:val="20"/>
                <w:szCs w:val="20"/>
              </w:rPr>
              <w:t>其中：办公经费</w:t>
            </w:r>
          </w:p>
        </w:tc>
        <w:tc>
          <w:tcPr>
            <w:tcW w:w="2188" w:type="dxa"/>
            <w:gridSpan w:val="2"/>
            <w:shd w:val="clear" w:color="auto" w:fill="auto"/>
            <w:vAlign w:val="top"/>
          </w:tcPr>
          <w:p w14:paraId="7B4677E4">
            <w:pPr>
              <w:rPr>
                <w:rFonts w:hint="default" w:ascii="Arial" w:hAnsi="Arial" w:eastAsia="宋体" w:cs="Arial"/>
                <w:snapToGrid w:val="0"/>
                <w:color w:val="000000"/>
                <w:sz w:val="21"/>
                <w:szCs w:val="21"/>
                <w:lang w:val="en-US" w:eastAsia="zh-CN" w:bidi="ar-SA"/>
              </w:rPr>
            </w:pPr>
            <w:r>
              <w:rPr>
                <w:rFonts w:hint="eastAsia" w:eastAsia="宋体"/>
                <w:lang w:val="en-US" w:eastAsia="zh-CN"/>
              </w:rPr>
              <w:t>1.87</w:t>
            </w:r>
          </w:p>
        </w:tc>
        <w:tc>
          <w:tcPr>
            <w:tcW w:w="2217" w:type="dxa"/>
            <w:gridSpan w:val="2"/>
          </w:tcPr>
          <w:p w14:paraId="531A7FFF">
            <w:pPr>
              <w:rPr>
                <w:rFonts w:hint="default" w:eastAsia="宋体"/>
                <w:lang w:val="en-US" w:eastAsia="zh-CN"/>
              </w:rPr>
            </w:pPr>
            <w:r>
              <w:rPr>
                <w:rFonts w:hint="eastAsia" w:eastAsia="宋体"/>
                <w:lang w:val="en-US" w:eastAsia="zh-CN"/>
              </w:rPr>
              <w:t>0</w:t>
            </w:r>
          </w:p>
        </w:tc>
        <w:tc>
          <w:tcPr>
            <w:tcW w:w="2013" w:type="dxa"/>
            <w:gridSpan w:val="2"/>
          </w:tcPr>
          <w:p w14:paraId="42776C63">
            <w:pPr>
              <w:rPr>
                <w:rFonts w:hint="default" w:eastAsia="宋体"/>
                <w:lang w:val="en-US" w:eastAsia="zh-CN"/>
              </w:rPr>
            </w:pPr>
            <w:r>
              <w:rPr>
                <w:rFonts w:hint="eastAsia" w:eastAsia="宋体"/>
                <w:lang w:val="en-US" w:eastAsia="zh-CN"/>
              </w:rPr>
              <w:t>69.45</w:t>
            </w:r>
          </w:p>
        </w:tc>
      </w:tr>
      <w:tr w14:paraId="08CB5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3121" w:type="dxa"/>
          </w:tcPr>
          <w:p w14:paraId="7738884A">
            <w:pPr>
              <w:pStyle w:val="10"/>
              <w:spacing w:before="93" w:line="219" w:lineRule="auto"/>
              <w:ind w:left="1064"/>
              <w:rPr>
                <w:sz w:val="20"/>
                <w:szCs w:val="20"/>
              </w:rPr>
            </w:pPr>
            <w:r>
              <w:rPr>
                <w:spacing w:val="1"/>
                <w:sz w:val="20"/>
                <w:szCs w:val="20"/>
              </w:rPr>
              <w:t>水费、电费、差旅费</w:t>
            </w:r>
          </w:p>
        </w:tc>
        <w:tc>
          <w:tcPr>
            <w:tcW w:w="2188" w:type="dxa"/>
            <w:gridSpan w:val="2"/>
            <w:shd w:val="clear" w:color="auto" w:fill="auto"/>
            <w:vAlign w:val="top"/>
          </w:tcPr>
          <w:p w14:paraId="45FCDC5A">
            <w:pPr>
              <w:rPr>
                <w:rFonts w:hint="default" w:ascii="Arial" w:hAnsi="Arial" w:eastAsia="宋体" w:cs="Arial"/>
                <w:snapToGrid w:val="0"/>
                <w:color w:val="000000"/>
                <w:sz w:val="21"/>
                <w:szCs w:val="21"/>
                <w:lang w:val="en-US" w:eastAsia="zh-CN" w:bidi="ar-SA"/>
              </w:rPr>
            </w:pPr>
            <w:r>
              <w:rPr>
                <w:rFonts w:hint="eastAsia" w:eastAsia="宋体"/>
                <w:lang w:val="en-US" w:eastAsia="zh-CN"/>
              </w:rPr>
              <w:t>15.30</w:t>
            </w:r>
          </w:p>
        </w:tc>
        <w:tc>
          <w:tcPr>
            <w:tcW w:w="2217" w:type="dxa"/>
            <w:gridSpan w:val="2"/>
          </w:tcPr>
          <w:p w14:paraId="6A9912B2">
            <w:pPr>
              <w:rPr>
                <w:rFonts w:hint="default" w:eastAsia="宋体"/>
                <w:lang w:val="en-US" w:eastAsia="zh-CN"/>
              </w:rPr>
            </w:pPr>
            <w:r>
              <w:rPr>
                <w:rFonts w:hint="eastAsia" w:eastAsia="宋体"/>
                <w:lang w:val="en-US" w:eastAsia="zh-CN"/>
              </w:rPr>
              <w:t>0</w:t>
            </w:r>
          </w:p>
        </w:tc>
        <w:tc>
          <w:tcPr>
            <w:tcW w:w="2013" w:type="dxa"/>
            <w:gridSpan w:val="2"/>
          </w:tcPr>
          <w:p w14:paraId="50A817A8">
            <w:pPr>
              <w:rPr>
                <w:rFonts w:hint="default" w:eastAsia="宋体"/>
                <w:lang w:val="en-US" w:eastAsia="zh-CN"/>
              </w:rPr>
            </w:pPr>
            <w:r>
              <w:rPr>
                <w:rFonts w:hint="eastAsia" w:eastAsia="宋体"/>
                <w:lang w:val="en-US" w:eastAsia="zh-CN"/>
              </w:rPr>
              <w:t>13.23</w:t>
            </w:r>
          </w:p>
        </w:tc>
      </w:tr>
      <w:tr w14:paraId="1C9E3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21" w:type="dxa"/>
          </w:tcPr>
          <w:p w14:paraId="4D444CFD">
            <w:pPr>
              <w:pStyle w:val="10"/>
              <w:spacing w:before="82" w:line="219" w:lineRule="auto"/>
              <w:ind w:left="1085"/>
              <w:rPr>
                <w:sz w:val="20"/>
                <w:szCs w:val="20"/>
              </w:rPr>
            </w:pPr>
            <w:r>
              <w:rPr>
                <w:spacing w:val="-1"/>
                <w:sz w:val="20"/>
                <w:szCs w:val="20"/>
              </w:rPr>
              <w:t>会议费、培训费</w:t>
            </w:r>
          </w:p>
        </w:tc>
        <w:tc>
          <w:tcPr>
            <w:tcW w:w="2188" w:type="dxa"/>
            <w:gridSpan w:val="2"/>
            <w:shd w:val="clear" w:color="auto" w:fill="auto"/>
            <w:vAlign w:val="top"/>
          </w:tcPr>
          <w:p w14:paraId="26241135">
            <w:pPr>
              <w:rPr>
                <w:rFonts w:hint="default" w:ascii="Arial" w:hAnsi="Arial" w:eastAsia="宋体" w:cs="Arial"/>
                <w:snapToGrid w:val="0"/>
                <w:color w:val="000000"/>
                <w:sz w:val="21"/>
                <w:szCs w:val="21"/>
                <w:lang w:val="en-US" w:eastAsia="zh-CN" w:bidi="ar-SA"/>
              </w:rPr>
            </w:pPr>
            <w:r>
              <w:rPr>
                <w:rFonts w:hint="eastAsia" w:eastAsia="宋体"/>
                <w:lang w:val="en-US" w:eastAsia="zh-CN"/>
              </w:rPr>
              <w:t>1.11</w:t>
            </w:r>
          </w:p>
        </w:tc>
        <w:tc>
          <w:tcPr>
            <w:tcW w:w="2217" w:type="dxa"/>
            <w:gridSpan w:val="2"/>
          </w:tcPr>
          <w:p w14:paraId="6EBED9AC">
            <w:pPr>
              <w:rPr>
                <w:rFonts w:hint="default" w:eastAsia="宋体"/>
                <w:lang w:val="en-US" w:eastAsia="zh-CN"/>
              </w:rPr>
            </w:pPr>
            <w:r>
              <w:rPr>
                <w:rFonts w:hint="eastAsia" w:eastAsia="宋体"/>
                <w:lang w:val="en-US" w:eastAsia="zh-CN"/>
              </w:rPr>
              <w:t>0</w:t>
            </w:r>
          </w:p>
        </w:tc>
        <w:tc>
          <w:tcPr>
            <w:tcW w:w="2013" w:type="dxa"/>
            <w:gridSpan w:val="2"/>
          </w:tcPr>
          <w:p w14:paraId="7D74B4E3">
            <w:pPr>
              <w:rPr>
                <w:rFonts w:hint="default" w:eastAsia="宋体"/>
                <w:lang w:val="en-US" w:eastAsia="zh-CN"/>
              </w:rPr>
            </w:pPr>
            <w:r>
              <w:rPr>
                <w:rFonts w:hint="eastAsia" w:eastAsia="宋体"/>
                <w:lang w:val="en-US" w:eastAsia="zh-CN"/>
              </w:rPr>
              <w:t>1.82</w:t>
            </w:r>
          </w:p>
        </w:tc>
      </w:tr>
      <w:tr w14:paraId="3D844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21" w:type="dxa"/>
          </w:tcPr>
          <w:p w14:paraId="3A12294B">
            <w:pPr>
              <w:pStyle w:val="10"/>
              <w:spacing w:before="82" w:line="219" w:lineRule="auto"/>
              <w:ind w:left="85"/>
              <w:rPr>
                <w:sz w:val="20"/>
                <w:szCs w:val="20"/>
              </w:rPr>
            </w:pPr>
            <w:r>
              <w:rPr>
                <w:spacing w:val="-1"/>
                <w:sz w:val="20"/>
                <w:szCs w:val="20"/>
              </w:rPr>
              <w:t>政府采购金额</w:t>
            </w:r>
          </w:p>
        </w:tc>
        <w:tc>
          <w:tcPr>
            <w:tcW w:w="2188" w:type="dxa"/>
            <w:gridSpan w:val="2"/>
          </w:tcPr>
          <w:p w14:paraId="1080EB2B">
            <w:pPr>
              <w:rPr>
                <w:rFonts w:hint="default" w:eastAsia="宋体"/>
                <w:lang w:val="en-US" w:eastAsia="zh-CN"/>
              </w:rPr>
            </w:pPr>
            <w:r>
              <w:rPr>
                <w:rFonts w:hint="eastAsia" w:eastAsia="宋体"/>
                <w:lang w:val="en-US" w:eastAsia="zh-CN"/>
              </w:rPr>
              <w:t>0</w:t>
            </w:r>
          </w:p>
        </w:tc>
        <w:tc>
          <w:tcPr>
            <w:tcW w:w="2217" w:type="dxa"/>
            <w:gridSpan w:val="2"/>
          </w:tcPr>
          <w:p w14:paraId="5EB23D3F">
            <w:pPr>
              <w:rPr>
                <w:rFonts w:hint="default" w:eastAsia="宋体"/>
                <w:lang w:val="en-US" w:eastAsia="zh-CN"/>
              </w:rPr>
            </w:pPr>
            <w:r>
              <w:rPr>
                <w:rFonts w:hint="eastAsia" w:eastAsia="宋体"/>
                <w:lang w:val="en-US" w:eastAsia="zh-CN"/>
              </w:rPr>
              <w:t>0</w:t>
            </w:r>
          </w:p>
        </w:tc>
        <w:tc>
          <w:tcPr>
            <w:tcW w:w="2013" w:type="dxa"/>
            <w:gridSpan w:val="2"/>
          </w:tcPr>
          <w:p w14:paraId="3D321DBE">
            <w:pPr>
              <w:rPr>
                <w:rFonts w:hint="default" w:eastAsia="宋体"/>
                <w:lang w:val="en-US" w:eastAsia="zh-CN"/>
              </w:rPr>
            </w:pPr>
            <w:r>
              <w:rPr>
                <w:rFonts w:hint="eastAsia" w:eastAsia="宋体"/>
                <w:lang w:val="en-US" w:eastAsia="zh-CN"/>
              </w:rPr>
              <w:t>0</w:t>
            </w:r>
          </w:p>
        </w:tc>
      </w:tr>
      <w:tr w14:paraId="38C49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121" w:type="dxa"/>
          </w:tcPr>
          <w:p w14:paraId="65B937A2">
            <w:pPr>
              <w:pStyle w:val="10"/>
              <w:spacing w:before="84" w:line="219" w:lineRule="auto"/>
              <w:ind w:left="105"/>
              <w:rPr>
                <w:sz w:val="20"/>
                <w:szCs w:val="20"/>
              </w:rPr>
            </w:pPr>
            <w:r>
              <w:rPr>
                <w:spacing w:val="1"/>
                <w:sz w:val="20"/>
                <w:szCs w:val="20"/>
              </w:rPr>
              <w:t>部门基本支出预算调整</w:t>
            </w:r>
          </w:p>
        </w:tc>
        <w:tc>
          <w:tcPr>
            <w:tcW w:w="2188" w:type="dxa"/>
            <w:gridSpan w:val="2"/>
          </w:tcPr>
          <w:p w14:paraId="33CA18C2">
            <w:pPr>
              <w:rPr>
                <w:rFonts w:hint="eastAsia" w:eastAsia="宋体"/>
                <w:lang w:val="en-US" w:eastAsia="zh-CN"/>
              </w:rPr>
            </w:pPr>
          </w:p>
        </w:tc>
        <w:tc>
          <w:tcPr>
            <w:tcW w:w="2217" w:type="dxa"/>
            <w:gridSpan w:val="2"/>
          </w:tcPr>
          <w:p w14:paraId="552365AA"/>
        </w:tc>
        <w:tc>
          <w:tcPr>
            <w:tcW w:w="2013" w:type="dxa"/>
            <w:gridSpan w:val="2"/>
          </w:tcPr>
          <w:p w14:paraId="0A576BE5"/>
        </w:tc>
      </w:tr>
      <w:tr w14:paraId="605ED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9" w:hRule="atLeast"/>
        </w:trPr>
        <w:tc>
          <w:tcPr>
            <w:tcW w:w="3121" w:type="dxa"/>
            <w:vMerge w:val="restart"/>
            <w:tcBorders>
              <w:bottom w:val="nil"/>
            </w:tcBorders>
          </w:tcPr>
          <w:p w14:paraId="20B9FC80">
            <w:pPr>
              <w:spacing w:line="397" w:lineRule="auto"/>
            </w:pPr>
          </w:p>
          <w:p w14:paraId="5C730C8D">
            <w:pPr>
              <w:pStyle w:val="10"/>
              <w:spacing w:before="65" w:line="360" w:lineRule="exact"/>
              <w:ind w:left="834"/>
              <w:rPr>
                <w:sz w:val="20"/>
                <w:szCs w:val="20"/>
              </w:rPr>
            </w:pPr>
            <w:r>
              <w:rPr>
                <w:spacing w:val="-1"/>
                <w:position w:val="12"/>
                <w:sz w:val="20"/>
                <w:szCs w:val="20"/>
              </w:rPr>
              <w:t>楼堂馆所控制情况</w:t>
            </w:r>
          </w:p>
          <w:p w14:paraId="60F7C9D0">
            <w:pPr>
              <w:pStyle w:val="10"/>
              <w:spacing w:line="219" w:lineRule="auto"/>
              <w:ind w:left="805"/>
              <w:rPr>
                <w:sz w:val="20"/>
                <w:szCs w:val="20"/>
              </w:rPr>
            </w:pPr>
            <w:r>
              <w:rPr>
                <w:spacing w:val="3"/>
                <w:sz w:val="20"/>
                <w:szCs w:val="20"/>
              </w:rPr>
              <w:t>(</w:t>
            </w:r>
            <w:r>
              <w:rPr>
                <w:rFonts w:hint="eastAsia"/>
                <w:spacing w:val="3"/>
                <w:sz w:val="20"/>
                <w:szCs w:val="20"/>
                <w:lang w:eastAsia="zh-CN"/>
              </w:rPr>
              <w:t>2024</w:t>
            </w:r>
            <w:r>
              <w:rPr>
                <w:spacing w:val="3"/>
                <w:sz w:val="20"/>
                <w:szCs w:val="20"/>
              </w:rPr>
              <w:t>年完工项目)</w:t>
            </w:r>
          </w:p>
        </w:tc>
        <w:tc>
          <w:tcPr>
            <w:tcW w:w="1058" w:type="dxa"/>
          </w:tcPr>
          <w:p w14:paraId="37AF9754">
            <w:pPr>
              <w:pStyle w:val="10"/>
              <w:spacing w:before="275" w:line="383" w:lineRule="exact"/>
              <w:ind w:left="174"/>
              <w:rPr>
                <w:sz w:val="20"/>
                <w:szCs w:val="20"/>
              </w:rPr>
            </w:pPr>
            <w:r>
              <w:rPr>
                <w:spacing w:val="-2"/>
                <w:position w:val="13"/>
                <w:sz w:val="20"/>
                <w:szCs w:val="20"/>
              </w:rPr>
              <w:t>批复规模</w:t>
            </w:r>
          </w:p>
          <w:p w14:paraId="0F0046FB">
            <w:pPr>
              <w:pStyle w:val="10"/>
              <w:spacing w:line="222" w:lineRule="auto"/>
              <w:ind w:left="324"/>
              <w:rPr>
                <w:sz w:val="20"/>
                <w:szCs w:val="20"/>
              </w:rPr>
            </w:pPr>
            <w:r>
              <w:rPr>
                <w:spacing w:val="-9"/>
                <w:sz w:val="20"/>
                <w:szCs w:val="20"/>
              </w:rPr>
              <w:t>(m²)</w:t>
            </w:r>
          </w:p>
        </w:tc>
        <w:tc>
          <w:tcPr>
            <w:tcW w:w="1130" w:type="dxa"/>
          </w:tcPr>
          <w:p w14:paraId="0A12322C">
            <w:pPr>
              <w:pStyle w:val="10"/>
              <w:spacing w:before="285" w:line="380" w:lineRule="exact"/>
              <w:ind w:left="115"/>
              <w:rPr>
                <w:sz w:val="20"/>
                <w:szCs w:val="20"/>
              </w:rPr>
            </w:pPr>
            <w:r>
              <w:rPr>
                <w:spacing w:val="2"/>
                <w:position w:val="13"/>
                <w:sz w:val="20"/>
                <w:szCs w:val="20"/>
              </w:rPr>
              <w:t>实际规</w:t>
            </w:r>
          </w:p>
          <w:p w14:paraId="646D16B6">
            <w:pPr>
              <w:pStyle w:val="10"/>
              <w:spacing w:line="219" w:lineRule="auto"/>
              <w:ind w:left="65"/>
              <w:rPr>
                <w:sz w:val="20"/>
                <w:szCs w:val="20"/>
              </w:rPr>
            </w:pPr>
            <w:r>
              <w:rPr>
                <w:spacing w:val="28"/>
                <w:sz w:val="20"/>
                <w:szCs w:val="20"/>
              </w:rPr>
              <w:t>模(m²)</w:t>
            </w:r>
          </w:p>
        </w:tc>
        <w:tc>
          <w:tcPr>
            <w:tcW w:w="1109" w:type="dxa"/>
          </w:tcPr>
          <w:p w14:paraId="6C603A7A">
            <w:pPr>
              <w:pStyle w:val="10"/>
              <w:spacing w:before="285" w:line="370" w:lineRule="exact"/>
              <w:ind w:left="145"/>
              <w:rPr>
                <w:sz w:val="20"/>
                <w:szCs w:val="20"/>
              </w:rPr>
            </w:pPr>
            <w:r>
              <w:rPr>
                <w:spacing w:val="4"/>
                <w:position w:val="12"/>
                <w:sz w:val="20"/>
                <w:szCs w:val="20"/>
              </w:rPr>
              <w:t>规模控制</w:t>
            </w:r>
          </w:p>
          <w:p w14:paraId="156FFF2D">
            <w:pPr>
              <w:pStyle w:val="10"/>
              <w:spacing w:line="219" w:lineRule="auto"/>
              <w:ind w:left="446"/>
              <w:rPr>
                <w:sz w:val="20"/>
                <w:szCs w:val="20"/>
              </w:rPr>
            </w:pPr>
            <w:r>
              <w:rPr>
                <w:sz w:val="20"/>
                <w:szCs w:val="20"/>
              </w:rPr>
              <w:t>率</w:t>
            </w:r>
          </w:p>
        </w:tc>
        <w:tc>
          <w:tcPr>
            <w:tcW w:w="1108" w:type="dxa"/>
          </w:tcPr>
          <w:p w14:paraId="5D17E474">
            <w:pPr>
              <w:pStyle w:val="10"/>
              <w:spacing w:before="285" w:line="380" w:lineRule="exact"/>
              <w:ind w:left="147"/>
              <w:rPr>
                <w:sz w:val="20"/>
                <w:szCs w:val="20"/>
              </w:rPr>
            </w:pPr>
            <w:r>
              <w:rPr>
                <w:spacing w:val="3"/>
                <w:position w:val="13"/>
                <w:sz w:val="20"/>
                <w:szCs w:val="20"/>
              </w:rPr>
              <w:t>预算投资</w:t>
            </w:r>
          </w:p>
          <w:p w14:paraId="55518ED6">
            <w:pPr>
              <w:pStyle w:val="10"/>
              <w:spacing w:line="220" w:lineRule="auto"/>
              <w:ind w:left="247"/>
              <w:rPr>
                <w:sz w:val="20"/>
                <w:szCs w:val="20"/>
              </w:rPr>
            </w:pPr>
            <w:r>
              <w:rPr>
                <w:spacing w:val="10"/>
                <w:sz w:val="20"/>
                <w:szCs w:val="20"/>
              </w:rPr>
              <w:t>(万元)</w:t>
            </w:r>
          </w:p>
        </w:tc>
        <w:tc>
          <w:tcPr>
            <w:tcW w:w="1059" w:type="dxa"/>
          </w:tcPr>
          <w:p w14:paraId="7E6C0EF7">
            <w:pPr>
              <w:spacing w:line="249" w:lineRule="auto"/>
            </w:pPr>
          </w:p>
          <w:p w14:paraId="7E985BA2">
            <w:pPr>
              <w:pStyle w:val="10"/>
              <w:spacing w:before="65" w:line="220" w:lineRule="auto"/>
              <w:ind w:left="129"/>
              <w:rPr>
                <w:sz w:val="20"/>
                <w:szCs w:val="20"/>
              </w:rPr>
            </w:pPr>
            <w:r>
              <w:rPr>
                <w:spacing w:val="3"/>
                <w:sz w:val="20"/>
                <w:szCs w:val="20"/>
              </w:rPr>
              <w:t>实际投资</w:t>
            </w:r>
          </w:p>
          <w:p w14:paraId="4518DA6F">
            <w:pPr>
              <w:pStyle w:val="10"/>
              <w:spacing w:before="91" w:line="220" w:lineRule="auto"/>
              <w:ind w:left="228"/>
              <w:rPr>
                <w:sz w:val="20"/>
                <w:szCs w:val="20"/>
              </w:rPr>
            </w:pPr>
            <w:r>
              <w:rPr>
                <w:spacing w:val="10"/>
                <w:sz w:val="20"/>
                <w:szCs w:val="20"/>
              </w:rPr>
              <w:t>(万元)</w:t>
            </w:r>
          </w:p>
        </w:tc>
        <w:tc>
          <w:tcPr>
            <w:tcW w:w="954" w:type="dxa"/>
          </w:tcPr>
          <w:p w14:paraId="1F3B34C7">
            <w:pPr>
              <w:pStyle w:val="10"/>
              <w:spacing w:before="105" w:line="219" w:lineRule="auto"/>
              <w:ind w:left="170"/>
              <w:rPr>
                <w:sz w:val="20"/>
                <w:szCs w:val="20"/>
              </w:rPr>
            </w:pPr>
            <w:r>
              <w:rPr>
                <w:spacing w:val="-3"/>
                <w:sz w:val="20"/>
                <w:szCs w:val="20"/>
              </w:rPr>
              <w:t>投资概</w:t>
            </w:r>
          </w:p>
          <w:p w14:paraId="7886A000">
            <w:pPr>
              <w:pStyle w:val="10"/>
              <w:spacing w:before="112" w:line="219" w:lineRule="auto"/>
              <w:ind w:left="170"/>
              <w:rPr>
                <w:sz w:val="20"/>
                <w:szCs w:val="20"/>
              </w:rPr>
            </w:pPr>
            <w:r>
              <w:rPr>
                <w:spacing w:val="5"/>
                <w:sz w:val="20"/>
                <w:szCs w:val="20"/>
              </w:rPr>
              <w:t>算控制</w:t>
            </w:r>
          </w:p>
          <w:p w14:paraId="534D0E1E">
            <w:pPr>
              <w:pStyle w:val="10"/>
              <w:spacing w:before="152" w:line="207" w:lineRule="auto"/>
              <w:ind w:left="370"/>
              <w:rPr>
                <w:sz w:val="20"/>
                <w:szCs w:val="20"/>
              </w:rPr>
            </w:pPr>
            <w:r>
              <w:rPr>
                <w:sz w:val="20"/>
                <w:szCs w:val="20"/>
              </w:rPr>
              <w:t>率</w:t>
            </w:r>
          </w:p>
        </w:tc>
      </w:tr>
      <w:tr w14:paraId="2003D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121" w:type="dxa"/>
            <w:vMerge w:val="continue"/>
            <w:tcBorders>
              <w:top w:val="nil"/>
            </w:tcBorders>
          </w:tcPr>
          <w:p w14:paraId="0D067C2C"/>
        </w:tc>
        <w:tc>
          <w:tcPr>
            <w:tcW w:w="1058" w:type="dxa"/>
          </w:tcPr>
          <w:p w14:paraId="52919DFD">
            <w:pPr>
              <w:rPr>
                <w:rFonts w:hint="eastAsia" w:eastAsia="宋体"/>
                <w:lang w:eastAsia="zh-CN"/>
              </w:rPr>
            </w:pPr>
            <w:r>
              <w:rPr>
                <w:rFonts w:hint="eastAsia" w:eastAsia="宋体"/>
                <w:lang w:val="en-US" w:eastAsia="zh-CN"/>
              </w:rPr>
              <w:t>0</w:t>
            </w:r>
          </w:p>
        </w:tc>
        <w:tc>
          <w:tcPr>
            <w:tcW w:w="1130" w:type="dxa"/>
          </w:tcPr>
          <w:p w14:paraId="406D1DA1">
            <w:pPr>
              <w:rPr>
                <w:rFonts w:hint="eastAsia" w:eastAsia="宋体"/>
                <w:lang w:val="en-US" w:eastAsia="zh-CN"/>
              </w:rPr>
            </w:pPr>
            <w:r>
              <w:rPr>
                <w:rFonts w:hint="eastAsia" w:eastAsia="宋体"/>
                <w:lang w:val="en-US" w:eastAsia="zh-CN"/>
              </w:rPr>
              <w:t>0</w:t>
            </w:r>
          </w:p>
        </w:tc>
        <w:tc>
          <w:tcPr>
            <w:tcW w:w="1109" w:type="dxa"/>
          </w:tcPr>
          <w:p w14:paraId="1E84D0C4">
            <w:pPr>
              <w:rPr>
                <w:rFonts w:hint="eastAsia" w:eastAsia="宋体"/>
                <w:lang w:val="en-US" w:eastAsia="zh-CN"/>
              </w:rPr>
            </w:pPr>
            <w:r>
              <w:rPr>
                <w:rFonts w:hint="eastAsia" w:eastAsia="宋体"/>
                <w:lang w:val="en-US" w:eastAsia="zh-CN"/>
              </w:rPr>
              <w:t>0</w:t>
            </w:r>
          </w:p>
        </w:tc>
        <w:tc>
          <w:tcPr>
            <w:tcW w:w="1108" w:type="dxa"/>
          </w:tcPr>
          <w:p w14:paraId="19B251AA">
            <w:pPr>
              <w:rPr>
                <w:rFonts w:hint="eastAsia" w:eastAsia="宋体"/>
                <w:lang w:val="en-US" w:eastAsia="zh-CN"/>
              </w:rPr>
            </w:pPr>
            <w:r>
              <w:rPr>
                <w:rFonts w:hint="eastAsia" w:eastAsia="宋体"/>
                <w:lang w:val="en-US" w:eastAsia="zh-CN"/>
              </w:rPr>
              <w:t>0</w:t>
            </w:r>
          </w:p>
        </w:tc>
        <w:tc>
          <w:tcPr>
            <w:tcW w:w="1059" w:type="dxa"/>
          </w:tcPr>
          <w:p w14:paraId="0F241200">
            <w:pPr>
              <w:rPr>
                <w:rFonts w:hint="eastAsia" w:eastAsia="宋体"/>
                <w:lang w:val="en-US" w:eastAsia="zh-CN"/>
              </w:rPr>
            </w:pPr>
            <w:r>
              <w:rPr>
                <w:rFonts w:hint="eastAsia" w:eastAsia="宋体"/>
                <w:lang w:val="en-US" w:eastAsia="zh-CN"/>
              </w:rPr>
              <w:t>0</w:t>
            </w:r>
          </w:p>
        </w:tc>
        <w:tc>
          <w:tcPr>
            <w:tcW w:w="954" w:type="dxa"/>
          </w:tcPr>
          <w:p w14:paraId="246F6B93">
            <w:pPr>
              <w:rPr>
                <w:rFonts w:hint="eastAsia" w:eastAsia="宋体"/>
                <w:lang w:val="en-US" w:eastAsia="zh-CN"/>
              </w:rPr>
            </w:pPr>
            <w:r>
              <w:rPr>
                <w:rFonts w:hint="eastAsia" w:eastAsia="宋体"/>
                <w:lang w:val="en-US" w:eastAsia="zh-CN"/>
              </w:rPr>
              <w:t>0</w:t>
            </w:r>
          </w:p>
        </w:tc>
      </w:tr>
      <w:tr w14:paraId="6D9D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121" w:type="dxa"/>
          </w:tcPr>
          <w:p w14:paraId="31D3F14F">
            <w:pPr>
              <w:pStyle w:val="10"/>
              <w:spacing w:before="87" w:line="219" w:lineRule="auto"/>
              <w:ind w:left="845"/>
              <w:rPr>
                <w:sz w:val="20"/>
                <w:szCs w:val="20"/>
              </w:rPr>
            </w:pPr>
            <w:r>
              <w:rPr>
                <w:spacing w:val="1"/>
                <w:sz w:val="20"/>
                <w:szCs w:val="20"/>
              </w:rPr>
              <w:t>厉行节约保障措施</w:t>
            </w:r>
          </w:p>
        </w:tc>
        <w:tc>
          <w:tcPr>
            <w:tcW w:w="6418" w:type="dxa"/>
            <w:gridSpan w:val="6"/>
          </w:tcPr>
          <w:p w14:paraId="5ACD1C1A"/>
        </w:tc>
      </w:tr>
    </w:tbl>
    <w:p w14:paraId="7F081D43">
      <w:pPr>
        <w:spacing w:before="92" w:line="430" w:lineRule="exact"/>
        <w:ind w:left="405"/>
        <w:rPr>
          <w:rFonts w:ascii="宋体" w:hAnsi="宋体" w:eastAsia="宋体" w:cs="宋体"/>
          <w:sz w:val="20"/>
          <w:szCs w:val="20"/>
        </w:rPr>
      </w:pPr>
      <w:r>
        <w:rPr>
          <w:rFonts w:ascii="宋体" w:hAnsi="宋体" w:eastAsia="宋体" w:cs="宋体"/>
          <w:spacing w:val="1"/>
          <w:position w:val="17"/>
          <w:sz w:val="20"/>
          <w:szCs w:val="20"/>
        </w:rPr>
        <w:t>说明：“项目支出”需要填报基本支出以外的</w:t>
      </w:r>
      <w:r>
        <w:rPr>
          <w:rFonts w:ascii="宋体" w:hAnsi="宋体" w:eastAsia="宋体" w:cs="宋体"/>
          <w:position w:val="17"/>
          <w:sz w:val="20"/>
          <w:szCs w:val="20"/>
        </w:rPr>
        <w:t>所有项目支出情况，“公用经费”填报基本支出中</w:t>
      </w:r>
    </w:p>
    <w:p w14:paraId="2DB55E42">
      <w:pPr>
        <w:pStyle w:val="2"/>
        <w:spacing w:line="222" w:lineRule="auto"/>
        <w:ind w:left="405"/>
        <w:rPr>
          <w:rFonts w:ascii="宋体" w:hAnsi="宋体" w:eastAsia="宋体" w:cs="宋体"/>
          <w:snapToGrid w:val="0"/>
          <w:color w:val="000000"/>
          <w:spacing w:val="1"/>
          <w:position w:val="17"/>
          <w:sz w:val="20"/>
          <w:szCs w:val="20"/>
          <w:lang w:val="en-US" w:eastAsia="en-US" w:bidi="ar-SA"/>
        </w:rPr>
      </w:pPr>
      <w:r>
        <w:rPr>
          <w:rFonts w:ascii="宋体" w:hAnsi="宋体" w:eastAsia="宋体" w:cs="宋体"/>
          <w:snapToGrid w:val="0"/>
          <w:color w:val="000000"/>
          <w:spacing w:val="1"/>
          <w:position w:val="17"/>
          <w:sz w:val="20"/>
          <w:szCs w:val="20"/>
          <w:lang w:val="en-US" w:eastAsia="en-US" w:bidi="ar-SA"/>
        </w:rPr>
        <w:t>的一般商品和服务支出。</w:t>
      </w:r>
    </w:p>
    <w:p w14:paraId="79BC1025">
      <w:pPr>
        <w:spacing w:line="441" w:lineRule="auto"/>
      </w:pPr>
    </w:p>
    <w:p w14:paraId="2EC2F898">
      <w:pPr>
        <w:spacing w:line="278" w:lineRule="auto"/>
      </w:pPr>
    </w:p>
    <w:p w14:paraId="5D692083">
      <w:pPr>
        <w:spacing w:line="278" w:lineRule="auto"/>
      </w:pPr>
    </w:p>
    <w:p w14:paraId="2A1D5FD8">
      <w:pPr>
        <w:spacing w:line="278" w:lineRule="auto"/>
      </w:pPr>
    </w:p>
    <w:p w14:paraId="2C37EFFD">
      <w:pPr>
        <w:spacing w:line="278" w:lineRule="auto"/>
      </w:pPr>
    </w:p>
    <w:p w14:paraId="112E897D">
      <w:pPr>
        <w:spacing w:line="278" w:lineRule="auto"/>
      </w:pPr>
    </w:p>
    <w:p w14:paraId="112D853B">
      <w:pPr>
        <w:spacing w:line="278" w:lineRule="auto"/>
      </w:pPr>
    </w:p>
    <w:p w14:paraId="51021B14">
      <w:pPr>
        <w:spacing w:before="63" w:line="224" w:lineRule="auto"/>
        <w:rPr>
          <w:rFonts w:ascii="黑体" w:hAnsi="黑体" w:eastAsia="黑体" w:cs="黑体"/>
          <w:sz w:val="31"/>
          <w:szCs w:val="31"/>
          <w:lang w:eastAsia="zh-CN"/>
        </w:rPr>
      </w:pPr>
      <w:r>
        <w:rPr>
          <w:rFonts w:ascii="黑体" w:hAnsi="黑体" w:eastAsia="黑体" w:cs="黑体"/>
          <w:b/>
          <w:bCs/>
          <w:spacing w:val="20"/>
          <w:sz w:val="31"/>
          <w:szCs w:val="31"/>
        </w:rPr>
        <w:t>附件3</w:t>
      </w:r>
      <w:r>
        <w:rPr>
          <w:rFonts w:hint="eastAsia" w:ascii="黑体" w:hAnsi="黑体" w:eastAsia="黑体" w:cs="黑体"/>
          <w:b/>
          <w:bCs/>
          <w:spacing w:val="20"/>
          <w:sz w:val="31"/>
          <w:szCs w:val="31"/>
          <w:lang w:eastAsia="zh-CN"/>
        </w:rPr>
        <w:t>：</w:t>
      </w:r>
    </w:p>
    <w:p w14:paraId="75DA95F9">
      <w:pPr>
        <w:spacing w:before="81" w:line="219" w:lineRule="auto"/>
        <w:ind w:left="2280"/>
        <w:rPr>
          <w:rFonts w:ascii="宋体" w:hAnsi="宋体" w:eastAsia="宋体" w:cs="宋体"/>
          <w:sz w:val="35"/>
          <w:szCs w:val="35"/>
        </w:rPr>
      </w:pPr>
      <w:r>
        <w:rPr>
          <w:rFonts w:hint="eastAsia" w:ascii="宋体" w:hAnsi="宋体" w:eastAsia="宋体" w:cs="宋体"/>
          <w:b/>
          <w:bCs/>
          <w:spacing w:val="-2"/>
          <w:sz w:val="35"/>
          <w:szCs w:val="35"/>
          <w:lang w:eastAsia="zh-CN"/>
        </w:rPr>
        <w:t>2024</w:t>
      </w:r>
      <w:r>
        <w:rPr>
          <w:rFonts w:ascii="宋体" w:hAnsi="宋体" w:eastAsia="宋体" w:cs="宋体"/>
          <w:spacing w:val="-38"/>
          <w:sz w:val="35"/>
          <w:szCs w:val="35"/>
        </w:rPr>
        <w:t xml:space="preserve"> </w:t>
      </w:r>
      <w:r>
        <w:rPr>
          <w:rFonts w:ascii="宋体" w:hAnsi="宋体" w:eastAsia="宋体" w:cs="宋体"/>
          <w:b/>
          <w:bCs/>
          <w:spacing w:val="-2"/>
          <w:sz w:val="35"/>
          <w:szCs w:val="35"/>
        </w:rPr>
        <w:t>年度部门整体支出绩效自评表</w:t>
      </w:r>
    </w:p>
    <w:p w14:paraId="5A3B9593">
      <w:pPr>
        <w:spacing w:line="170" w:lineRule="exact"/>
      </w:pPr>
    </w:p>
    <w:tbl>
      <w:tblPr>
        <w:tblStyle w:val="11"/>
        <w:tblW w:w="10876" w:type="dxa"/>
        <w:tblInd w:w="-9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1"/>
        <w:gridCol w:w="1004"/>
        <w:gridCol w:w="1298"/>
        <w:gridCol w:w="1898"/>
        <w:gridCol w:w="1505"/>
        <w:gridCol w:w="1222"/>
        <w:gridCol w:w="709"/>
        <w:gridCol w:w="829"/>
        <w:gridCol w:w="1320"/>
      </w:tblGrid>
      <w:tr w14:paraId="28CF2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393" w:type="dxa"/>
            <w:gridSpan w:val="3"/>
          </w:tcPr>
          <w:p w14:paraId="4AC4ABFB">
            <w:pPr>
              <w:pStyle w:val="10"/>
              <w:spacing w:before="23" w:line="186" w:lineRule="auto"/>
              <w:ind w:left="104"/>
              <w:rPr>
                <w:sz w:val="20"/>
                <w:szCs w:val="20"/>
              </w:rPr>
            </w:pPr>
            <w:r>
              <w:rPr>
                <w:rFonts w:hint="eastAsia"/>
                <w:sz w:val="20"/>
                <w:szCs w:val="20"/>
                <w:lang w:eastAsia="zh-CN"/>
              </w:rPr>
              <w:t>县</w:t>
            </w:r>
            <w:r>
              <w:rPr>
                <w:sz w:val="20"/>
                <w:szCs w:val="20"/>
              </w:rPr>
              <w:t>级预算部门、单位名称</w:t>
            </w:r>
          </w:p>
        </w:tc>
        <w:tc>
          <w:tcPr>
            <w:tcW w:w="7483" w:type="dxa"/>
            <w:gridSpan w:val="6"/>
          </w:tcPr>
          <w:p w14:paraId="3A123F0A">
            <w:pPr>
              <w:spacing w:line="225" w:lineRule="exact"/>
              <w:rPr>
                <w:rFonts w:hint="eastAsia" w:eastAsia="宋体"/>
                <w:sz w:val="19"/>
                <w:lang w:val="en-US" w:eastAsia="zh-CN"/>
              </w:rPr>
            </w:pPr>
            <w:r>
              <w:rPr>
                <w:rFonts w:hint="eastAsia" w:eastAsia="宋体"/>
                <w:sz w:val="19"/>
                <w:lang w:val="en-US" w:eastAsia="zh-CN"/>
              </w:rPr>
              <w:t>临武县特殊教育学校</w:t>
            </w:r>
          </w:p>
        </w:tc>
      </w:tr>
      <w:tr w14:paraId="12371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91" w:type="dxa"/>
            <w:vMerge w:val="restart"/>
            <w:tcBorders>
              <w:bottom w:val="nil"/>
            </w:tcBorders>
          </w:tcPr>
          <w:p w14:paraId="63A0C7F7">
            <w:pPr>
              <w:spacing w:line="441" w:lineRule="auto"/>
            </w:pPr>
          </w:p>
          <w:p w14:paraId="6A123A9B">
            <w:pPr>
              <w:pStyle w:val="10"/>
              <w:spacing w:before="65" w:line="227" w:lineRule="auto"/>
              <w:ind w:left="215" w:right="185"/>
              <w:jc w:val="left"/>
              <w:rPr>
                <w:sz w:val="20"/>
                <w:szCs w:val="20"/>
              </w:rPr>
            </w:pPr>
            <w:r>
              <w:rPr>
                <w:spacing w:val="-3"/>
                <w:sz w:val="20"/>
                <w:szCs w:val="20"/>
              </w:rPr>
              <w:t>年度预</w:t>
            </w:r>
            <w:r>
              <w:rPr>
                <w:sz w:val="20"/>
                <w:szCs w:val="20"/>
              </w:rPr>
              <w:t xml:space="preserve"> </w:t>
            </w:r>
            <w:r>
              <w:rPr>
                <w:spacing w:val="-4"/>
                <w:sz w:val="20"/>
                <w:szCs w:val="20"/>
              </w:rPr>
              <w:t>算申请</w:t>
            </w:r>
            <w:r>
              <w:rPr>
                <w:spacing w:val="1"/>
                <w:sz w:val="20"/>
                <w:szCs w:val="20"/>
              </w:rPr>
              <w:t xml:space="preserve"> </w:t>
            </w:r>
            <w:r>
              <w:rPr>
                <w:spacing w:val="10"/>
                <w:sz w:val="20"/>
                <w:szCs w:val="20"/>
              </w:rPr>
              <w:t>(万元)</w:t>
            </w:r>
          </w:p>
        </w:tc>
        <w:tc>
          <w:tcPr>
            <w:tcW w:w="2302" w:type="dxa"/>
            <w:gridSpan w:val="2"/>
          </w:tcPr>
          <w:p w14:paraId="46FF63C0">
            <w:pPr>
              <w:spacing w:line="230" w:lineRule="exact"/>
              <w:rPr>
                <w:sz w:val="20"/>
              </w:rPr>
            </w:pPr>
          </w:p>
        </w:tc>
        <w:tc>
          <w:tcPr>
            <w:tcW w:w="1898" w:type="dxa"/>
          </w:tcPr>
          <w:p w14:paraId="2AB2322D">
            <w:pPr>
              <w:pStyle w:val="10"/>
              <w:spacing w:before="17" w:line="196" w:lineRule="auto"/>
              <w:ind w:left="113"/>
              <w:rPr>
                <w:sz w:val="20"/>
                <w:szCs w:val="20"/>
              </w:rPr>
            </w:pPr>
            <w:r>
              <w:rPr>
                <w:spacing w:val="-2"/>
                <w:sz w:val="20"/>
                <w:szCs w:val="20"/>
              </w:rPr>
              <w:t>年初预算数</w:t>
            </w:r>
          </w:p>
        </w:tc>
        <w:tc>
          <w:tcPr>
            <w:tcW w:w="1505" w:type="dxa"/>
          </w:tcPr>
          <w:p w14:paraId="410BCD7A">
            <w:pPr>
              <w:pStyle w:val="10"/>
              <w:spacing w:before="17" w:line="196" w:lineRule="auto"/>
              <w:ind w:left="143"/>
              <w:rPr>
                <w:sz w:val="20"/>
                <w:szCs w:val="20"/>
              </w:rPr>
            </w:pPr>
            <w:r>
              <w:rPr>
                <w:spacing w:val="-2"/>
                <w:sz w:val="20"/>
                <w:szCs w:val="20"/>
              </w:rPr>
              <w:t>全年预算数</w:t>
            </w:r>
          </w:p>
        </w:tc>
        <w:tc>
          <w:tcPr>
            <w:tcW w:w="1222" w:type="dxa"/>
          </w:tcPr>
          <w:p w14:paraId="323490DC">
            <w:pPr>
              <w:pStyle w:val="10"/>
              <w:spacing w:before="17" w:line="196" w:lineRule="auto"/>
              <w:ind w:left="115"/>
              <w:rPr>
                <w:sz w:val="20"/>
                <w:szCs w:val="20"/>
              </w:rPr>
            </w:pPr>
            <w:r>
              <w:rPr>
                <w:spacing w:val="-2"/>
                <w:sz w:val="20"/>
                <w:szCs w:val="20"/>
              </w:rPr>
              <w:t>全年执行数</w:t>
            </w:r>
          </w:p>
        </w:tc>
        <w:tc>
          <w:tcPr>
            <w:tcW w:w="709" w:type="dxa"/>
          </w:tcPr>
          <w:p w14:paraId="272C0A51">
            <w:pPr>
              <w:pStyle w:val="10"/>
              <w:spacing w:before="17" w:line="196" w:lineRule="auto"/>
              <w:ind w:left="146"/>
              <w:rPr>
                <w:sz w:val="20"/>
                <w:szCs w:val="20"/>
              </w:rPr>
            </w:pPr>
            <w:r>
              <w:rPr>
                <w:spacing w:val="-3"/>
                <w:sz w:val="20"/>
                <w:szCs w:val="20"/>
              </w:rPr>
              <w:t>分值</w:t>
            </w:r>
          </w:p>
        </w:tc>
        <w:tc>
          <w:tcPr>
            <w:tcW w:w="829" w:type="dxa"/>
          </w:tcPr>
          <w:p w14:paraId="73AE36BB">
            <w:pPr>
              <w:pStyle w:val="10"/>
              <w:spacing w:before="17" w:line="196" w:lineRule="auto"/>
              <w:ind w:left="127"/>
              <w:rPr>
                <w:sz w:val="20"/>
                <w:szCs w:val="20"/>
              </w:rPr>
            </w:pPr>
            <w:r>
              <w:rPr>
                <w:spacing w:val="-2"/>
                <w:sz w:val="20"/>
                <w:szCs w:val="20"/>
              </w:rPr>
              <w:t>执行率</w:t>
            </w:r>
          </w:p>
        </w:tc>
        <w:tc>
          <w:tcPr>
            <w:tcW w:w="1320" w:type="dxa"/>
          </w:tcPr>
          <w:p w14:paraId="63C0FE6B">
            <w:pPr>
              <w:pStyle w:val="10"/>
              <w:spacing w:before="17" w:line="196" w:lineRule="auto"/>
              <w:ind w:left="308"/>
              <w:rPr>
                <w:sz w:val="20"/>
                <w:szCs w:val="20"/>
              </w:rPr>
            </w:pPr>
            <w:r>
              <w:rPr>
                <w:spacing w:val="2"/>
                <w:sz w:val="20"/>
                <w:szCs w:val="20"/>
              </w:rPr>
              <w:t>自评得分</w:t>
            </w:r>
          </w:p>
        </w:tc>
      </w:tr>
      <w:tr w14:paraId="5B86A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91" w:type="dxa"/>
            <w:vMerge w:val="continue"/>
            <w:tcBorders>
              <w:top w:val="nil"/>
              <w:bottom w:val="nil"/>
            </w:tcBorders>
          </w:tcPr>
          <w:p w14:paraId="4CB83D65"/>
        </w:tc>
        <w:tc>
          <w:tcPr>
            <w:tcW w:w="2302" w:type="dxa"/>
            <w:gridSpan w:val="2"/>
          </w:tcPr>
          <w:p w14:paraId="2CC5B176">
            <w:pPr>
              <w:pStyle w:val="10"/>
              <w:spacing w:before="17" w:line="196" w:lineRule="auto"/>
              <w:ind w:left="421"/>
              <w:rPr>
                <w:sz w:val="20"/>
                <w:szCs w:val="20"/>
              </w:rPr>
            </w:pPr>
            <w:r>
              <w:rPr>
                <w:spacing w:val="2"/>
                <w:sz w:val="20"/>
                <w:szCs w:val="20"/>
              </w:rPr>
              <w:t>年度资金总密</w:t>
            </w:r>
          </w:p>
        </w:tc>
        <w:tc>
          <w:tcPr>
            <w:tcW w:w="1898" w:type="dxa"/>
          </w:tcPr>
          <w:p w14:paraId="57B2766F">
            <w:pPr>
              <w:spacing w:line="230" w:lineRule="exact"/>
              <w:rPr>
                <w:rFonts w:hint="default" w:eastAsia="宋体"/>
                <w:sz w:val="20"/>
                <w:lang w:val="en-US" w:eastAsia="zh-CN"/>
              </w:rPr>
            </w:pPr>
            <w:r>
              <w:rPr>
                <w:rFonts w:hint="eastAsia" w:eastAsia="宋体"/>
                <w:sz w:val="20"/>
                <w:lang w:val="en-US" w:eastAsia="zh-CN"/>
              </w:rPr>
              <w:t>488.56</w:t>
            </w:r>
          </w:p>
        </w:tc>
        <w:tc>
          <w:tcPr>
            <w:tcW w:w="1505" w:type="dxa"/>
          </w:tcPr>
          <w:p w14:paraId="7152AF43">
            <w:pPr>
              <w:spacing w:line="230" w:lineRule="exact"/>
              <w:rPr>
                <w:rFonts w:hint="default" w:eastAsia="宋体"/>
                <w:sz w:val="20"/>
                <w:lang w:val="en-US" w:eastAsia="zh-CN"/>
              </w:rPr>
            </w:pPr>
            <w:r>
              <w:rPr>
                <w:rFonts w:hint="eastAsia" w:eastAsia="宋体"/>
                <w:sz w:val="20"/>
                <w:lang w:val="en-US" w:eastAsia="zh-CN"/>
              </w:rPr>
              <w:t>701.26</w:t>
            </w:r>
          </w:p>
        </w:tc>
        <w:tc>
          <w:tcPr>
            <w:tcW w:w="1222" w:type="dxa"/>
          </w:tcPr>
          <w:p w14:paraId="2683C922">
            <w:pPr>
              <w:spacing w:line="230" w:lineRule="exact"/>
              <w:rPr>
                <w:rFonts w:hint="default" w:eastAsia="宋体"/>
                <w:sz w:val="20"/>
                <w:lang w:val="en-US" w:eastAsia="zh-CN"/>
              </w:rPr>
            </w:pPr>
            <w:r>
              <w:rPr>
                <w:rFonts w:hint="eastAsia" w:eastAsia="宋体"/>
                <w:sz w:val="20"/>
                <w:lang w:val="en-US" w:eastAsia="zh-CN"/>
              </w:rPr>
              <w:t>701.26</w:t>
            </w:r>
          </w:p>
        </w:tc>
        <w:tc>
          <w:tcPr>
            <w:tcW w:w="709" w:type="dxa"/>
          </w:tcPr>
          <w:p w14:paraId="7CD42A90">
            <w:pPr>
              <w:pStyle w:val="10"/>
              <w:spacing w:before="69" w:line="161" w:lineRule="exact"/>
              <w:ind w:left="246"/>
              <w:rPr>
                <w:sz w:val="20"/>
                <w:szCs w:val="20"/>
              </w:rPr>
            </w:pPr>
            <w:r>
              <w:rPr>
                <w:spacing w:val="-6"/>
                <w:position w:val="-2"/>
                <w:sz w:val="20"/>
                <w:szCs w:val="20"/>
              </w:rPr>
              <w:t>10</w:t>
            </w:r>
          </w:p>
        </w:tc>
        <w:tc>
          <w:tcPr>
            <w:tcW w:w="829" w:type="dxa"/>
          </w:tcPr>
          <w:p w14:paraId="647DB608">
            <w:pPr>
              <w:spacing w:line="230" w:lineRule="exact"/>
              <w:rPr>
                <w:rFonts w:hint="default" w:eastAsia="宋体"/>
                <w:sz w:val="20"/>
                <w:lang w:val="en-US" w:eastAsia="zh-CN"/>
              </w:rPr>
            </w:pPr>
            <w:r>
              <w:rPr>
                <w:rFonts w:hint="eastAsia" w:eastAsia="宋体"/>
                <w:sz w:val="20"/>
                <w:lang w:val="en-US" w:eastAsia="zh-CN"/>
              </w:rPr>
              <w:t>100%</w:t>
            </w:r>
          </w:p>
        </w:tc>
        <w:tc>
          <w:tcPr>
            <w:tcW w:w="1320" w:type="dxa"/>
          </w:tcPr>
          <w:p w14:paraId="31D9FDA6">
            <w:pPr>
              <w:spacing w:line="230" w:lineRule="exact"/>
              <w:rPr>
                <w:rFonts w:hint="default" w:eastAsia="宋体"/>
                <w:sz w:val="20"/>
                <w:lang w:val="en-US" w:eastAsia="zh-CN"/>
              </w:rPr>
            </w:pPr>
            <w:r>
              <w:rPr>
                <w:rFonts w:hint="eastAsia" w:eastAsia="宋体"/>
                <w:sz w:val="20"/>
                <w:lang w:val="en-US" w:eastAsia="zh-CN"/>
              </w:rPr>
              <w:t>10</w:t>
            </w:r>
          </w:p>
        </w:tc>
      </w:tr>
      <w:tr w14:paraId="65481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91" w:type="dxa"/>
            <w:vMerge w:val="continue"/>
            <w:tcBorders>
              <w:top w:val="nil"/>
              <w:bottom w:val="nil"/>
            </w:tcBorders>
          </w:tcPr>
          <w:p w14:paraId="6787367C"/>
        </w:tc>
        <w:tc>
          <w:tcPr>
            <w:tcW w:w="5705" w:type="dxa"/>
            <w:gridSpan w:val="4"/>
          </w:tcPr>
          <w:p w14:paraId="5D117BA1">
            <w:pPr>
              <w:pStyle w:val="10"/>
              <w:spacing w:before="17" w:line="196" w:lineRule="auto"/>
              <w:ind w:left="101"/>
              <w:rPr>
                <w:sz w:val="20"/>
                <w:szCs w:val="20"/>
              </w:rPr>
            </w:pPr>
            <w:r>
              <w:rPr>
                <w:sz w:val="20"/>
                <w:szCs w:val="20"/>
              </w:rPr>
              <w:t>按收入性质分：</w:t>
            </w:r>
          </w:p>
        </w:tc>
        <w:tc>
          <w:tcPr>
            <w:tcW w:w="4080" w:type="dxa"/>
            <w:gridSpan w:val="4"/>
          </w:tcPr>
          <w:p w14:paraId="15928CAE">
            <w:pPr>
              <w:pStyle w:val="10"/>
              <w:spacing w:before="17" w:line="196" w:lineRule="auto"/>
              <w:ind w:left="105"/>
              <w:rPr>
                <w:sz w:val="20"/>
                <w:szCs w:val="20"/>
              </w:rPr>
            </w:pPr>
            <w:r>
              <w:rPr>
                <w:spacing w:val="-2"/>
                <w:sz w:val="20"/>
                <w:szCs w:val="20"/>
              </w:rPr>
              <w:t>按支出性质分</w:t>
            </w:r>
          </w:p>
        </w:tc>
      </w:tr>
      <w:tr w14:paraId="2A842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91" w:type="dxa"/>
            <w:vMerge w:val="continue"/>
            <w:tcBorders>
              <w:top w:val="nil"/>
              <w:bottom w:val="nil"/>
            </w:tcBorders>
          </w:tcPr>
          <w:p w14:paraId="064E1738"/>
        </w:tc>
        <w:tc>
          <w:tcPr>
            <w:tcW w:w="5705" w:type="dxa"/>
            <w:gridSpan w:val="4"/>
          </w:tcPr>
          <w:p w14:paraId="6972CD7F">
            <w:pPr>
              <w:pStyle w:val="10"/>
              <w:spacing w:before="17" w:line="196" w:lineRule="auto"/>
              <w:ind w:left="101"/>
              <w:rPr>
                <w:rFonts w:hint="default" w:eastAsia="宋体"/>
                <w:sz w:val="20"/>
                <w:szCs w:val="20"/>
                <w:lang w:val="en-US" w:eastAsia="zh-CN"/>
              </w:rPr>
            </w:pPr>
            <w:r>
              <w:rPr>
                <w:spacing w:val="-13"/>
                <w:sz w:val="20"/>
                <w:szCs w:val="20"/>
              </w:rPr>
              <w:t>其中：</w:t>
            </w:r>
            <w:r>
              <w:rPr>
                <w:spacing w:val="10"/>
                <w:sz w:val="20"/>
                <w:szCs w:val="20"/>
              </w:rPr>
              <w:t xml:space="preserve">   </w:t>
            </w:r>
            <w:r>
              <w:rPr>
                <w:spacing w:val="-13"/>
                <w:sz w:val="20"/>
                <w:szCs w:val="20"/>
              </w:rPr>
              <w:t>一般公共预算：</w:t>
            </w:r>
            <w:r>
              <w:rPr>
                <w:rFonts w:hint="eastAsia"/>
                <w:spacing w:val="-13"/>
                <w:sz w:val="20"/>
                <w:szCs w:val="20"/>
                <w:lang w:val="en-US" w:eastAsia="zh-CN"/>
              </w:rPr>
              <w:t>701.26万元</w:t>
            </w:r>
          </w:p>
        </w:tc>
        <w:tc>
          <w:tcPr>
            <w:tcW w:w="4080" w:type="dxa"/>
            <w:gridSpan w:val="4"/>
          </w:tcPr>
          <w:p w14:paraId="0D6CD8FA">
            <w:pPr>
              <w:pStyle w:val="10"/>
              <w:spacing w:before="17" w:line="196" w:lineRule="auto"/>
              <w:ind w:left="105"/>
              <w:rPr>
                <w:rFonts w:hint="default" w:eastAsia="宋体"/>
                <w:sz w:val="20"/>
                <w:szCs w:val="20"/>
                <w:lang w:val="en-US" w:eastAsia="zh-CN"/>
              </w:rPr>
            </w:pPr>
            <w:r>
              <w:rPr>
                <w:spacing w:val="3"/>
                <w:sz w:val="20"/>
                <w:szCs w:val="20"/>
              </w:rPr>
              <w:t>其中：</w:t>
            </w:r>
            <w:r>
              <w:rPr>
                <w:rFonts w:hint="eastAsia"/>
                <w:spacing w:val="3"/>
                <w:sz w:val="20"/>
                <w:szCs w:val="20"/>
                <w:lang w:val="en-US" w:eastAsia="zh-CN"/>
              </w:rPr>
              <w:t xml:space="preserve"> </w:t>
            </w:r>
            <w:r>
              <w:rPr>
                <w:spacing w:val="3"/>
                <w:sz w:val="20"/>
                <w:szCs w:val="20"/>
              </w:rPr>
              <w:t>基本支出</w:t>
            </w:r>
            <w:r>
              <w:rPr>
                <w:rFonts w:hint="eastAsia"/>
                <w:spacing w:val="3"/>
                <w:sz w:val="20"/>
                <w:szCs w:val="20"/>
                <w:lang w:eastAsia="zh-CN"/>
              </w:rPr>
              <w:t>：</w:t>
            </w:r>
            <w:r>
              <w:rPr>
                <w:rFonts w:hint="eastAsia"/>
                <w:spacing w:val="3"/>
                <w:sz w:val="20"/>
                <w:szCs w:val="20"/>
                <w:lang w:val="en-US" w:eastAsia="zh-CN"/>
              </w:rPr>
              <w:t>701.26万元</w:t>
            </w:r>
          </w:p>
        </w:tc>
      </w:tr>
      <w:tr w14:paraId="44DA2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91" w:type="dxa"/>
            <w:vMerge w:val="continue"/>
            <w:tcBorders>
              <w:top w:val="nil"/>
              <w:bottom w:val="nil"/>
            </w:tcBorders>
          </w:tcPr>
          <w:p w14:paraId="5022C108"/>
        </w:tc>
        <w:tc>
          <w:tcPr>
            <w:tcW w:w="5705" w:type="dxa"/>
            <w:gridSpan w:val="4"/>
          </w:tcPr>
          <w:p w14:paraId="1C473AC7">
            <w:pPr>
              <w:pStyle w:val="10"/>
              <w:spacing w:before="17" w:line="187" w:lineRule="auto"/>
              <w:ind w:left="891"/>
              <w:rPr>
                <w:sz w:val="20"/>
                <w:szCs w:val="20"/>
              </w:rPr>
            </w:pPr>
            <w:r>
              <w:rPr>
                <w:sz w:val="20"/>
                <w:szCs w:val="20"/>
              </w:rPr>
              <w:t>政府性基金拨款：</w:t>
            </w:r>
          </w:p>
        </w:tc>
        <w:tc>
          <w:tcPr>
            <w:tcW w:w="4080" w:type="dxa"/>
            <w:gridSpan w:val="4"/>
          </w:tcPr>
          <w:p w14:paraId="2EE549ED">
            <w:pPr>
              <w:pStyle w:val="10"/>
              <w:spacing w:before="18" w:line="186" w:lineRule="auto"/>
              <w:ind w:left="655" w:firstLine="200" w:firstLineChars="100"/>
              <w:rPr>
                <w:rFonts w:hint="default" w:eastAsia="宋体"/>
                <w:sz w:val="20"/>
                <w:szCs w:val="20"/>
                <w:lang w:val="en-US" w:eastAsia="zh-CN"/>
              </w:rPr>
            </w:pPr>
            <w:r>
              <w:rPr>
                <w:rFonts w:hint="eastAsia"/>
                <w:sz w:val="20"/>
                <w:szCs w:val="20"/>
                <w:lang w:val="en-US" w:eastAsia="zh-CN"/>
              </w:rPr>
              <w:t>项目支出：</w:t>
            </w:r>
          </w:p>
        </w:tc>
      </w:tr>
      <w:tr w14:paraId="7F864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91" w:type="dxa"/>
            <w:vMerge w:val="continue"/>
            <w:tcBorders>
              <w:top w:val="nil"/>
              <w:bottom w:val="nil"/>
            </w:tcBorders>
          </w:tcPr>
          <w:p w14:paraId="033C1CB8"/>
        </w:tc>
        <w:tc>
          <w:tcPr>
            <w:tcW w:w="5705" w:type="dxa"/>
            <w:gridSpan w:val="4"/>
          </w:tcPr>
          <w:p w14:paraId="1C06257C">
            <w:pPr>
              <w:pStyle w:val="10"/>
              <w:spacing w:before="27" w:line="195" w:lineRule="auto"/>
              <w:ind w:left="101"/>
              <w:rPr>
                <w:rFonts w:hint="eastAsia" w:eastAsia="宋体"/>
                <w:sz w:val="20"/>
                <w:szCs w:val="20"/>
                <w:lang w:eastAsia="zh-CN"/>
              </w:rPr>
            </w:pPr>
            <w:r>
              <w:rPr>
                <w:spacing w:val="-1"/>
                <w:sz w:val="20"/>
                <w:szCs w:val="20"/>
              </w:rPr>
              <w:t>纳入专户管理的非税收入拨款</w:t>
            </w:r>
            <w:r>
              <w:rPr>
                <w:rFonts w:hint="eastAsia"/>
                <w:spacing w:val="-1"/>
                <w:sz w:val="20"/>
                <w:szCs w:val="20"/>
                <w:lang w:eastAsia="zh-CN"/>
              </w:rPr>
              <w:t>：</w:t>
            </w:r>
          </w:p>
        </w:tc>
        <w:tc>
          <w:tcPr>
            <w:tcW w:w="4080" w:type="dxa"/>
            <w:gridSpan w:val="4"/>
          </w:tcPr>
          <w:p w14:paraId="113FB24F">
            <w:pPr>
              <w:spacing w:line="239" w:lineRule="exact"/>
              <w:rPr>
                <w:sz w:val="20"/>
              </w:rPr>
            </w:pPr>
          </w:p>
        </w:tc>
      </w:tr>
      <w:tr w14:paraId="18ADF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91" w:type="dxa"/>
            <w:vMerge w:val="continue"/>
            <w:tcBorders>
              <w:top w:val="nil"/>
            </w:tcBorders>
          </w:tcPr>
          <w:p w14:paraId="42DA9C2B"/>
        </w:tc>
        <w:tc>
          <w:tcPr>
            <w:tcW w:w="5705" w:type="dxa"/>
            <w:gridSpan w:val="4"/>
          </w:tcPr>
          <w:p w14:paraId="69147491">
            <w:pPr>
              <w:pStyle w:val="10"/>
              <w:spacing w:before="19" w:line="194" w:lineRule="auto"/>
              <w:ind w:left="1461"/>
              <w:rPr>
                <w:sz w:val="20"/>
                <w:szCs w:val="20"/>
              </w:rPr>
            </w:pPr>
            <w:r>
              <w:rPr>
                <w:spacing w:val="-1"/>
                <w:sz w:val="20"/>
                <w:szCs w:val="20"/>
              </w:rPr>
              <w:t>其他资金：</w:t>
            </w:r>
          </w:p>
        </w:tc>
        <w:tc>
          <w:tcPr>
            <w:tcW w:w="4080" w:type="dxa"/>
            <w:gridSpan w:val="4"/>
          </w:tcPr>
          <w:p w14:paraId="72E8F952">
            <w:pPr>
              <w:spacing w:line="230" w:lineRule="exact"/>
              <w:rPr>
                <w:sz w:val="20"/>
              </w:rPr>
            </w:pPr>
          </w:p>
        </w:tc>
      </w:tr>
      <w:tr w14:paraId="6897D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91" w:type="dxa"/>
            <w:vMerge w:val="restart"/>
            <w:tcBorders>
              <w:bottom w:val="nil"/>
            </w:tcBorders>
          </w:tcPr>
          <w:p w14:paraId="59A39ADB">
            <w:pPr>
              <w:spacing w:line="452" w:lineRule="auto"/>
            </w:pPr>
          </w:p>
          <w:p w14:paraId="4EBEF631">
            <w:pPr>
              <w:pStyle w:val="10"/>
              <w:spacing w:before="65" w:line="230" w:lineRule="auto"/>
              <w:ind w:left="315" w:right="137" w:hanging="200"/>
              <w:rPr>
                <w:sz w:val="20"/>
                <w:szCs w:val="20"/>
              </w:rPr>
            </w:pPr>
            <w:r>
              <w:rPr>
                <w:spacing w:val="-3"/>
                <w:sz w:val="20"/>
                <w:szCs w:val="20"/>
              </w:rPr>
              <w:t>年度总体</w:t>
            </w:r>
            <w:r>
              <w:rPr>
                <w:spacing w:val="2"/>
                <w:sz w:val="20"/>
                <w:szCs w:val="20"/>
              </w:rPr>
              <w:t xml:space="preserve"> </w:t>
            </w:r>
            <w:r>
              <w:rPr>
                <w:spacing w:val="8"/>
                <w:sz w:val="20"/>
                <w:szCs w:val="20"/>
              </w:rPr>
              <w:t>目标</w:t>
            </w:r>
          </w:p>
        </w:tc>
        <w:tc>
          <w:tcPr>
            <w:tcW w:w="5705" w:type="dxa"/>
            <w:gridSpan w:val="4"/>
          </w:tcPr>
          <w:p w14:paraId="21917C80">
            <w:pPr>
              <w:pStyle w:val="10"/>
              <w:spacing w:before="19" w:line="194" w:lineRule="auto"/>
              <w:ind w:left="1901"/>
              <w:rPr>
                <w:sz w:val="20"/>
                <w:szCs w:val="20"/>
              </w:rPr>
            </w:pPr>
            <w:r>
              <w:rPr>
                <w:spacing w:val="-2"/>
                <w:sz w:val="20"/>
                <w:szCs w:val="20"/>
              </w:rPr>
              <w:t>预期目标</w:t>
            </w:r>
          </w:p>
        </w:tc>
        <w:tc>
          <w:tcPr>
            <w:tcW w:w="4080" w:type="dxa"/>
            <w:gridSpan w:val="4"/>
          </w:tcPr>
          <w:p w14:paraId="31C6D48D">
            <w:pPr>
              <w:pStyle w:val="10"/>
              <w:spacing w:before="18" w:line="195" w:lineRule="auto"/>
              <w:ind w:left="1515"/>
              <w:rPr>
                <w:sz w:val="20"/>
                <w:szCs w:val="20"/>
              </w:rPr>
            </w:pPr>
            <w:r>
              <w:rPr>
                <w:spacing w:val="1"/>
                <w:sz w:val="20"/>
                <w:szCs w:val="20"/>
              </w:rPr>
              <w:t>实际完成情况</w:t>
            </w:r>
          </w:p>
        </w:tc>
      </w:tr>
      <w:tr w14:paraId="6C6B6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1091" w:type="dxa"/>
            <w:vMerge w:val="continue"/>
            <w:tcBorders>
              <w:top w:val="nil"/>
            </w:tcBorders>
          </w:tcPr>
          <w:p w14:paraId="443FD8A0"/>
        </w:tc>
        <w:tc>
          <w:tcPr>
            <w:tcW w:w="5705" w:type="dxa"/>
            <w:gridSpan w:val="4"/>
          </w:tcPr>
          <w:p w14:paraId="5E1D4737">
            <w:pPr>
              <w:numPr>
                <w:ilvl w:val="0"/>
                <w:numId w:val="1"/>
              </w:numPr>
              <w:rPr>
                <w:rFonts w:hint="eastAsia"/>
                <w:sz w:val="20"/>
                <w:szCs w:val="20"/>
              </w:rPr>
            </w:pPr>
            <w:r>
              <w:rPr>
                <w:rFonts w:hint="eastAsia"/>
                <w:sz w:val="20"/>
                <w:szCs w:val="20"/>
              </w:rPr>
              <w:t>贯彻和执行党和国家的教育方针、政策、法规。</w:t>
            </w:r>
          </w:p>
          <w:p w14:paraId="45A40C09">
            <w:pPr>
              <w:numPr>
                <w:ilvl w:val="0"/>
                <w:numId w:val="1"/>
              </w:numPr>
              <w:ind w:left="0" w:leftChars="0" w:firstLine="0" w:firstLineChars="0"/>
              <w:rPr>
                <w:rFonts w:hint="eastAsia"/>
                <w:sz w:val="20"/>
                <w:szCs w:val="20"/>
              </w:rPr>
            </w:pPr>
            <w:r>
              <w:rPr>
                <w:rFonts w:hint="eastAsia" w:eastAsia="宋体"/>
                <w:sz w:val="20"/>
                <w:szCs w:val="20"/>
                <w:lang w:val="en-US" w:eastAsia="zh-CN"/>
              </w:rPr>
              <w:t>开展</w:t>
            </w:r>
            <w:r>
              <w:rPr>
                <w:rFonts w:hint="eastAsia"/>
                <w:sz w:val="20"/>
                <w:szCs w:val="20"/>
              </w:rPr>
              <w:t>特殊教育</w:t>
            </w:r>
            <w:r>
              <w:rPr>
                <w:rFonts w:hint="eastAsia" w:eastAsia="宋体"/>
                <w:sz w:val="20"/>
                <w:szCs w:val="20"/>
                <w:lang w:val="en-US" w:eastAsia="zh-CN"/>
              </w:rPr>
              <w:t>十五年一贯</w:t>
            </w:r>
            <w:r>
              <w:rPr>
                <w:rFonts w:hint="eastAsia"/>
                <w:sz w:val="20"/>
                <w:szCs w:val="20"/>
              </w:rPr>
              <w:t>教育</w:t>
            </w:r>
            <w:r>
              <w:rPr>
                <w:rFonts w:hint="eastAsia" w:eastAsia="宋体"/>
                <w:sz w:val="20"/>
                <w:szCs w:val="20"/>
                <w:lang w:val="en-US" w:eastAsia="zh-CN"/>
              </w:rPr>
              <w:t>教学工作</w:t>
            </w:r>
            <w:r>
              <w:rPr>
                <w:rFonts w:hint="eastAsia"/>
                <w:sz w:val="20"/>
                <w:szCs w:val="20"/>
              </w:rPr>
              <w:t>。</w:t>
            </w:r>
          </w:p>
          <w:p w14:paraId="09C998DB">
            <w:pPr>
              <w:numPr>
                <w:ilvl w:val="0"/>
                <w:numId w:val="0"/>
              </w:numPr>
              <w:ind w:leftChars="0"/>
            </w:pPr>
            <w:r>
              <w:rPr>
                <w:rFonts w:hint="eastAsia" w:eastAsia="宋体"/>
                <w:sz w:val="20"/>
                <w:szCs w:val="20"/>
                <w:lang w:val="en-US" w:eastAsia="zh-CN"/>
              </w:rPr>
              <w:t>3、</w:t>
            </w:r>
            <w:r>
              <w:rPr>
                <w:rFonts w:hint="eastAsia"/>
                <w:sz w:val="20"/>
                <w:szCs w:val="20"/>
              </w:rPr>
              <w:t>执行财务管理制度，严控三公经费，学校教育经费管理规范。</w:t>
            </w:r>
          </w:p>
        </w:tc>
        <w:tc>
          <w:tcPr>
            <w:tcW w:w="4080" w:type="dxa"/>
            <w:gridSpan w:val="4"/>
          </w:tcPr>
          <w:p w14:paraId="013D5CC3">
            <w:pPr>
              <w:jc w:val="left"/>
              <w:rPr>
                <w:rFonts w:hint="default" w:eastAsia="宋体"/>
                <w:lang w:val="en-US" w:eastAsia="zh-CN"/>
              </w:rPr>
            </w:pPr>
            <w:r>
              <w:rPr>
                <w:rFonts w:hint="eastAsia" w:eastAsia="宋体"/>
                <w:lang w:val="en-US" w:eastAsia="zh-CN"/>
              </w:rPr>
              <w:t>本年度教育教学工作顺利完成，现有学生197人，教师33人，共执行资金701.26万元，充分保障了教师、学生的合法权益。</w:t>
            </w:r>
          </w:p>
        </w:tc>
      </w:tr>
      <w:tr w14:paraId="5D085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91" w:type="dxa"/>
            <w:vMerge w:val="restart"/>
            <w:tcBorders>
              <w:bottom w:val="nil"/>
            </w:tcBorders>
            <w:textDirection w:val="tbRlV"/>
          </w:tcPr>
          <w:p w14:paraId="3B9B06DD">
            <w:pPr>
              <w:spacing w:line="351" w:lineRule="auto"/>
            </w:pPr>
          </w:p>
          <w:p w14:paraId="58B0474C">
            <w:pPr>
              <w:pStyle w:val="10"/>
              <w:spacing w:before="66" w:line="217" w:lineRule="auto"/>
              <w:ind w:left="3122"/>
              <w:rPr>
                <w:sz w:val="20"/>
                <w:szCs w:val="20"/>
              </w:rPr>
            </w:pPr>
            <w:r>
              <w:rPr>
                <w:sz w:val="20"/>
                <w:szCs w:val="20"/>
              </w:rPr>
              <w:t>绩效指标</w:t>
            </w:r>
          </w:p>
        </w:tc>
        <w:tc>
          <w:tcPr>
            <w:tcW w:w="1004" w:type="dxa"/>
          </w:tcPr>
          <w:p w14:paraId="18552EA8">
            <w:pPr>
              <w:pStyle w:val="10"/>
              <w:spacing w:before="140" w:line="220" w:lineRule="auto"/>
              <w:ind w:left="120"/>
              <w:rPr>
                <w:sz w:val="20"/>
                <w:szCs w:val="20"/>
              </w:rPr>
            </w:pPr>
            <w:r>
              <w:rPr>
                <w:spacing w:val="-3"/>
                <w:sz w:val="20"/>
                <w:szCs w:val="20"/>
              </w:rPr>
              <w:t>一级指标</w:t>
            </w:r>
          </w:p>
        </w:tc>
        <w:tc>
          <w:tcPr>
            <w:tcW w:w="1298" w:type="dxa"/>
          </w:tcPr>
          <w:p w14:paraId="28BFE48B">
            <w:pPr>
              <w:pStyle w:val="10"/>
              <w:spacing w:before="140" w:line="220" w:lineRule="auto"/>
              <w:ind w:left="92"/>
              <w:jc w:val="center"/>
              <w:rPr>
                <w:sz w:val="20"/>
                <w:szCs w:val="20"/>
              </w:rPr>
            </w:pPr>
            <w:r>
              <w:rPr>
                <w:spacing w:val="-3"/>
                <w:sz w:val="20"/>
                <w:szCs w:val="20"/>
              </w:rPr>
              <w:t>二级指标</w:t>
            </w:r>
          </w:p>
        </w:tc>
        <w:tc>
          <w:tcPr>
            <w:tcW w:w="1898" w:type="dxa"/>
          </w:tcPr>
          <w:p w14:paraId="22D56B08">
            <w:pPr>
              <w:pStyle w:val="10"/>
              <w:spacing w:before="140" w:line="220" w:lineRule="auto"/>
              <w:ind w:left="213"/>
              <w:rPr>
                <w:sz w:val="20"/>
                <w:szCs w:val="20"/>
              </w:rPr>
            </w:pPr>
            <w:r>
              <w:rPr>
                <w:spacing w:val="-2"/>
                <w:sz w:val="20"/>
                <w:szCs w:val="20"/>
              </w:rPr>
              <w:t>三级指标</w:t>
            </w:r>
          </w:p>
        </w:tc>
        <w:tc>
          <w:tcPr>
            <w:tcW w:w="1505" w:type="dxa"/>
          </w:tcPr>
          <w:p w14:paraId="1EB2351B">
            <w:pPr>
              <w:pStyle w:val="10"/>
              <w:spacing w:before="140" w:line="219" w:lineRule="auto"/>
              <w:ind w:left="143"/>
              <w:rPr>
                <w:sz w:val="20"/>
                <w:szCs w:val="20"/>
              </w:rPr>
            </w:pPr>
            <w:r>
              <w:rPr>
                <w:spacing w:val="-2"/>
                <w:sz w:val="20"/>
                <w:szCs w:val="20"/>
              </w:rPr>
              <w:t>年度指标值</w:t>
            </w:r>
          </w:p>
        </w:tc>
        <w:tc>
          <w:tcPr>
            <w:tcW w:w="1222" w:type="dxa"/>
          </w:tcPr>
          <w:p w14:paraId="252D9307">
            <w:pPr>
              <w:pStyle w:val="10"/>
              <w:spacing w:before="140" w:line="219" w:lineRule="auto"/>
              <w:ind w:left="115"/>
              <w:rPr>
                <w:sz w:val="20"/>
                <w:szCs w:val="20"/>
              </w:rPr>
            </w:pPr>
            <w:r>
              <w:rPr>
                <w:spacing w:val="1"/>
                <w:sz w:val="20"/>
                <w:szCs w:val="20"/>
              </w:rPr>
              <w:t>实际完成值</w:t>
            </w:r>
          </w:p>
        </w:tc>
        <w:tc>
          <w:tcPr>
            <w:tcW w:w="709" w:type="dxa"/>
          </w:tcPr>
          <w:p w14:paraId="1EC9ED50">
            <w:pPr>
              <w:pStyle w:val="10"/>
              <w:spacing w:before="140" w:line="219" w:lineRule="auto"/>
              <w:ind w:left="146"/>
              <w:rPr>
                <w:sz w:val="20"/>
                <w:szCs w:val="20"/>
              </w:rPr>
            </w:pPr>
            <w:r>
              <w:rPr>
                <w:spacing w:val="-3"/>
                <w:sz w:val="20"/>
                <w:szCs w:val="20"/>
              </w:rPr>
              <w:t>分值</w:t>
            </w:r>
          </w:p>
        </w:tc>
        <w:tc>
          <w:tcPr>
            <w:tcW w:w="829" w:type="dxa"/>
          </w:tcPr>
          <w:p w14:paraId="6698BFC6">
            <w:pPr>
              <w:pStyle w:val="10"/>
              <w:spacing w:before="158" w:line="219" w:lineRule="auto"/>
              <w:ind w:left="107"/>
              <w:rPr>
                <w:sz w:val="16"/>
                <w:szCs w:val="16"/>
              </w:rPr>
            </w:pPr>
            <w:r>
              <w:rPr>
                <w:spacing w:val="1"/>
                <w:sz w:val="16"/>
                <w:szCs w:val="16"/>
              </w:rPr>
              <w:t>自评得分</w:t>
            </w:r>
          </w:p>
        </w:tc>
        <w:tc>
          <w:tcPr>
            <w:tcW w:w="1320" w:type="dxa"/>
          </w:tcPr>
          <w:p w14:paraId="27288115">
            <w:pPr>
              <w:pStyle w:val="10"/>
              <w:spacing w:before="9" w:line="212" w:lineRule="auto"/>
              <w:ind w:left="97" w:right="112" w:firstLine="10"/>
              <w:rPr>
                <w:sz w:val="20"/>
                <w:szCs w:val="20"/>
              </w:rPr>
            </w:pPr>
            <w:r>
              <w:rPr>
                <w:spacing w:val="-2"/>
                <w:sz w:val="20"/>
                <w:szCs w:val="20"/>
              </w:rPr>
              <w:t>偏差原因分析及改进措施</w:t>
            </w:r>
          </w:p>
        </w:tc>
      </w:tr>
      <w:tr w14:paraId="1C519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091" w:type="dxa"/>
            <w:vMerge w:val="continue"/>
            <w:tcBorders>
              <w:top w:val="nil"/>
              <w:bottom w:val="nil"/>
            </w:tcBorders>
            <w:textDirection w:val="tbRlV"/>
          </w:tcPr>
          <w:p w14:paraId="77C0E81F"/>
        </w:tc>
        <w:tc>
          <w:tcPr>
            <w:tcW w:w="1004" w:type="dxa"/>
            <w:vMerge w:val="restart"/>
            <w:tcBorders>
              <w:bottom w:val="nil"/>
            </w:tcBorders>
          </w:tcPr>
          <w:p w14:paraId="11FB8F18">
            <w:pPr>
              <w:spacing w:line="264" w:lineRule="auto"/>
            </w:pPr>
          </w:p>
          <w:p w14:paraId="7A510021">
            <w:pPr>
              <w:spacing w:line="265" w:lineRule="auto"/>
            </w:pPr>
          </w:p>
          <w:p w14:paraId="1372BA94">
            <w:pPr>
              <w:spacing w:line="265" w:lineRule="auto"/>
            </w:pPr>
          </w:p>
          <w:p w14:paraId="17E50581">
            <w:pPr>
              <w:spacing w:line="265" w:lineRule="auto"/>
            </w:pPr>
          </w:p>
          <w:p w14:paraId="3AC989B8">
            <w:pPr>
              <w:pStyle w:val="10"/>
              <w:spacing w:before="65" w:line="491" w:lineRule="exact"/>
              <w:ind w:left="120"/>
              <w:rPr>
                <w:sz w:val="20"/>
                <w:szCs w:val="20"/>
              </w:rPr>
            </w:pPr>
            <w:r>
              <w:rPr>
                <w:spacing w:val="-2"/>
                <w:position w:val="22"/>
                <w:sz w:val="20"/>
                <w:szCs w:val="20"/>
              </w:rPr>
              <w:t>产出指标</w:t>
            </w:r>
          </w:p>
          <w:p w14:paraId="411744F0">
            <w:pPr>
              <w:pStyle w:val="10"/>
              <w:spacing w:line="220" w:lineRule="auto"/>
              <w:ind w:left="221"/>
              <w:rPr>
                <w:sz w:val="20"/>
                <w:szCs w:val="20"/>
              </w:rPr>
            </w:pPr>
            <w:r>
              <w:rPr>
                <w:spacing w:val="8"/>
                <w:sz w:val="20"/>
                <w:szCs w:val="20"/>
              </w:rPr>
              <w:t>(50分)</w:t>
            </w:r>
          </w:p>
        </w:tc>
        <w:tc>
          <w:tcPr>
            <w:tcW w:w="1298" w:type="dxa"/>
            <w:tcBorders>
              <w:bottom w:val="nil"/>
            </w:tcBorders>
          </w:tcPr>
          <w:p w14:paraId="5188BEFE">
            <w:pPr>
              <w:pStyle w:val="10"/>
              <w:spacing w:before="271" w:line="219" w:lineRule="auto"/>
              <w:jc w:val="center"/>
              <w:rPr>
                <w:sz w:val="20"/>
                <w:szCs w:val="20"/>
              </w:rPr>
            </w:pPr>
            <w:r>
              <w:rPr>
                <w:spacing w:val="-2"/>
                <w:sz w:val="20"/>
                <w:szCs w:val="20"/>
              </w:rPr>
              <w:t>数量指标</w:t>
            </w:r>
          </w:p>
        </w:tc>
        <w:tc>
          <w:tcPr>
            <w:tcW w:w="1898" w:type="dxa"/>
          </w:tcPr>
          <w:p w14:paraId="4E52B169">
            <w:pPr>
              <w:spacing w:line="240" w:lineRule="auto"/>
              <w:jc w:val="center"/>
              <w:rPr>
                <w:sz w:val="15"/>
                <w:szCs w:val="15"/>
              </w:rPr>
            </w:pPr>
            <w:r>
              <w:rPr>
                <w:rFonts w:hint="eastAsia"/>
                <w:sz w:val="15"/>
                <w:szCs w:val="15"/>
              </w:rPr>
              <w:t>实施特殊教育义务教育，促进特殊教育发展；一切为教学服务，提高师生整体素质。</w:t>
            </w:r>
          </w:p>
        </w:tc>
        <w:tc>
          <w:tcPr>
            <w:tcW w:w="1505" w:type="dxa"/>
          </w:tcPr>
          <w:p w14:paraId="53E2E155">
            <w:pPr>
              <w:spacing w:line="240" w:lineRule="auto"/>
              <w:jc w:val="center"/>
              <w:rPr>
                <w:sz w:val="15"/>
                <w:szCs w:val="15"/>
              </w:rPr>
            </w:pPr>
            <w:r>
              <w:rPr>
                <w:rFonts w:hint="eastAsia"/>
                <w:sz w:val="15"/>
                <w:szCs w:val="15"/>
              </w:rPr>
              <w:t>学生数</w:t>
            </w:r>
            <w:r>
              <w:rPr>
                <w:rFonts w:hint="eastAsia" w:eastAsia="宋体"/>
                <w:sz w:val="15"/>
                <w:szCs w:val="15"/>
                <w:lang w:val="en-US" w:eastAsia="zh-CN"/>
              </w:rPr>
              <w:t>211</w:t>
            </w:r>
            <w:r>
              <w:rPr>
                <w:rFonts w:hint="eastAsia"/>
                <w:sz w:val="15"/>
                <w:szCs w:val="15"/>
              </w:rPr>
              <w:t>人，教师数</w:t>
            </w:r>
            <w:r>
              <w:rPr>
                <w:rFonts w:hint="eastAsia" w:eastAsia="宋体"/>
                <w:sz w:val="15"/>
                <w:szCs w:val="15"/>
                <w:lang w:val="en-US" w:eastAsia="zh-CN"/>
              </w:rPr>
              <w:t>33</w:t>
            </w:r>
            <w:r>
              <w:rPr>
                <w:rFonts w:hint="eastAsia"/>
                <w:sz w:val="15"/>
                <w:szCs w:val="15"/>
              </w:rPr>
              <w:t>人。</w:t>
            </w:r>
          </w:p>
        </w:tc>
        <w:tc>
          <w:tcPr>
            <w:tcW w:w="1222" w:type="dxa"/>
          </w:tcPr>
          <w:p w14:paraId="42433F30">
            <w:pPr>
              <w:spacing w:line="240" w:lineRule="auto"/>
              <w:jc w:val="center"/>
              <w:rPr>
                <w:sz w:val="15"/>
                <w:szCs w:val="15"/>
              </w:rPr>
            </w:pPr>
            <w:r>
              <w:rPr>
                <w:rFonts w:hint="eastAsia" w:eastAsia="宋体"/>
                <w:sz w:val="15"/>
                <w:szCs w:val="15"/>
                <w:lang w:val="en-US" w:eastAsia="zh-CN"/>
              </w:rPr>
              <w:t>学生数197人，教师数33人。</w:t>
            </w:r>
          </w:p>
        </w:tc>
        <w:tc>
          <w:tcPr>
            <w:tcW w:w="709" w:type="dxa"/>
          </w:tcPr>
          <w:p w14:paraId="328E026A">
            <w:pPr>
              <w:spacing w:line="240" w:lineRule="auto"/>
              <w:jc w:val="center"/>
              <w:rPr>
                <w:rFonts w:hint="default" w:eastAsia="宋体"/>
                <w:sz w:val="15"/>
                <w:szCs w:val="15"/>
                <w:lang w:val="en-US" w:eastAsia="zh-CN"/>
              </w:rPr>
            </w:pPr>
            <w:r>
              <w:rPr>
                <w:rFonts w:hint="eastAsia" w:eastAsia="宋体"/>
                <w:sz w:val="15"/>
                <w:szCs w:val="15"/>
                <w:lang w:val="en-US" w:eastAsia="zh-CN"/>
              </w:rPr>
              <w:t>15</w:t>
            </w:r>
          </w:p>
        </w:tc>
        <w:tc>
          <w:tcPr>
            <w:tcW w:w="829" w:type="dxa"/>
          </w:tcPr>
          <w:p w14:paraId="2AFC4C54">
            <w:pPr>
              <w:spacing w:line="240" w:lineRule="auto"/>
              <w:jc w:val="center"/>
              <w:rPr>
                <w:rFonts w:hint="default" w:eastAsia="宋体"/>
                <w:sz w:val="15"/>
                <w:szCs w:val="15"/>
                <w:lang w:val="en-US" w:eastAsia="zh-CN"/>
              </w:rPr>
            </w:pPr>
            <w:r>
              <w:rPr>
                <w:rFonts w:hint="eastAsia" w:eastAsia="宋体"/>
                <w:sz w:val="15"/>
                <w:szCs w:val="15"/>
                <w:lang w:val="en-US" w:eastAsia="zh-CN"/>
              </w:rPr>
              <w:t>10</w:t>
            </w:r>
          </w:p>
        </w:tc>
        <w:tc>
          <w:tcPr>
            <w:tcW w:w="1320" w:type="dxa"/>
          </w:tcPr>
          <w:p w14:paraId="5F787444">
            <w:pPr>
              <w:spacing w:line="240" w:lineRule="auto"/>
              <w:jc w:val="center"/>
              <w:rPr>
                <w:rFonts w:hint="default" w:eastAsia="宋体"/>
                <w:sz w:val="15"/>
                <w:szCs w:val="15"/>
                <w:lang w:val="en-US" w:eastAsia="zh-CN"/>
              </w:rPr>
            </w:pPr>
            <w:r>
              <w:rPr>
                <w:rFonts w:hint="eastAsia" w:eastAsia="宋体"/>
                <w:sz w:val="15"/>
                <w:szCs w:val="15"/>
                <w:lang w:val="en-US" w:eastAsia="zh-CN"/>
              </w:rPr>
              <w:t>因本年度毕业学生人数较多且应要求发展融合教育，部分程度较好的学生进普校随班就读学习，导致我校学生人数有所减少。</w:t>
            </w:r>
          </w:p>
        </w:tc>
      </w:tr>
      <w:tr w14:paraId="2283D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91" w:type="dxa"/>
            <w:vMerge w:val="continue"/>
            <w:tcBorders>
              <w:top w:val="nil"/>
              <w:bottom w:val="nil"/>
            </w:tcBorders>
            <w:textDirection w:val="tbRlV"/>
          </w:tcPr>
          <w:p w14:paraId="57BB56F7"/>
        </w:tc>
        <w:tc>
          <w:tcPr>
            <w:tcW w:w="1004" w:type="dxa"/>
            <w:vMerge w:val="continue"/>
            <w:tcBorders>
              <w:top w:val="nil"/>
              <w:bottom w:val="nil"/>
            </w:tcBorders>
          </w:tcPr>
          <w:p w14:paraId="03A7B5D0"/>
        </w:tc>
        <w:tc>
          <w:tcPr>
            <w:tcW w:w="1298" w:type="dxa"/>
            <w:tcBorders>
              <w:bottom w:val="nil"/>
            </w:tcBorders>
          </w:tcPr>
          <w:p w14:paraId="6FD135DF">
            <w:pPr>
              <w:pStyle w:val="10"/>
              <w:spacing w:before="271" w:line="220" w:lineRule="auto"/>
              <w:jc w:val="center"/>
              <w:rPr>
                <w:sz w:val="20"/>
                <w:szCs w:val="20"/>
              </w:rPr>
            </w:pPr>
            <w:r>
              <w:rPr>
                <w:spacing w:val="-2"/>
                <w:sz w:val="20"/>
                <w:szCs w:val="20"/>
              </w:rPr>
              <w:t>质量指标</w:t>
            </w:r>
          </w:p>
        </w:tc>
        <w:tc>
          <w:tcPr>
            <w:tcW w:w="1898" w:type="dxa"/>
          </w:tcPr>
          <w:p w14:paraId="73E7B1FE">
            <w:pPr>
              <w:spacing w:line="240" w:lineRule="auto"/>
              <w:jc w:val="center"/>
              <w:rPr>
                <w:sz w:val="15"/>
                <w:szCs w:val="15"/>
              </w:rPr>
            </w:pPr>
            <w:r>
              <w:rPr>
                <w:rFonts w:hint="eastAsia"/>
                <w:sz w:val="15"/>
                <w:szCs w:val="15"/>
              </w:rPr>
              <w:t>有效开展特殊</w:t>
            </w:r>
            <w:r>
              <w:rPr>
                <w:rFonts w:hint="eastAsia" w:eastAsia="宋体"/>
                <w:sz w:val="15"/>
                <w:szCs w:val="15"/>
                <w:lang w:eastAsia="zh-CN"/>
              </w:rPr>
              <w:t>教育</w:t>
            </w:r>
            <w:r>
              <w:rPr>
                <w:rFonts w:hint="eastAsia" w:eastAsia="宋体"/>
                <w:sz w:val="15"/>
                <w:szCs w:val="15"/>
                <w:lang w:val="en-US" w:eastAsia="zh-CN"/>
              </w:rPr>
              <w:t>教学</w:t>
            </w:r>
            <w:r>
              <w:rPr>
                <w:rFonts w:hint="eastAsia"/>
                <w:sz w:val="15"/>
                <w:szCs w:val="15"/>
              </w:rPr>
              <w:t>活动。</w:t>
            </w:r>
          </w:p>
        </w:tc>
        <w:tc>
          <w:tcPr>
            <w:tcW w:w="1505" w:type="dxa"/>
          </w:tcPr>
          <w:p w14:paraId="3F5A6B07">
            <w:pPr>
              <w:spacing w:line="240" w:lineRule="auto"/>
              <w:jc w:val="center"/>
              <w:rPr>
                <w:sz w:val="15"/>
                <w:szCs w:val="15"/>
              </w:rPr>
            </w:pPr>
            <w:r>
              <w:rPr>
                <w:rFonts w:hint="eastAsia"/>
                <w:sz w:val="15"/>
                <w:szCs w:val="15"/>
              </w:rPr>
              <w:t>100%</w:t>
            </w:r>
          </w:p>
        </w:tc>
        <w:tc>
          <w:tcPr>
            <w:tcW w:w="1222" w:type="dxa"/>
          </w:tcPr>
          <w:p w14:paraId="5C465AC1">
            <w:pPr>
              <w:spacing w:line="240" w:lineRule="auto"/>
              <w:jc w:val="center"/>
              <w:rPr>
                <w:rFonts w:hint="default" w:eastAsia="宋体"/>
                <w:sz w:val="15"/>
                <w:szCs w:val="15"/>
                <w:lang w:val="en-US" w:eastAsia="zh-CN"/>
              </w:rPr>
            </w:pPr>
            <w:r>
              <w:rPr>
                <w:rFonts w:hint="eastAsia" w:eastAsia="宋体"/>
                <w:sz w:val="15"/>
                <w:szCs w:val="15"/>
                <w:lang w:val="en-US" w:eastAsia="zh-CN"/>
              </w:rPr>
              <w:t>100%</w:t>
            </w:r>
          </w:p>
        </w:tc>
        <w:tc>
          <w:tcPr>
            <w:tcW w:w="709" w:type="dxa"/>
          </w:tcPr>
          <w:p w14:paraId="0D6B0B11">
            <w:pPr>
              <w:spacing w:line="240" w:lineRule="auto"/>
              <w:jc w:val="center"/>
              <w:rPr>
                <w:rFonts w:hint="default" w:eastAsia="宋体"/>
                <w:sz w:val="15"/>
                <w:szCs w:val="15"/>
                <w:lang w:val="en-US" w:eastAsia="zh-CN"/>
              </w:rPr>
            </w:pPr>
            <w:r>
              <w:rPr>
                <w:rFonts w:hint="eastAsia" w:eastAsia="宋体"/>
                <w:sz w:val="15"/>
                <w:szCs w:val="15"/>
                <w:lang w:val="en-US" w:eastAsia="zh-CN"/>
              </w:rPr>
              <w:t>10</w:t>
            </w:r>
          </w:p>
        </w:tc>
        <w:tc>
          <w:tcPr>
            <w:tcW w:w="829" w:type="dxa"/>
          </w:tcPr>
          <w:p w14:paraId="1C1DEE06">
            <w:pPr>
              <w:spacing w:line="240" w:lineRule="auto"/>
              <w:jc w:val="center"/>
              <w:rPr>
                <w:rFonts w:hint="default" w:eastAsia="宋体"/>
                <w:sz w:val="15"/>
                <w:szCs w:val="15"/>
                <w:lang w:val="en-US" w:eastAsia="zh-CN"/>
              </w:rPr>
            </w:pPr>
            <w:r>
              <w:rPr>
                <w:rFonts w:hint="eastAsia" w:eastAsia="宋体"/>
                <w:sz w:val="15"/>
                <w:szCs w:val="15"/>
                <w:lang w:val="en-US" w:eastAsia="zh-CN"/>
              </w:rPr>
              <w:t>10</w:t>
            </w:r>
          </w:p>
        </w:tc>
        <w:tc>
          <w:tcPr>
            <w:tcW w:w="1320" w:type="dxa"/>
          </w:tcPr>
          <w:p w14:paraId="0189707A">
            <w:pPr>
              <w:spacing w:line="240" w:lineRule="auto"/>
              <w:jc w:val="center"/>
              <w:rPr>
                <w:sz w:val="15"/>
                <w:szCs w:val="15"/>
              </w:rPr>
            </w:pPr>
            <w:r>
              <w:rPr>
                <w:rFonts w:hint="eastAsia" w:eastAsia="宋体"/>
                <w:sz w:val="15"/>
                <w:szCs w:val="15"/>
                <w:lang w:eastAsia="zh-CN"/>
              </w:rPr>
              <w:t>无</w:t>
            </w:r>
          </w:p>
        </w:tc>
      </w:tr>
      <w:tr w14:paraId="596F5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 w:hRule="atLeast"/>
        </w:trPr>
        <w:tc>
          <w:tcPr>
            <w:tcW w:w="1091" w:type="dxa"/>
            <w:vMerge w:val="continue"/>
            <w:tcBorders>
              <w:top w:val="nil"/>
              <w:bottom w:val="nil"/>
            </w:tcBorders>
            <w:textDirection w:val="tbRlV"/>
          </w:tcPr>
          <w:p w14:paraId="403FAE86"/>
        </w:tc>
        <w:tc>
          <w:tcPr>
            <w:tcW w:w="1004" w:type="dxa"/>
            <w:vMerge w:val="continue"/>
            <w:tcBorders>
              <w:top w:val="nil"/>
              <w:bottom w:val="nil"/>
            </w:tcBorders>
          </w:tcPr>
          <w:p w14:paraId="0D68FDE0"/>
        </w:tc>
        <w:tc>
          <w:tcPr>
            <w:tcW w:w="1298" w:type="dxa"/>
            <w:tcBorders>
              <w:bottom w:val="nil"/>
            </w:tcBorders>
          </w:tcPr>
          <w:p w14:paraId="7A6A41EF">
            <w:pPr>
              <w:pStyle w:val="10"/>
              <w:spacing w:before="281" w:line="220" w:lineRule="auto"/>
              <w:jc w:val="center"/>
              <w:rPr>
                <w:sz w:val="20"/>
                <w:szCs w:val="20"/>
              </w:rPr>
            </w:pPr>
            <w:r>
              <w:rPr>
                <w:spacing w:val="1"/>
                <w:sz w:val="20"/>
                <w:szCs w:val="20"/>
              </w:rPr>
              <w:t>时效指标</w:t>
            </w:r>
          </w:p>
        </w:tc>
        <w:tc>
          <w:tcPr>
            <w:tcW w:w="1898" w:type="dxa"/>
          </w:tcPr>
          <w:p w14:paraId="44B4332D">
            <w:pPr>
              <w:spacing w:line="240" w:lineRule="auto"/>
              <w:jc w:val="center"/>
              <w:rPr>
                <w:sz w:val="15"/>
                <w:szCs w:val="15"/>
              </w:rPr>
            </w:pPr>
            <w:r>
              <w:rPr>
                <w:rFonts w:hint="eastAsia"/>
                <w:sz w:val="15"/>
                <w:szCs w:val="15"/>
              </w:rPr>
              <w:t>全年</w:t>
            </w:r>
          </w:p>
        </w:tc>
        <w:tc>
          <w:tcPr>
            <w:tcW w:w="1505" w:type="dxa"/>
          </w:tcPr>
          <w:p w14:paraId="32EFD2D6">
            <w:pPr>
              <w:spacing w:line="240" w:lineRule="auto"/>
              <w:jc w:val="center"/>
              <w:rPr>
                <w:sz w:val="15"/>
                <w:szCs w:val="15"/>
              </w:rPr>
            </w:pPr>
            <w:r>
              <w:rPr>
                <w:rFonts w:hint="eastAsia"/>
                <w:sz w:val="15"/>
                <w:szCs w:val="15"/>
              </w:rPr>
              <w:t>100%</w:t>
            </w:r>
          </w:p>
        </w:tc>
        <w:tc>
          <w:tcPr>
            <w:tcW w:w="1222" w:type="dxa"/>
          </w:tcPr>
          <w:p w14:paraId="04E8635A">
            <w:pPr>
              <w:spacing w:line="240" w:lineRule="auto"/>
              <w:jc w:val="center"/>
              <w:rPr>
                <w:b w:val="0"/>
                <w:bCs w:val="0"/>
                <w:sz w:val="15"/>
                <w:szCs w:val="15"/>
              </w:rPr>
            </w:pPr>
            <w:r>
              <w:rPr>
                <w:rFonts w:hint="eastAsia"/>
                <w:b w:val="0"/>
                <w:bCs w:val="0"/>
                <w:sz w:val="15"/>
                <w:szCs w:val="15"/>
              </w:rPr>
              <w:t>100%</w:t>
            </w:r>
          </w:p>
        </w:tc>
        <w:tc>
          <w:tcPr>
            <w:tcW w:w="709" w:type="dxa"/>
          </w:tcPr>
          <w:p w14:paraId="36585E19">
            <w:pPr>
              <w:spacing w:line="240" w:lineRule="auto"/>
              <w:jc w:val="center"/>
              <w:rPr>
                <w:rFonts w:hint="default" w:eastAsia="宋体"/>
                <w:sz w:val="15"/>
                <w:szCs w:val="15"/>
                <w:lang w:val="en-US" w:eastAsia="zh-CN"/>
              </w:rPr>
            </w:pPr>
            <w:r>
              <w:rPr>
                <w:rFonts w:hint="eastAsia" w:eastAsia="宋体"/>
                <w:sz w:val="15"/>
                <w:szCs w:val="15"/>
                <w:lang w:val="en-US" w:eastAsia="zh-CN"/>
              </w:rPr>
              <w:t>10</w:t>
            </w:r>
          </w:p>
        </w:tc>
        <w:tc>
          <w:tcPr>
            <w:tcW w:w="829" w:type="dxa"/>
          </w:tcPr>
          <w:p w14:paraId="68505BC0">
            <w:pPr>
              <w:spacing w:line="240" w:lineRule="auto"/>
              <w:jc w:val="center"/>
              <w:rPr>
                <w:rFonts w:hint="default" w:eastAsia="宋体"/>
                <w:sz w:val="15"/>
                <w:szCs w:val="15"/>
                <w:lang w:val="en-US" w:eastAsia="zh-CN"/>
              </w:rPr>
            </w:pPr>
            <w:r>
              <w:rPr>
                <w:rFonts w:hint="eastAsia" w:eastAsia="宋体"/>
                <w:sz w:val="15"/>
                <w:szCs w:val="15"/>
                <w:lang w:val="en-US" w:eastAsia="zh-CN"/>
              </w:rPr>
              <w:t>10</w:t>
            </w:r>
          </w:p>
        </w:tc>
        <w:tc>
          <w:tcPr>
            <w:tcW w:w="1320" w:type="dxa"/>
          </w:tcPr>
          <w:p w14:paraId="2FCE43AA">
            <w:pPr>
              <w:spacing w:line="240" w:lineRule="auto"/>
              <w:jc w:val="center"/>
              <w:rPr>
                <w:sz w:val="15"/>
                <w:szCs w:val="15"/>
              </w:rPr>
            </w:pPr>
            <w:r>
              <w:rPr>
                <w:rFonts w:hint="eastAsia" w:eastAsia="宋体"/>
                <w:sz w:val="15"/>
                <w:szCs w:val="15"/>
                <w:lang w:eastAsia="zh-CN"/>
              </w:rPr>
              <w:t>无</w:t>
            </w:r>
          </w:p>
        </w:tc>
      </w:tr>
      <w:tr w14:paraId="6EDD4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091" w:type="dxa"/>
            <w:vMerge w:val="continue"/>
            <w:tcBorders>
              <w:top w:val="nil"/>
              <w:bottom w:val="nil"/>
            </w:tcBorders>
            <w:textDirection w:val="tbRlV"/>
          </w:tcPr>
          <w:p w14:paraId="589FF7EE"/>
        </w:tc>
        <w:tc>
          <w:tcPr>
            <w:tcW w:w="1004" w:type="dxa"/>
            <w:vMerge w:val="continue"/>
            <w:tcBorders>
              <w:top w:val="nil"/>
              <w:bottom w:val="nil"/>
            </w:tcBorders>
          </w:tcPr>
          <w:p w14:paraId="11AFFBB0"/>
        </w:tc>
        <w:tc>
          <w:tcPr>
            <w:tcW w:w="1298" w:type="dxa"/>
            <w:tcBorders>
              <w:bottom w:val="nil"/>
            </w:tcBorders>
          </w:tcPr>
          <w:p w14:paraId="6C4AF16A">
            <w:pPr>
              <w:pStyle w:val="10"/>
              <w:spacing w:before="270" w:line="219" w:lineRule="auto"/>
              <w:jc w:val="center"/>
              <w:rPr>
                <w:sz w:val="20"/>
                <w:szCs w:val="20"/>
              </w:rPr>
            </w:pPr>
            <w:r>
              <w:rPr>
                <w:spacing w:val="-2"/>
                <w:sz w:val="20"/>
                <w:szCs w:val="20"/>
              </w:rPr>
              <w:t>成本指标</w:t>
            </w:r>
          </w:p>
        </w:tc>
        <w:tc>
          <w:tcPr>
            <w:tcW w:w="1898" w:type="dxa"/>
          </w:tcPr>
          <w:p w14:paraId="7AB3F97F">
            <w:pPr>
              <w:spacing w:line="240" w:lineRule="auto"/>
              <w:jc w:val="center"/>
              <w:rPr>
                <w:sz w:val="15"/>
                <w:szCs w:val="15"/>
              </w:rPr>
            </w:pPr>
            <w:r>
              <w:rPr>
                <w:rFonts w:hint="eastAsia"/>
                <w:sz w:val="15"/>
                <w:szCs w:val="15"/>
              </w:rPr>
              <w:t>严格执行财务管理制度，合理安排资金；保证</w:t>
            </w:r>
            <w:r>
              <w:rPr>
                <w:rFonts w:hint="eastAsia" w:eastAsia="宋体"/>
                <w:sz w:val="15"/>
                <w:szCs w:val="15"/>
                <w:lang w:eastAsia="zh-CN"/>
              </w:rPr>
              <w:t>必需的</w:t>
            </w:r>
            <w:r>
              <w:rPr>
                <w:rFonts w:hint="eastAsia"/>
                <w:sz w:val="15"/>
                <w:szCs w:val="15"/>
              </w:rPr>
              <w:t>教育教学活动。</w:t>
            </w:r>
          </w:p>
        </w:tc>
        <w:tc>
          <w:tcPr>
            <w:tcW w:w="1505" w:type="dxa"/>
          </w:tcPr>
          <w:p w14:paraId="4DA85986">
            <w:pPr>
              <w:spacing w:line="240" w:lineRule="auto"/>
              <w:jc w:val="center"/>
              <w:rPr>
                <w:sz w:val="15"/>
                <w:szCs w:val="15"/>
              </w:rPr>
            </w:pPr>
            <w:r>
              <w:rPr>
                <w:rFonts w:hint="eastAsia"/>
                <w:sz w:val="15"/>
                <w:szCs w:val="15"/>
              </w:rPr>
              <w:t>全年</w:t>
            </w:r>
            <w:r>
              <w:rPr>
                <w:rFonts w:hint="eastAsia" w:eastAsia="宋体"/>
                <w:sz w:val="15"/>
                <w:szCs w:val="15"/>
                <w:lang w:val="en-US" w:eastAsia="zh-CN"/>
              </w:rPr>
              <w:t>支出488.56万元</w:t>
            </w:r>
            <w:r>
              <w:rPr>
                <w:rFonts w:hint="eastAsia"/>
                <w:sz w:val="15"/>
                <w:szCs w:val="15"/>
              </w:rPr>
              <w:t>。</w:t>
            </w:r>
          </w:p>
        </w:tc>
        <w:tc>
          <w:tcPr>
            <w:tcW w:w="1222" w:type="dxa"/>
          </w:tcPr>
          <w:p w14:paraId="21C7F990">
            <w:pPr>
              <w:spacing w:line="240" w:lineRule="auto"/>
              <w:jc w:val="center"/>
              <w:rPr>
                <w:rFonts w:hint="default" w:eastAsia="宋体"/>
                <w:sz w:val="15"/>
                <w:szCs w:val="15"/>
                <w:lang w:val="en-US" w:eastAsia="zh-CN"/>
              </w:rPr>
            </w:pPr>
            <w:r>
              <w:rPr>
                <w:rFonts w:hint="eastAsia" w:eastAsia="宋体"/>
                <w:sz w:val="15"/>
                <w:szCs w:val="15"/>
                <w:lang w:val="en-US" w:eastAsia="zh-CN"/>
              </w:rPr>
              <w:t>全年支出701.26万元。</w:t>
            </w:r>
          </w:p>
        </w:tc>
        <w:tc>
          <w:tcPr>
            <w:tcW w:w="709" w:type="dxa"/>
          </w:tcPr>
          <w:p w14:paraId="74BA0D14">
            <w:pPr>
              <w:spacing w:line="240" w:lineRule="auto"/>
              <w:jc w:val="center"/>
              <w:rPr>
                <w:rFonts w:hint="default" w:eastAsia="宋体"/>
                <w:sz w:val="15"/>
                <w:szCs w:val="15"/>
                <w:lang w:val="en-US" w:eastAsia="zh-CN"/>
              </w:rPr>
            </w:pPr>
            <w:r>
              <w:rPr>
                <w:rFonts w:hint="eastAsia" w:eastAsia="宋体"/>
                <w:sz w:val="15"/>
                <w:szCs w:val="15"/>
                <w:lang w:val="en-US" w:eastAsia="zh-CN"/>
              </w:rPr>
              <w:t>15</w:t>
            </w:r>
          </w:p>
        </w:tc>
        <w:tc>
          <w:tcPr>
            <w:tcW w:w="829" w:type="dxa"/>
          </w:tcPr>
          <w:p w14:paraId="03D84EF3">
            <w:pPr>
              <w:spacing w:line="240" w:lineRule="auto"/>
              <w:jc w:val="center"/>
              <w:rPr>
                <w:rFonts w:hint="default" w:eastAsia="宋体"/>
                <w:sz w:val="15"/>
                <w:szCs w:val="15"/>
                <w:lang w:val="en-US" w:eastAsia="zh-CN"/>
              </w:rPr>
            </w:pPr>
            <w:r>
              <w:rPr>
                <w:rFonts w:hint="eastAsia" w:eastAsia="宋体"/>
                <w:sz w:val="15"/>
                <w:szCs w:val="15"/>
                <w:lang w:val="en-US" w:eastAsia="zh-CN"/>
              </w:rPr>
              <w:t>15</w:t>
            </w:r>
          </w:p>
        </w:tc>
        <w:tc>
          <w:tcPr>
            <w:tcW w:w="1320" w:type="dxa"/>
          </w:tcPr>
          <w:p w14:paraId="77901576">
            <w:pPr>
              <w:spacing w:line="240" w:lineRule="auto"/>
              <w:jc w:val="center"/>
              <w:rPr>
                <w:rFonts w:hint="default"/>
                <w:sz w:val="15"/>
                <w:szCs w:val="15"/>
                <w:lang w:val="en-US"/>
              </w:rPr>
            </w:pPr>
            <w:r>
              <w:rPr>
                <w:rFonts w:hint="eastAsia" w:eastAsia="宋体"/>
                <w:sz w:val="15"/>
                <w:szCs w:val="15"/>
                <w:lang w:val="en-US" w:eastAsia="zh-CN"/>
              </w:rPr>
              <w:t>年初预算时本单位的生均公用经费由财政进行预算，故预算数中无生均公用经费数据，导致数值有偏差。</w:t>
            </w:r>
          </w:p>
        </w:tc>
      </w:tr>
      <w:tr w14:paraId="15DA1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091" w:type="dxa"/>
            <w:vMerge w:val="continue"/>
            <w:tcBorders>
              <w:top w:val="nil"/>
              <w:bottom w:val="nil"/>
            </w:tcBorders>
            <w:textDirection w:val="tbRlV"/>
          </w:tcPr>
          <w:p w14:paraId="5F75E9D5"/>
        </w:tc>
        <w:tc>
          <w:tcPr>
            <w:tcW w:w="1004" w:type="dxa"/>
            <w:vMerge w:val="restart"/>
            <w:tcBorders>
              <w:bottom w:val="nil"/>
            </w:tcBorders>
          </w:tcPr>
          <w:p w14:paraId="0A734BD7">
            <w:pPr>
              <w:spacing w:line="250" w:lineRule="auto"/>
            </w:pPr>
          </w:p>
          <w:p w14:paraId="427CEB87">
            <w:pPr>
              <w:spacing w:line="250" w:lineRule="auto"/>
            </w:pPr>
          </w:p>
          <w:p w14:paraId="3BCB3316">
            <w:pPr>
              <w:spacing w:line="250" w:lineRule="auto"/>
            </w:pPr>
          </w:p>
          <w:p w14:paraId="0C756F63">
            <w:pPr>
              <w:spacing w:line="250" w:lineRule="auto"/>
            </w:pPr>
          </w:p>
          <w:p w14:paraId="54D84FBE">
            <w:pPr>
              <w:pStyle w:val="10"/>
              <w:spacing w:before="65" w:line="490" w:lineRule="exact"/>
              <w:ind w:left="120"/>
              <w:rPr>
                <w:sz w:val="20"/>
                <w:szCs w:val="20"/>
              </w:rPr>
            </w:pPr>
            <w:r>
              <w:rPr>
                <w:spacing w:val="1"/>
                <w:position w:val="22"/>
                <w:sz w:val="20"/>
                <w:szCs w:val="20"/>
              </w:rPr>
              <w:t>效益指标</w:t>
            </w:r>
          </w:p>
          <w:p w14:paraId="4D2DCE46">
            <w:pPr>
              <w:pStyle w:val="10"/>
              <w:spacing w:line="220" w:lineRule="auto"/>
              <w:ind w:left="221"/>
              <w:rPr>
                <w:sz w:val="20"/>
                <w:szCs w:val="20"/>
              </w:rPr>
            </w:pPr>
            <w:r>
              <w:rPr>
                <w:spacing w:val="8"/>
                <w:sz w:val="20"/>
                <w:szCs w:val="20"/>
              </w:rPr>
              <w:t>(30分)</w:t>
            </w:r>
          </w:p>
        </w:tc>
        <w:tc>
          <w:tcPr>
            <w:tcW w:w="1298" w:type="dxa"/>
            <w:tcBorders>
              <w:bottom w:val="nil"/>
            </w:tcBorders>
          </w:tcPr>
          <w:p w14:paraId="7481338E">
            <w:pPr>
              <w:pStyle w:val="10"/>
              <w:spacing w:before="131" w:line="203" w:lineRule="auto"/>
              <w:jc w:val="center"/>
              <w:rPr>
                <w:sz w:val="20"/>
                <w:szCs w:val="20"/>
              </w:rPr>
            </w:pPr>
            <w:r>
              <w:rPr>
                <w:spacing w:val="-3"/>
                <w:sz w:val="20"/>
                <w:szCs w:val="20"/>
              </w:rPr>
              <w:t>经济效益指标</w:t>
            </w:r>
          </w:p>
        </w:tc>
        <w:tc>
          <w:tcPr>
            <w:tcW w:w="1898" w:type="dxa"/>
          </w:tcPr>
          <w:p w14:paraId="639801D5">
            <w:pPr>
              <w:spacing w:line="240" w:lineRule="auto"/>
              <w:jc w:val="center"/>
              <w:rPr>
                <w:sz w:val="15"/>
                <w:szCs w:val="15"/>
              </w:rPr>
            </w:pPr>
            <w:r>
              <w:rPr>
                <w:rFonts w:hint="eastAsia"/>
                <w:sz w:val="15"/>
                <w:szCs w:val="15"/>
              </w:rPr>
              <w:t>提高特殊教育教学质量，促进本地的经济发展水平努力改善学校办学条件。</w:t>
            </w:r>
          </w:p>
        </w:tc>
        <w:tc>
          <w:tcPr>
            <w:tcW w:w="1505" w:type="dxa"/>
          </w:tcPr>
          <w:p w14:paraId="6E29A84C">
            <w:pPr>
              <w:spacing w:line="240" w:lineRule="auto"/>
              <w:jc w:val="center"/>
              <w:rPr>
                <w:sz w:val="15"/>
                <w:szCs w:val="15"/>
              </w:rPr>
            </w:pPr>
            <w:r>
              <w:rPr>
                <w:rFonts w:hint="eastAsia"/>
                <w:sz w:val="15"/>
                <w:szCs w:val="15"/>
              </w:rPr>
              <w:t>100%</w:t>
            </w:r>
          </w:p>
        </w:tc>
        <w:tc>
          <w:tcPr>
            <w:tcW w:w="1222" w:type="dxa"/>
          </w:tcPr>
          <w:p w14:paraId="18B346DC">
            <w:pPr>
              <w:spacing w:line="240" w:lineRule="auto"/>
              <w:jc w:val="center"/>
              <w:rPr>
                <w:sz w:val="15"/>
                <w:szCs w:val="15"/>
              </w:rPr>
            </w:pPr>
            <w:r>
              <w:rPr>
                <w:rFonts w:hint="eastAsia"/>
                <w:sz w:val="15"/>
                <w:szCs w:val="15"/>
              </w:rPr>
              <w:t>100%</w:t>
            </w:r>
          </w:p>
        </w:tc>
        <w:tc>
          <w:tcPr>
            <w:tcW w:w="709" w:type="dxa"/>
          </w:tcPr>
          <w:p w14:paraId="1998AE83">
            <w:pPr>
              <w:spacing w:line="240" w:lineRule="auto"/>
              <w:jc w:val="center"/>
              <w:rPr>
                <w:rFonts w:hint="default" w:eastAsia="宋体"/>
                <w:sz w:val="15"/>
                <w:szCs w:val="15"/>
                <w:lang w:val="en-US" w:eastAsia="zh-CN"/>
              </w:rPr>
            </w:pPr>
            <w:r>
              <w:rPr>
                <w:rFonts w:hint="eastAsia" w:eastAsia="宋体"/>
                <w:sz w:val="15"/>
                <w:szCs w:val="15"/>
                <w:lang w:val="en-US" w:eastAsia="zh-CN"/>
              </w:rPr>
              <w:t>5</w:t>
            </w:r>
          </w:p>
        </w:tc>
        <w:tc>
          <w:tcPr>
            <w:tcW w:w="829" w:type="dxa"/>
          </w:tcPr>
          <w:p w14:paraId="3658D7CF">
            <w:pPr>
              <w:spacing w:line="240" w:lineRule="auto"/>
              <w:jc w:val="center"/>
              <w:rPr>
                <w:rFonts w:hint="eastAsia" w:eastAsia="宋体"/>
                <w:sz w:val="15"/>
                <w:szCs w:val="15"/>
                <w:lang w:val="en-US" w:eastAsia="zh-CN"/>
              </w:rPr>
            </w:pPr>
            <w:r>
              <w:rPr>
                <w:rFonts w:hint="eastAsia" w:eastAsia="宋体"/>
                <w:sz w:val="15"/>
                <w:szCs w:val="15"/>
                <w:lang w:val="en-US" w:eastAsia="zh-CN"/>
              </w:rPr>
              <w:t>5</w:t>
            </w:r>
          </w:p>
        </w:tc>
        <w:tc>
          <w:tcPr>
            <w:tcW w:w="1320" w:type="dxa"/>
          </w:tcPr>
          <w:p w14:paraId="29C3943D">
            <w:pPr>
              <w:spacing w:line="240" w:lineRule="auto"/>
              <w:jc w:val="center"/>
              <w:rPr>
                <w:sz w:val="15"/>
                <w:szCs w:val="15"/>
              </w:rPr>
            </w:pPr>
            <w:r>
              <w:rPr>
                <w:rFonts w:hint="eastAsia" w:eastAsia="宋体"/>
                <w:sz w:val="15"/>
                <w:szCs w:val="15"/>
                <w:lang w:eastAsia="zh-CN"/>
              </w:rPr>
              <w:t>无</w:t>
            </w:r>
          </w:p>
        </w:tc>
      </w:tr>
      <w:tr w14:paraId="4FE16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1091" w:type="dxa"/>
            <w:vMerge w:val="continue"/>
            <w:tcBorders>
              <w:top w:val="nil"/>
              <w:bottom w:val="nil"/>
            </w:tcBorders>
            <w:textDirection w:val="tbRlV"/>
          </w:tcPr>
          <w:p w14:paraId="33CFBF17"/>
        </w:tc>
        <w:tc>
          <w:tcPr>
            <w:tcW w:w="1004" w:type="dxa"/>
            <w:vMerge w:val="continue"/>
            <w:tcBorders>
              <w:top w:val="nil"/>
              <w:bottom w:val="nil"/>
            </w:tcBorders>
          </w:tcPr>
          <w:p w14:paraId="3DA51414"/>
        </w:tc>
        <w:tc>
          <w:tcPr>
            <w:tcW w:w="1298" w:type="dxa"/>
            <w:tcBorders>
              <w:bottom w:val="nil"/>
            </w:tcBorders>
          </w:tcPr>
          <w:p w14:paraId="444B66AC">
            <w:pPr>
              <w:pStyle w:val="10"/>
              <w:spacing w:before="130" w:line="241" w:lineRule="auto"/>
              <w:jc w:val="center"/>
              <w:rPr>
                <w:sz w:val="20"/>
                <w:szCs w:val="20"/>
              </w:rPr>
            </w:pPr>
            <w:r>
              <w:rPr>
                <w:spacing w:val="-3"/>
                <w:sz w:val="20"/>
                <w:szCs w:val="20"/>
              </w:rPr>
              <w:t>社会效益指标</w:t>
            </w:r>
          </w:p>
        </w:tc>
        <w:tc>
          <w:tcPr>
            <w:tcW w:w="1898" w:type="dxa"/>
          </w:tcPr>
          <w:p w14:paraId="6BE29EA7">
            <w:pPr>
              <w:spacing w:line="240" w:lineRule="auto"/>
              <w:jc w:val="center"/>
              <w:rPr>
                <w:sz w:val="15"/>
                <w:szCs w:val="15"/>
              </w:rPr>
            </w:pPr>
            <w:r>
              <w:rPr>
                <w:rFonts w:hint="eastAsia"/>
                <w:sz w:val="15"/>
                <w:szCs w:val="15"/>
              </w:rPr>
              <w:t>提高全民关心教育的激情；提高全民重视教育的程度；激励教师工作积极性，促进教师专业成长。</w:t>
            </w:r>
          </w:p>
        </w:tc>
        <w:tc>
          <w:tcPr>
            <w:tcW w:w="1505" w:type="dxa"/>
          </w:tcPr>
          <w:p w14:paraId="13E96BF5">
            <w:pPr>
              <w:spacing w:line="240" w:lineRule="auto"/>
              <w:jc w:val="center"/>
              <w:rPr>
                <w:sz w:val="15"/>
                <w:szCs w:val="15"/>
              </w:rPr>
            </w:pPr>
            <w:r>
              <w:rPr>
                <w:rFonts w:hint="eastAsia"/>
                <w:sz w:val="15"/>
                <w:szCs w:val="15"/>
              </w:rPr>
              <w:t>100%</w:t>
            </w:r>
          </w:p>
        </w:tc>
        <w:tc>
          <w:tcPr>
            <w:tcW w:w="1222" w:type="dxa"/>
          </w:tcPr>
          <w:p w14:paraId="7FDD14C5">
            <w:pPr>
              <w:spacing w:line="240" w:lineRule="auto"/>
              <w:jc w:val="center"/>
              <w:rPr>
                <w:sz w:val="15"/>
                <w:szCs w:val="15"/>
              </w:rPr>
            </w:pPr>
            <w:r>
              <w:rPr>
                <w:rFonts w:hint="eastAsia"/>
                <w:sz w:val="15"/>
                <w:szCs w:val="15"/>
              </w:rPr>
              <w:t>100%</w:t>
            </w:r>
          </w:p>
        </w:tc>
        <w:tc>
          <w:tcPr>
            <w:tcW w:w="709" w:type="dxa"/>
          </w:tcPr>
          <w:p w14:paraId="6E167F9F">
            <w:pPr>
              <w:spacing w:line="240" w:lineRule="auto"/>
              <w:jc w:val="center"/>
              <w:rPr>
                <w:rFonts w:hint="default" w:eastAsia="宋体"/>
                <w:sz w:val="15"/>
                <w:szCs w:val="15"/>
                <w:lang w:val="en-US" w:eastAsia="zh-CN"/>
              </w:rPr>
            </w:pPr>
            <w:r>
              <w:rPr>
                <w:rFonts w:hint="eastAsia" w:eastAsia="宋体"/>
                <w:sz w:val="15"/>
                <w:szCs w:val="15"/>
                <w:lang w:val="en-US" w:eastAsia="zh-CN"/>
              </w:rPr>
              <w:t>10</w:t>
            </w:r>
          </w:p>
        </w:tc>
        <w:tc>
          <w:tcPr>
            <w:tcW w:w="829" w:type="dxa"/>
          </w:tcPr>
          <w:p w14:paraId="2F8C64AE">
            <w:pPr>
              <w:spacing w:line="240" w:lineRule="auto"/>
              <w:jc w:val="center"/>
              <w:rPr>
                <w:rFonts w:hint="default" w:eastAsia="宋体"/>
                <w:sz w:val="15"/>
                <w:szCs w:val="15"/>
                <w:lang w:val="en-US" w:eastAsia="zh-CN"/>
              </w:rPr>
            </w:pPr>
            <w:r>
              <w:rPr>
                <w:rFonts w:hint="eastAsia" w:eastAsia="宋体"/>
                <w:sz w:val="15"/>
                <w:szCs w:val="15"/>
                <w:lang w:val="en-US" w:eastAsia="zh-CN"/>
              </w:rPr>
              <w:t>10</w:t>
            </w:r>
          </w:p>
        </w:tc>
        <w:tc>
          <w:tcPr>
            <w:tcW w:w="1320" w:type="dxa"/>
          </w:tcPr>
          <w:p w14:paraId="1D5FEC4A">
            <w:pPr>
              <w:spacing w:line="240" w:lineRule="auto"/>
              <w:jc w:val="center"/>
              <w:rPr>
                <w:sz w:val="15"/>
                <w:szCs w:val="15"/>
              </w:rPr>
            </w:pPr>
            <w:r>
              <w:rPr>
                <w:rFonts w:hint="eastAsia" w:eastAsia="宋体"/>
                <w:sz w:val="15"/>
                <w:szCs w:val="15"/>
                <w:lang w:eastAsia="zh-CN"/>
              </w:rPr>
              <w:t>无</w:t>
            </w:r>
          </w:p>
        </w:tc>
      </w:tr>
      <w:tr w14:paraId="75818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091" w:type="dxa"/>
            <w:vMerge w:val="continue"/>
            <w:tcBorders>
              <w:top w:val="nil"/>
              <w:bottom w:val="nil"/>
            </w:tcBorders>
            <w:textDirection w:val="tbRlV"/>
          </w:tcPr>
          <w:p w14:paraId="4170F9CE"/>
        </w:tc>
        <w:tc>
          <w:tcPr>
            <w:tcW w:w="1004" w:type="dxa"/>
            <w:vMerge w:val="continue"/>
            <w:tcBorders>
              <w:top w:val="nil"/>
              <w:bottom w:val="nil"/>
            </w:tcBorders>
          </w:tcPr>
          <w:p w14:paraId="6F48B9AA"/>
        </w:tc>
        <w:tc>
          <w:tcPr>
            <w:tcW w:w="1298" w:type="dxa"/>
            <w:tcBorders>
              <w:bottom w:val="nil"/>
            </w:tcBorders>
          </w:tcPr>
          <w:p w14:paraId="3D6177BD">
            <w:pPr>
              <w:pStyle w:val="10"/>
              <w:spacing w:before="151" w:line="203" w:lineRule="auto"/>
              <w:jc w:val="center"/>
              <w:rPr>
                <w:sz w:val="20"/>
                <w:szCs w:val="20"/>
              </w:rPr>
            </w:pPr>
            <w:r>
              <w:rPr>
                <w:spacing w:val="-3"/>
                <w:sz w:val="20"/>
                <w:szCs w:val="20"/>
              </w:rPr>
              <w:t>生态效益指标</w:t>
            </w:r>
          </w:p>
        </w:tc>
        <w:tc>
          <w:tcPr>
            <w:tcW w:w="1898" w:type="dxa"/>
          </w:tcPr>
          <w:p w14:paraId="3F8CF7E6">
            <w:pPr>
              <w:spacing w:line="240" w:lineRule="auto"/>
              <w:jc w:val="center"/>
              <w:rPr>
                <w:sz w:val="15"/>
                <w:szCs w:val="15"/>
              </w:rPr>
            </w:pPr>
            <w:r>
              <w:rPr>
                <w:rFonts w:hint="eastAsia"/>
                <w:sz w:val="15"/>
                <w:szCs w:val="15"/>
              </w:rPr>
              <w:t>创建和谐的教育环境；用现代教育理念影响学生，让学生感悟到时代的进步。</w:t>
            </w:r>
          </w:p>
        </w:tc>
        <w:tc>
          <w:tcPr>
            <w:tcW w:w="1505" w:type="dxa"/>
          </w:tcPr>
          <w:p w14:paraId="1EE27A7E">
            <w:pPr>
              <w:spacing w:line="240" w:lineRule="auto"/>
              <w:jc w:val="center"/>
              <w:rPr>
                <w:sz w:val="15"/>
                <w:szCs w:val="15"/>
              </w:rPr>
            </w:pPr>
            <w:r>
              <w:rPr>
                <w:rFonts w:hint="eastAsia"/>
                <w:sz w:val="15"/>
                <w:szCs w:val="15"/>
              </w:rPr>
              <w:t>100%</w:t>
            </w:r>
          </w:p>
        </w:tc>
        <w:tc>
          <w:tcPr>
            <w:tcW w:w="1222" w:type="dxa"/>
          </w:tcPr>
          <w:p w14:paraId="2DD5C348">
            <w:pPr>
              <w:spacing w:line="240" w:lineRule="auto"/>
              <w:jc w:val="center"/>
              <w:rPr>
                <w:sz w:val="15"/>
                <w:szCs w:val="15"/>
              </w:rPr>
            </w:pPr>
            <w:r>
              <w:rPr>
                <w:rFonts w:hint="eastAsia"/>
                <w:sz w:val="15"/>
                <w:szCs w:val="15"/>
              </w:rPr>
              <w:t>100%</w:t>
            </w:r>
          </w:p>
        </w:tc>
        <w:tc>
          <w:tcPr>
            <w:tcW w:w="709" w:type="dxa"/>
          </w:tcPr>
          <w:p w14:paraId="2FEFB474">
            <w:pPr>
              <w:spacing w:line="240" w:lineRule="auto"/>
              <w:jc w:val="center"/>
              <w:rPr>
                <w:rFonts w:hint="eastAsia" w:eastAsia="宋体"/>
                <w:sz w:val="15"/>
                <w:szCs w:val="15"/>
                <w:lang w:val="en-US" w:eastAsia="zh-CN"/>
              </w:rPr>
            </w:pPr>
            <w:r>
              <w:rPr>
                <w:rFonts w:hint="eastAsia" w:eastAsia="宋体"/>
                <w:sz w:val="15"/>
                <w:szCs w:val="15"/>
                <w:lang w:val="en-US" w:eastAsia="zh-CN"/>
              </w:rPr>
              <w:t>5</w:t>
            </w:r>
          </w:p>
        </w:tc>
        <w:tc>
          <w:tcPr>
            <w:tcW w:w="829" w:type="dxa"/>
          </w:tcPr>
          <w:p w14:paraId="21CD2FD9">
            <w:pPr>
              <w:spacing w:line="240" w:lineRule="auto"/>
              <w:jc w:val="center"/>
              <w:rPr>
                <w:rFonts w:hint="eastAsia" w:eastAsia="宋体"/>
                <w:sz w:val="15"/>
                <w:szCs w:val="15"/>
                <w:lang w:val="en-US" w:eastAsia="zh-CN"/>
              </w:rPr>
            </w:pPr>
            <w:r>
              <w:rPr>
                <w:rFonts w:hint="eastAsia" w:eastAsia="宋体"/>
                <w:sz w:val="15"/>
                <w:szCs w:val="15"/>
                <w:lang w:val="en-US" w:eastAsia="zh-CN"/>
              </w:rPr>
              <w:t>5</w:t>
            </w:r>
          </w:p>
        </w:tc>
        <w:tc>
          <w:tcPr>
            <w:tcW w:w="1320" w:type="dxa"/>
          </w:tcPr>
          <w:p w14:paraId="2D71FC45">
            <w:pPr>
              <w:spacing w:line="240" w:lineRule="auto"/>
              <w:jc w:val="center"/>
              <w:rPr>
                <w:sz w:val="15"/>
                <w:szCs w:val="15"/>
              </w:rPr>
            </w:pPr>
            <w:r>
              <w:rPr>
                <w:rFonts w:hint="eastAsia" w:eastAsia="宋体"/>
                <w:sz w:val="15"/>
                <w:szCs w:val="15"/>
                <w:lang w:eastAsia="zh-CN"/>
              </w:rPr>
              <w:t>无</w:t>
            </w:r>
          </w:p>
        </w:tc>
      </w:tr>
      <w:tr w14:paraId="25160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091" w:type="dxa"/>
            <w:vMerge w:val="continue"/>
            <w:tcBorders>
              <w:top w:val="nil"/>
              <w:bottom w:val="nil"/>
            </w:tcBorders>
            <w:textDirection w:val="tbRlV"/>
          </w:tcPr>
          <w:p w14:paraId="27532846"/>
        </w:tc>
        <w:tc>
          <w:tcPr>
            <w:tcW w:w="1004" w:type="dxa"/>
            <w:vMerge w:val="continue"/>
            <w:tcBorders>
              <w:top w:val="nil"/>
              <w:bottom w:val="nil"/>
            </w:tcBorders>
          </w:tcPr>
          <w:p w14:paraId="7E73FABB"/>
        </w:tc>
        <w:tc>
          <w:tcPr>
            <w:tcW w:w="1298" w:type="dxa"/>
            <w:tcBorders>
              <w:bottom w:val="nil"/>
            </w:tcBorders>
          </w:tcPr>
          <w:p w14:paraId="0605A85F">
            <w:pPr>
              <w:pStyle w:val="10"/>
              <w:spacing w:before="191" w:line="219" w:lineRule="auto"/>
              <w:ind w:left="92"/>
              <w:jc w:val="center"/>
              <w:rPr>
                <w:sz w:val="20"/>
                <w:szCs w:val="20"/>
              </w:rPr>
            </w:pPr>
            <w:r>
              <w:rPr>
                <w:spacing w:val="-2"/>
                <w:sz w:val="20"/>
                <w:szCs w:val="20"/>
              </w:rPr>
              <w:t>可持续影</w:t>
            </w:r>
            <w:r>
              <w:rPr>
                <w:spacing w:val="2"/>
                <w:sz w:val="20"/>
                <w:szCs w:val="20"/>
              </w:rPr>
              <w:t>响指标</w:t>
            </w:r>
          </w:p>
        </w:tc>
        <w:tc>
          <w:tcPr>
            <w:tcW w:w="1898" w:type="dxa"/>
          </w:tcPr>
          <w:p w14:paraId="323313C9">
            <w:pPr>
              <w:spacing w:line="240" w:lineRule="auto"/>
              <w:jc w:val="center"/>
              <w:rPr>
                <w:sz w:val="15"/>
                <w:szCs w:val="15"/>
              </w:rPr>
            </w:pPr>
            <w:r>
              <w:rPr>
                <w:rFonts w:hint="eastAsia"/>
                <w:sz w:val="15"/>
                <w:szCs w:val="15"/>
              </w:rPr>
              <w:t>持续培养学生适应社会的能力</w:t>
            </w:r>
          </w:p>
        </w:tc>
        <w:tc>
          <w:tcPr>
            <w:tcW w:w="1505" w:type="dxa"/>
          </w:tcPr>
          <w:p w14:paraId="24E33421">
            <w:pPr>
              <w:spacing w:line="240" w:lineRule="auto"/>
              <w:jc w:val="center"/>
              <w:rPr>
                <w:sz w:val="15"/>
                <w:szCs w:val="15"/>
              </w:rPr>
            </w:pPr>
            <w:r>
              <w:rPr>
                <w:rFonts w:hint="eastAsia"/>
                <w:sz w:val="15"/>
                <w:szCs w:val="15"/>
              </w:rPr>
              <w:t>100%</w:t>
            </w:r>
          </w:p>
        </w:tc>
        <w:tc>
          <w:tcPr>
            <w:tcW w:w="1222" w:type="dxa"/>
          </w:tcPr>
          <w:p w14:paraId="18674A50">
            <w:pPr>
              <w:spacing w:line="240" w:lineRule="auto"/>
              <w:jc w:val="center"/>
              <w:rPr>
                <w:rFonts w:hint="default" w:eastAsia="宋体"/>
                <w:sz w:val="15"/>
                <w:szCs w:val="15"/>
                <w:lang w:val="en-US" w:eastAsia="zh-CN"/>
              </w:rPr>
            </w:pPr>
            <w:r>
              <w:rPr>
                <w:rFonts w:hint="eastAsia" w:eastAsia="宋体"/>
                <w:sz w:val="15"/>
                <w:szCs w:val="15"/>
                <w:lang w:val="en-US" w:eastAsia="zh-CN"/>
              </w:rPr>
              <w:t>95%</w:t>
            </w:r>
          </w:p>
        </w:tc>
        <w:tc>
          <w:tcPr>
            <w:tcW w:w="709" w:type="dxa"/>
          </w:tcPr>
          <w:p w14:paraId="3DA85ECA">
            <w:pPr>
              <w:spacing w:line="240" w:lineRule="auto"/>
              <w:jc w:val="center"/>
              <w:rPr>
                <w:rFonts w:hint="default" w:eastAsia="宋体"/>
                <w:sz w:val="15"/>
                <w:szCs w:val="15"/>
                <w:lang w:val="en-US" w:eastAsia="zh-CN"/>
              </w:rPr>
            </w:pPr>
            <w:r>
              <w:rPr>
                <w:rFonts w:hint="eastAsia" w:eastAsia="宋体"/>
                <w:sz w:val="15"/>
                <w:szCs w:val="15"/>
                <w:lang w:val="en-US" w:eastAsia="zh-CN"/>
              </w:rPr>
              <w:t>10</w:t>
            </w:r>
          </w:p>
        </w:tc>
        <w:tc>
          <w:tcPr>
            <w:tcW w:w="829" w:type="dxa"/>
          </w:tcPr>
          <w:p w14:paraId="3BB57E64">
            <w:pPr>
              <w:spacing w:line="240" w:lineRule="auto"/>
              <w:jc w:val="center"/>
              <w:rPr>
                <w:rFonts w:hint="default" w:eastAsia="宋体"/>
                <w:sz w:val="15"/>
                <w:szCs w:val="15"/>
                <w:lang w:val="en-US" w:eastAsia="zh-CN"/>
              </w:rPr>
            </w:pPr>
            <w:r>
              <w:rPr>
                <w:rFonts w:hint="eastAsia" w:eastAsia="宋体"/>
                <w:sz w:val="15"/>
                <w:szCs w:val="15"/>
                <w:lang w:val="en-US" w:eastAsia="zh-CN"/>
              </w:rPr>
              <w:t>9.5</w:t>
            </w:r>
          </w:p>
        </w:tc>
        <w:tc>
          <w:tcPr>
            <w:tcW w:w="1320" w:type="dxa"/>
          </w:tcPr>
          <w:p w14:paraId="447E71FA">
            <w:pPr>
              <w:spacing w:line="240" w:lineRule="auto"/>
              <w:jc w:val="center"/>
              <w:rPr>
                <w:rFonts w:hint="default"/>
                <w:sz w:val="15"/>
                <w:szCs w:val="15"/>
                <w:lang w:val="en-US"/>
              </w:rPr>
            </w:pPr>
            <w:r>
              <w:rPr>
                <w:rFonts w:hint="eastAsia" w:eastAsia="宋体"/>
                <w:sz w:val="15"/>
                <w:szCs w:val="15"/>
                <w:lang w:val="en-US" w:eastAsia="zh-CN"/>
              </w:rPr>
              <w:t>因部分学生程度较差，学习效果差，不能很好的达到期望目标。</w:t>
            </w:r>
          </w:p>
        </w:tc>
      </w:tr>
      <w:tr w14:paraId="5C2C5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91" w:type="dxa"/>
            <w:vMerge w:val="continue"/>
            <w:tcBorders>
              <w:top w:val="nil"/>
              <w:bottom w:val="nil"/>
            </w:tcBorders>
            <w:textDirection w:val="tbRlV"/>
          </w:tcPr>
          <w:p w14:paraId="6D746C08"/>
        </w:tc>
        <w:tc>
          <w:tcPr>
            <w:tcW w:w="1004" w:type="dxa"/>
            <w:tcBorders>
              <w:bottom w:val="nil"/>
            </w:tcBorders>
          </w:tcPr>
          <w:p w14:paraId="556E832F">
            <w:pPr>
              <w:pStyle w:val="10"/>
              <w:spacing w:before="104" w:line="219" w:lineRule="auto"/>
              <w:ind w:left="221"/>
              <w:rPr>
                <w:sz w:val="20"/>
                <w:szCs w:val="20"/>
              </w:rPr>
            </w:pPr>
            <w:r>
              <w:rPr>
                <w:spacing w:val="-2"/>
                <w:sz w:val="20"/>
                <w:szCs w:val="20"/>
              </w:rPr>
              <w:t>满意度</w:t>
            </w:r>
          </w:p>
          <w:p w14:paraId="0D1C1AAA">
            <w:pPr>
              <w:pStyle w:val="10"/>
              <w:spacing w:before="3" w:line="220" w:lineRule="auto"/>
              <w:ind w:left="321"/>
              <w:rPr>
                <w:sz w:val="20"/>
                <w:szCs w:val="20"/>
              </w:rPr>
            </w:pPr>
            <w:r>
              <w:rPr>
                <w:spacing w:val="-3"/>
                <w:sz w:val="20"/>
                <w:szCs w:val="20"/>
              </w:rPr>
              <w:t>指标</w:t>
            </w:r>
          </w:p>
          <w:p w14:paraId="081476B3">
            <w:pPr>
              <w:pStyle w:val="10"/>
              <w:spacing w:before="11" w:line="220" w:lineRule="auto"/>
              <w:ind w:left="221"/>
              <w:rPr>
                <w:sz w:val="20"/>
                <w:szCs w:val="20"/>
              </w:rPr>
            </w:pPr>
            <w:r>
              <w:rPr>
                <w:spacing w:val="8"/>
                <w:sz w:val="20"/>
                <w:szCs w:val="20"/>
              </w:rPr>
              <w:t>(10分)</w:t>
            </w:r>
          </w:p>
        </w:tc>
        <w:tc>
          <w:tcPr>
            <w:tcW w:w="1298" w:type="dxa"/>
            <w:tcBorders>
              <w:bottom w:val="nil"/>
            </w:tcBorders>
          </w:tcPr>
          <w:p w14:paraId="361F584C">
            <w:pPr>
              <w:pStyle w:val="10"/>
              <w:spacing w:before="114" w:line="203" w:lineRule="auto"/>
              <w:ind w:left="92"/>
              <w:jc w:val="center"/>
              <w:rPr>
                <w:sz w:val="20"/>
                <w:szCs w:val="20"/>
              </w:rPr>
            </w:pPr>
            <w:r>
              <w:rPr>
                <w:spacing w:val="-2"/>
                <w:sz w:val="20"/>
                <w:szCs w:val="20"/>
              </w:rPr>
              <w:t>服务对象</w:t>
            </w:r>
            <w:r>
              <w:rPr>
                <w:spacing w:val="3"/>
                <w:sz w:val="20"/>
                <w:szCs w:val="20"/>
              </w:rPr>
              <w:t>满意度指</w:t>
            </w:r>
            <w:r>
              <w:rPr>
                <w:sz w:val="20"/>
                <w:szCs w:val="20"/>
              </w:rPr>
              <w:t>标</w:t>
            </w:r>
          </w:p>
        </w:tc>
        <w:tc>
          <w:tcPr>
            <w:tcW w:w="1898" w:type="dxa"/>
          </w:tcPr>
          <w:p w14:paraId="036952F9">
            <w:pPr>
              <w:spacing w:line="240" w:lineRule="auto"/>
              <w:jc w:val="center"/>
              <w:rPr>
                <w:sz w:val="15"/>
                <w:szCs w:val="15"/>
              </w:rPr>
            </w:pPr>
            <w:r>
              <w:rPr>
                <w:rFonts w:hint="eastAsia"/>
                <w:sz w:val="15"/>
                <w:szCs w:val="15"/>
              </w:rPr>
              <w:t>办人民满意特殊教育</w:t>
            </w:r>
          </w:p>
        </w:tc>
        <w:tc>
          <w:tcPr>
            <w:tcW w:w="1505" w:type="dxa"/>
          </w:tcPr>
          <w:p w14:paraId="2260F909">
            <w:pPr>
              <w:spacing w:line="240" w:lineRule="auto"/>
              <w:jc w:val="center"/>
              <w:rPr>
                <w:sz w:val="15"/>
                <w:szCs w:val="15"/>
              </w:rPr>
            </w:pPr>
          </w:p>
          <w:p w14:paraId="5DC6C594">
            <w:pPr>
              <w:bidi w:val="0"/>
              <w:spacing w:line="240" w:lineRule="auto"/>
              <w:ind w:firstLine="366" w:firstLineChars="0"/>
              <w:jc w:val="center"/>
              <w:rPr>
                <w:rFonts w:ascii="Arial" w:hAnsi="Arial" w:eastAsia="Arial" w:cs="Arial"/>
                <w:snapToGrid w:val="0"/>
                <w:color w:val="000000"/>
                <w:sz w:val="15"/>
                <w:szCs w:val="15"/>
                <w:lang w:val="en-US" w:eastAsia="en-US" w:bidi="ar-SA"/>
              </w:rPr>
            </w:pPr>
            <w:r>
              <w:rPr>
                <w:rFonts w:hint="eastAsia" w:ascii="Arial" w:hAnsi="Arial" w:eastAsia="Arial" w:cs="Arial"/>
                <w:snapToGrid w:val="0"/>
                <w:color w:val="000000"/>
                <w:sz w:val="15"/>
                <w:szCs w:val="15"/>
                <w:lang w:val="en-US" w:eastAsia="en-US" w:bidi="ar-SA"/>
              </w:rPr>
              <w:t>满意</w:t>
            </w:r>
          </w:p>
        </w:tc>
        <w:tc>
          <w:tcPr>
            <w:tcW w:w="1222" w:type="dxa"/>
          </w:tcPr>
          <w:p w14:paraId="717E8865">
            <w:pPr>
              <w:spacing w:line="240" w:lineRule="auto"/>
              <w:jc w:val="center"/>
              <w:rPr>
                <w:sz w:val="15"/>
                <w:szCs w:val="15"/>
              </w:rPr>
            </w:pPr>
          </w:p>
          <w:p w14:paraId="41D957DE">
            <w:pPr>
              <w:bidi w:val="0"/>
              <w:spacing w:line="240" w:lineRule="auto"/>
              <w:jc w:val="center"/>
              <w:rPr>
                <w:rFonts w:ascii="Arial" w:hAnsi="Arial" w:eastAsia="Arial" w:cs="Arial"/>
                <w:snapToGrid w:val="0"/>
                <w:color w:val="000000"/>
                <w:sz w:val="15"/>
                <w:szCs w:val="15"/>
                <w:lang w:val="en-US" w:eastAsia="en-US" w:bidi="ar-SA"/>
              </w:rPr>
            </w:pPr>
            <w:r>
              <w:rPr>
                <w:rFonts w:hint="eastAsia" w:ascii="Arial" w:hAnsi="Arial" w:eastAsia="Arial" w:cs="Arial"/>
                <w:snapToGrid w:val="0"/>
                <w:color w:val="000000"/>
                <w:sz w:val="15"/>
                <w:szCs w:val="15"/>
                <w:lang w:val="en-US" w:eastAsia="en-US" w:bidi="ar-SA"/>
              </w:rPr>
              <w:t>满意</w:t>
            </w:r>
          </w:p>
        </w:tc>
        <w:tc>
          <w:tcPr>
            <w:tcW w:w="709" w:type="dxa"/>
          </w:tcPr>
          <w:p w14:paraId="45532F2C">
            <w:pPr>
              <w:spacing w:line="240" w:lineRule="auto"/>
              <w:jc w:val="center"/>
              <w:rPr>
                <w:rFonts w:hint="default" w:eastAsia="宋体"/>
                <w:sz w:val="15"/>
                <w:szCs w:val="15"/>
                <w:lang w:val="en-US" w:eastAsia="zh-CN"/>
              </w:rPr>
            </w:pPr>
            <w:r>
              <w:rPr>
                <w:rFonts w:hint="eastAsia" w:eastAsia="宋体"/>
                <w:sz w:val="15"/>
                <w:szCs w:val="15"/>
                <w:lang w:val="en-US" w:eastAsia="zh-CN"/>
              </w:rPr>
              <w:t>10</w:t>
            </w:r>
          </w:p>
        </w:tc>
        <w:tc>
          <w:tcPr>
            <w:tcW w:w="829" w:type="dxa"/>
          </w:tcPr>
          <w:p w14:paraId="6AA32C61">
            <w:pPr>
              <w:spacing w:line="240" w:lineRule="auto"/>
              <w:jc w:val="center"/>
              <w:rPr>
                <w:rFonts w:hint="default" w:eastAsia="宋体"/>
                <w:sz w:val="15"/>
                <w:szCs w:val="15"/>
                <w:lang w:val="en-US" w:eastAsia="zh-CN"/>
              </w:rPr>
            </w:pPr>
            <w:r>
              <w:rPr>
                <w:rFonts w:hint="eastAsia" w:eastAsia="宋体"/>
                <w:sz w:val="15"/>
                <w:szCs w:val="15"/>
                <w:lang w:val="en-US" w:eastAsia="zh-CN"/>
              </w:rPr>
              <w:t>10</w:t>
            </w:r>
          </w:p>
        </w:tc>
        <w:tc>
          <w:tcPr>
            <w:tcW w:w="1320" w:type="dxa"/>
          </w:tcPr>
          <w:p w14:paraId="569EB259">
            <w:pPr>
              <w:spacing w:line="240" w:lineRule="auto"/>
              <w:jc w:val="center"/>
              <w:rPr>
                <w:sz w:val="15"/>
                <w:szCs w:val="15"/>
              </w:rPr>
            </w:pPr>
            <w:r>
              <w:rPr>
                <w:rFonts w:hint="eastAsia" w:eastAsia="宋体"/>
                <w:sz w:val="15"/>
                <w:szCs w:val="15"/>
                <w:lang w:eastAsia="zh-CN"/>
              </w:rPr>
              <w:t>无</w:t>
            </w:r>
          </w:p>
        </w:tc>
      </w:tr>
      <w:tr w14:paraId="7B28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8018" w:type="dxa"/>
            <w:gridSpan w:val="6"/>
          </w:tcPr>
          <w:p w14:paraId="5735631C">
            <w:pPr>
              <w:spacing w:before="25" w:line="216" w:lineRule="exact"/>
              <w:ind w:firstLine="3272"/>
            </w:pPr>
            <w:r>
              <w:rPr>
                <w:position w:val="-4"/>
                <w:lang w:eastAsia="zh-CN"/>
              </w:rPr>
              <w:drawing>
                <wp:inline distT="0" distB="0" distL="0" distR="0">
                  <wp:extent cx="243840" cy="13716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244217" cy="137161"/>
                          </a:xfrm>
                          <a:prstGeom prst="rect">
                            <a:avLst/>
                          </a:prstGeom>
                        </pic:spPr>
                      </pic:pic>
                    </a:graphicData>
                  </a:graphic>
                </wp:inline>
              </w:drawing>
            </w:r>
          </w:p>
        </w:tc>
        <w:tc>
          <w:tcPr>
            <w:tcW w:w="709" w:type="dxa"/>
          </w:tcPr>
          <w:p w14:paraId="5F87A540">
            <w:pPr>
              <w:pStyle w:val="10"/>
              <w:spacing w:before="88" w:line="165" w:lineRule="exact"/>
              <w:ind w:left="196"/>
              <w:rPr>
                <w:sz w:val="20"/>
                <w:szCs w:val="20"/>
              </w:rPr>
            </w:pPr>
            <w:r>
              <w:rPr>
                <w:spacing w:val="-6"/>
                <w:position w:val="-2"/>
                <w:sz w:val="20"/>
                <w:szCs w:val="20"/>
              </w:rPr>
              <w:t>100</w:t>
            </w:r>
          </w:p>
        </w:tc>
        <w:tc>
          <w:tcPr>
            <w:tcW w:w="829" w:type="dxa"/>
          </w:tcPr>
          <w:p w14:paraId="4A92A400">
            <w:pPr>
              <w:rPr>
                <w:rFonts w:hint="default" w:eastAsia="宋体"/>
                <w:lang w:val="en-US" w:eastAsia="zh-CN"/>
              </w:rPr>
            </w:pPr>
            <w:r>
              <w:rPr>
                <w:rFonts w:hint="eastAsia" w:eastAsia="宋体"/>
                <w:lang w:val="en-US" w:eastAsia="zh-CN"/>
              </w:rPr>
              <w:t>94.5</w:t>
            </w:r>
          </w:p>
        </w:tc>
        <w:tc>
          <w:tcPr>
            <w:tcW w:w="1320" w:type="dxa"/>
          </w:tcPr>
          <w:p w14:paraId="4EF04804"/>
        </w:tc>
      </w:tr>
    </w:tbl>
    <w:p w14:paraId="36C63633">
      <w:pPr>
        <w:pStyle w:val="2"/>
        <w:spacing w:before="72" w:line="227" w:lineRule="auto"/>
        <w:ind w:left="364"/>
        <w:rPr>
          <w:spacing w:val="-16"/>
          <w:position w:val="4"/>
          <w:sz w:val="22"/>
          <w:szCs w:val="22"/>
        </w:rPr>
      </w:pPr>
    </w:p>
    <w:p w14:paraId="0FE54730">
      <w:pPr>
        <w:spacing w:line="278" w:lineRule="auto"/>
      </w:pPr>
    </w:p>
    <w:p w14:paraId="2319BFE6">
      <w:pPr>
        <w:spacing w:before="109" w:line="224" w:lineRule="auto"/>
        <w:rPr>
          <w:rFonts w:ascii="黑体" w:hAnsi="黑体" w:eastAsia="黑体" w:cs="黑体"/>
          <w:sz w:val="33"/>
          <w:szCs w:val="33"/>
          <w:lang w:eastAsia="zh-CN"/>
        </w:rPr>
      </w:pPr>
      <w:r>
        <w:rPr>
          <w:rFonts w:ascii="黑体" w:hAnsi="黑体" w:eastAsia="黑体" w:cs="黑体"/>
          <w:b/>
          <w:bCs/>
          <w:spacing w:val="7"/>
          <w:sz w:val="33"/>
          <w:szCs w:val="33"/>
        </w:rPr>
        <w:t>附件4</w:t>
      </w:r>
      <w:r>
        <w:rPr>
          <w:rFonts w:hint="eastAsia" w:ascii="黑体" w:hAnsi="黑体" w:eastAsia="黑体" w:cs="黑体"/>
          <w:b/>
          <w:bCs/>
          <w:spacing w:val="7"/>
          <w:sz w:val="33"/>
          <w:szCs w:val="33"/>
          <w:lang w:eastAsia="zh-CN"/>
        </w:rPr>
        <w:t>：</w:t>
      </w:r>
    </w:p>
    <w:p w14:paraId="0A737325">
      <w:pPr>
        <w:spacing w:before="195" w:line="219" w:lineRule="auto"/>
        <w:ind w:left="2569"/>
        <w:rPr>
          <w:rFonts w:ascii="宋体" w:hAnsi="宋体" w:eastAsia="宋体" w:cs="宋体"/>
          <w:sz w:val="34"/>
          <w:szCs w:val="34"/>
        </w:rPr>
      </w:pPr>
      <w:r>
        <w:rPr>
          <w:rFonts w:hint="eastAsia" w:ascii="宋体" w:hAnsi="宋体" w:eastAsia="宋体" w:cs="宋体"/>
          <w:b/>
          <w:bCs/>
          <w:spacing w:val="-4"/>
          <w:sz w:val="34"/>
          <w:szCs w:val="34"/>
          <w:lang w:eastAsia="zh-CN"/>
        </w:rPr>
        <w:t>2024</w:t>
      </w:r>
      <w:r>
        <w:rPr>
          <w:rFonts w:ascii="宋体" w:hAnsi="宋体" w:eastAsia="宋体" w:cs="宋体"/>
          <w:b/>
          <w:bCs/>
          <w:spacing w:val="-4"/>
          <w:sz w:val="34"/>
          <w:szCs w:val="34"/>
        </w:rPr>
        <w:t>年度项目支出绩效自评表</w:t>
      </w:r>
    </w:p>
    <w:p w14:paraId="421391D6">
      <w:pPr>
        <w:spacing w:line="42" w:lineRule="exact"/>
      </w:pPr>
    </w:p>
    <w:tbl>
      <w:tblPr>
        <w:tblStyle w:val="11"/>
        <w:tblW w:w="9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59"/>
        <w:gridCol w:w="972"/>
        <w:gridCol w:w="1196"/>
        <w:gridCol w:w="1229"/>
        <w:gridCol w:w="1269"/>
        <w:gridCol w:w="669"/>
        <w:gridCol w:w="859"/>
        <w:gridCol w:w="1413"/>
      </w:tblGrid>
      <w:tr w14:paraId="34DFB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3105" w:type="dxa"/>
            <w:gridSpan w:val="3"/>
          </w:tcPr>
          <w:p w14:paraId="322423A7">
            <w:pPr>
              <w:pStyle w:val="10"/>
              <w:spacing w:before="33" w:line="204" w:lineRule="auto"/>
              <w:ind w:left="905"/>
              <w:rPr>
                <w:sz w:val="20"/>
                <w:szCs w:val="20"/>
              </w:rPr>
            </w:pPr>
            <w:r>
              <w:rPr>
                <w:spacing w:val="1"/>
                <w:sz w:val="20"/>
                <w:szCs w:val="20"/>
              </w:rPr>
              <w:t>项目支出名称</w:t>
            </w:r>
          </w:p>
        </w:tc>
        <w:tc>
          <w:tcPr>
            <w:tcW w:w="6635" w:type="dxa"/>
            <w:gridSpan w:val="6"/>
          </w:tcPr>
          <w:p w14:paraId="4C952FB5">
            <w:pPr>
              <w:ind w:firstLine="420" w:firstLineChars="200"/>
              <w:rPr>
                <w:rFonts w:hint="eastAsia" w:eastAsia="宋体"/>
                <w:lang w:eastAsia="zh-CN"/>
              </w:rPr>
            </w:pPr>
            <w:r>
              <w:rPr>
                <w:rFonts w:hint="eastAsia" w:eastAsia="宋体"/>
                <w:lang w:eastAsia="zh-CN"/>
              </w:rPr>
              <w:t>无</w:t>
            </w:r>
          </w:p>
        </w:tc>
      </w:tr>
      <w:tr w14:paraId="3A059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tcPr>
          <w:p w14:paraId="441A0377">
            <w:pPr>
              <w:pStyle w:val="10"/>
              <w:spacing w:before="27" w:line="205" w:lineRule="auto"/>
              <w:ind w:left="124"/>
              <w:rPr>
                <w:sz w:val="20"/>
                <w:szCs w:val="20"/>
              </w:rPr>
            </w:pPr>
            <w:r>
              <w:rPr>
                <w:spacing w:val="5"/>
                <w:sz w:val="20"/>
                <w:szCs w:val="20"/>
              </w:rPr>
              <w:t>主管部门</w:t>
            </w:r>
          </w:p>
        </w:tc>
        <w:tc>
          <w:tcPr>
            <w:tcW w:w="4456" w:type="dxa"/>
            <w:gridSpan w:val="4"/>
          </w:tcPr>
          <w:p w14:paraId="72AB9C67"/>
        </w:tc>
        <w:tc>
          <w:tcPr>
            <w:tcW w:w="1269" w:type="dxa"/>
          </w:tcPr>
          <w:p w14:paraId="4D5AFDE2">
            <w:pPr>
              <w:pStyle w:val="10"/>
              <w:spacing w:before="28" w:line="204" w:lineRule="auto"/>
              <w:ind w:left="224"/>
              <w:rPr>
                <w:sz w:val="20"/>
                <w:szCs w:val="20"/>
              </w:rPr>
            </w:pPr>
            <w:r>
              <w:rPr>
                <w:spacing w:val="1"/>
                <w:sz w:val="20"/>
                <w:szCs w:val="20"/>
              </w:rPr>
              <w:t>实施单位</w:t>
            </w:r>
          </w:p>
        </w:tc>
        <w:tc>
          <w:tcPr>
            <w:tcW w:w="2941" w:type="dxa"/>
            <w:gridSpan w:val="3"/>
          </w:tcPr>
          <w:p w14:paraId="090EA421"/>
        </w:tc>
      </w:tr>
      <w:tr w14:paraId="584D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restart"/>
            <w:tcBorders>
              <w:bottom w:val="nil"/>
            </w:tcBorders>
          </w:tcPr>
          <w:p w14:paraId="0CDD9CB2">
            <w:pPr>
              <w:spacing w:line="350" w:lineRule="auto"/>
            </w:pPr>
          </w:p>
          <w:p w14:paraId="1FF210BF">
            <w:pPr>
              <w:pStyle w:val="10"/>
              <w:spacing w:before="65" w:line="235" w:lineRule="auto"/>
              <w:ind w:left="224" w:right="150" w:hanging="100"/>
              <w:rPr>
                <w:sz w:val="20"/>
                <w:szCs w:val="20"/>
              </w:rPr>
            </w:pPr>
            <w:r>
              <w:rPr>
                <w:spacing w:val="-3"/>
                <w:sz w:val="20"/>
                <w:szCs w:val="20"/>
              </w:rPr>
              <w:t>项目资金</w:t>
            </w:r>
            <w:r>
              <w:rPr>
                <w:sz w:val="20"/>
                <w:szCs w:val="20"/>
              </w:rPr>
              <w:t xml:space="preserve"> </w:t>
            </w:r>
            <w:r>
              <w:rPr>
                <w:spacing w:val="10"/>
                <w:sz w:val="20"/>
                <w:szCs w:val="20"/>
              </w:rPr>
              <w:t>(万元)</w:t>
            </w:r>
          </w:p>
        </w:tc>
        <w:tc>
          <w:tcPr>
            <w:tcW w:w="2031" w:type="dxa"/>
            <w:gridSpan w:val="2"/>
          </w:tcPr>
          <w:p w14:paraId="6960D2B1">
            <w:pPr>
              <w:spacing w:line="240" w:lineRule="exact"/>
              <w:rPr>
                <w:sz w:val="20"/>
              </w:rPr>
            </w:pPr>
          </w:p>
        </w:tc>
        <w:tc>
          <w:tcPr>
            <w:tcW w:w="1196" w:type="dxa"/>
          </w:tcPr>
          <w:p w14:paraId="360498D9">
            <w:pPr>
              <w:pStyle w:val="10"/>
              <w:spacing w:before="27" w:line="196" w:lineRule="auto"/>
              <w:ind w:left="53"/>
              <w:rPr>
                <w:sz w:val="20"/>
                <w:szCs w:val="20"/>
              </w:rPr>
            </w:pPr>
            <w:r>
              <w:rPr>
                <w:spacing w:val="-2"/>
                <w:sz w:val="20"/>
                <w:szCs w:val="20"/>
              </w:rPr>
              <w:t>年初预算数</w:t>
            </w:r>
          </w:p>
        </w:tc>
        <w:tc>
          <w:tcPr>
            <w:tcW w:w="1229" w:type="dxa"/>
          </w:tcPr>
          <w:p w14:paraId="43E69B81">
            <w:pPr>
              <w:pStyle w:val="10"/>
              <w:spacing w:before="27" w:line="196" w:lineRule="auto"/>
              <w:ind w:left="104"/>
              <w:rPr>
                <w:sz w:val="20"/>
                <w:szCs w:val="20"/>
              </w:rPr>
            </w:pPr>
            <w:r>
              <w:rPr>
                <w:spacing w:val="-2"/>
                <w:sz w:val="20"/>
                <w:szCs w:val="20"/>
              </w:rPr>
              <w:t>全年预算数</w:t>
            </w:r>
          </w:p>
        </w:tc>
        <w:tc>
          <w:tcPr>
            <w:tcW w:w="1269" w:type="dxa"/>
          </w:tcPr>
          <w:p w14:paraId="7002FF15">
            <w:pPr>
              <w:pStyle w:val="10"/>
              <w:spacing w:before="27" w:line="196" w:lineRule="auto"/>
              <w:ind w:left="125"/>
              <w:rPr>
                <w:sz w:val="20"/>
                <w:szCs w:val="20"/>
              </w:rPr>
            </w:pPr>
            <w:r>
              <w:rPr>
                <w:spacing w:val="-2"/>
                <w:sz w:val="20"/>
                <w:szCs w:val="20"/>
              </w:rPr>
              <w:t>全年执行数</w:t>
            </w:r>
          </w:p>
        </w:tc>
        <w:tc>
          <w:tcPr>
            <w:tcW w:w="669" w:type="dxa"/>
          </w:tcPr>
          <w:p w14:paraId="64AD5142">
            <w:pPr>
              <w:pStyle w:val="10"/>
              <w:spacing w:before="27" w:line="196" w:lineRule="auto"/>
              <w:ind w:left="126"/>
              <w:rPr>
                <w:sz w:val="20"/>
                <w:szCs w:val="20"/>
              </w:rPr>
            </w:pPr>
            <w:r>
              <w:rPr>
                <w:spacing w:val="-3"/>
                <w:sz w:val="20"/>
                <w:szCs w:val="20"/>
              </w:rPr>
              <w:t>分值</w:t>
            </w:r>
          </w:p>
        </w:tc>
        <w:tc>
          <w:tcPr>
            <w:tcW w:w="859" w:type="dxa"/>
          </w:tcPr>
          <w:p w14:paraId="2E2A26E1">
            <w:pPr>
              <w:pStyle w:val="10"/>
              <w:spacing w:before="27" w:line="196" w:lineRule="auto"/>
              <w:ind w:left="127"/>
              <w:rPr>
                <w:sz w:val="20"/>
                <w:szCs w:val="20"/>
              </w:rPr>
            </w:pPr>
            <w:r>
              <w:rPr>
                <w:spacing w:val="-2"/>
                <w:sz w:val="20"/>
                <w:szCs w:val="20"/>
              </w:rPr>
              <w:t>执行率</w:t>
            </w:r>
          </w:p>
        </w:tc>
        <w:tc>
          <w:tcPr>
            <w:tcW w:w="1413" w:type="dxa"/>
          </w:tcPr>
          <w:p w14:paraId="003BBA18">
            <w:pPr>
              <w:pStyle w:val="10"/>
              <w:spacing w:before="27" w:line="196" w:lineRule="auto"/>
              <w:ind w:left="298"/>
              <w:rPr>
                <w:sz w:val="20"/>
                <w:szCs w:val="20"/>
              </w:rPr>
            </w:pPr>
            <w:r>
              <w:rPr>
                <w:spacing w:val="2"/>
                <w:sz w:val="20"/>
                <w:szCs w:val="20"/>
              </w:rPr>
              <w:t>自评得分</w:t>
            </w:r>
          </w:p>
        </w:tc>
      </w:tr>
      <w:tr w14:paraId="5B1B7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tcPr>
          <w:p w14:paraId="6667322A"/>
        </w:tc>
        <w:tc>
          <w:tcPr>
            <w:tcW w:w="2031" w:type="dxa"/>
            <w:gridSpan w:val="2"/>
          </w:tcPr>
          <w:p w14:paraId="1FBF0BD4">
            <w:pPr>
              <w:pStyle w:val="10"/>
              <w:spacing w:before="38" w:line="204" w:lineRule="auto"/>
              <w:ind w:left="91"/>
              <w:rPr>
                <w:sz w:val="20"/>
                <w:szCs w:val="20"/>
              </w:rPr>
            </w:pPr>
            <w:r>
              <w:rPr>
                <w:spacing w:val="-2"/>
                <w:sz w:val="20"/>
                <w:szCs w:val="20"/>
              </w:rPr>
              <w:t>年度资金总额</w:t>
            </w:r>
          </w:p>
        </w:tc>
        <w:tc>
          <w:tcPr>
            <w:tcW w:w="1196" w:type="dxa"/>
          </w:tcPr>
          <w:p w14:paraId="0CDB1014"/>
        </w:tc>
        <w:tc>
          <w:tcPr>
            <w:tcW w:w="1229" w:type="dxa"/>
          </w:tcPr>
          <w:p w14:paraId="28C6CD86"/>
        </w:tc>
        <w:tc>
          <w:tcPr>
            <w:tcW w:w="1269" w:type="dxa"/>
          </w:tcPr>
          <w:p w14:paraId="1239DE65"/>
        </w:tc>
        <w:tc>
          <w:tcPr>
            <w:tcW w:w="669" w:type="dxa"/>
          </w:tcPr>
          <w:p w14:paraId="34F30F2A">
            <w:pPr>
              <w:pStyle w:val="10"/>
              <w:spacing w:before="88" w:line="157" w:lineRule="auto"/>
              <w:ind w:left="225"/>
              <w:rPr>
                <w:sz w:val="20"/>
                <w:szCs w:val="20"/>
              </w:rPr>
            </w:pPr>
            <w:r>
              <w:rPr>
                <w:spacing w:val="-6"/>
                <w:sz w:val="20"/>
                <w:szCs w:val="20"/>
              </w:rPr>
              <w:t>10</w:t>
            </w:r>
          </w:p>
        </w:tc>
        <w:tc>
          <w:tcPr>
            <w:tcW w:w="859" w:type="dxa"/>
          </w:tcPr>
          <w:p w14:paraId="324844CC"/>
        </w:tc>
        <w:tc>
          <w:tcPr>
            <w:tcW w:w="1413" w:type="dxa"/>
          </w:tcPr>
          <w:p w14:paraId="496332F7"/>
        </w:tc>
      </w:tr>
      <w:tr w14:paraId="289B8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cPr>
          <w:p w14:paraId="6CF94112"/>
        </w:tc>
        <w:tc>
          <w:tcPr>
            <w:tcW w:w="2031" w:type="dxa"/>
            <w:gridSpan w:val="2"/>
          </w:tcPr>
          <w:p w14:paraId="7C60A8A4">
            <w:pPr>
              <w:pStyle w:val="10"/>
              <w:spacing w:before="28" w:line="204" w:lineRule="auto"/>
              <w:ind w:left="91"/>
              <w:rPr>
                <w:sz w:val="20"/>
                <w:szCs w:val="20"/>
              </w:rPr>
            </w:pPr>
            <w:r>
              <w:rPr>
                <w:spacing w:val="-1"/>
                <w:sz w:val="20"/>
                <w:szCs w:val="20"/>
              </w:rPr>
              <w:t>其中：当年财政拨款</w:t>
            </w:r>
          </w:p>
        </w:tc>
        <w:tc>
          <w:tcPr>
            <w:tcW w:w="1196" w:type="dxa"/>
          </w:tcPr>
          <w:p w14:paraId="64ACBB8C"/>
        </w:tc>
        <w:tc>
          <w:tcPr>
            <w:tcW w:w="1229" w:type="dxa"/>
          </w:tcPr>
          <w:p w14:paraId="67C607B3"/>
        </w:tc>
        <w:tc>
          <w:tcPr>
            <w:tcW w:w="1269" w:type="dxa"/>
          </w:tcPr>
          <w:p w14:paraId="0D76156E"/>
        </w:tc>
        <w:tc>
          <w:tcPr>
            <w:tcW w:w="669" w:type="dxa"/>
          </w:tcPr>
          <w:p w14:paraId="73108465"/>
        </w:tc>
        <w:tc>
          <w:tcPr>
            <w:tcW w:w="859" w:type="dxa"/>
          </w:tcPr>
          <w:p w14:paraId="28C4F7D9"/>
        </w:tc>
        <w:tc>
          <w:tcPr>
            <w:tcW w:w="1413" w:type="dxa"/>
          </w:tcPr>
          <w:p w14:paraId="676C7B02"/>
        </w:tc>
      </w:tr>
      <w:tr w14:paraId="4E432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tcPr>
          <w:p w14:paraId="44757BF6"/>
        </w:tc>
        <w:tc>
          <w:tcPr>
            <w:tcW w:w="2031" w:type="dxa"/>
            <w:gridSpan w:val="2"/>
          </w:tcPr>
          <w:p w14:paraId="1C13A5B9">
            <w:pPr>
              <w:pStyle w:val="10"/>
              <w:spacing w:before="28" w:line="204" w:lineRule="auto"/>
              <w:ind w:left="681"/>
              <w:rPr>
                <w:sz w:val="20"/>
                <w:szCs w:val="20"/>
              </w:rPr>
            </w:pPr>
            <w:r>
              <w:rPr>
                <w:spacing w:val="-2"/>
                <w:sz w:val="20"/>
                <w:szCs w:val="20"/>
              </w:rPr>
              <w:t>上年结转资金</w:t>
            </w:r>
          </w:p>
        </w:tc>
        <w:tc>
          <w:tcPr>
            <w:tcW w:w="1196" w:type="dxa"/>
          </w:tcPr>
          <w:p w14:paraId="6B95DB6B"/>
        </w:tc>
        <w:tc>
          <w:tcPr>
            <w:tcW w:w="1229" w:type="dxa"/>
          </w:tcPr>
          <w:p w14:paraId="7D3F0AC4"/>
        </w:tc>
        <w:tc>
          <w:tcPr>
            <w:tcW w:w="1269" w:type="dxa"/>
          </w:tcPr>
          <w:p w14:paraId="366EA30F"/>
        </w:tc>
        <w:tc>
          <w:tcPr>
            <w:tcW w:w="669" w:type="dxa"/>
          </w:tcPr>
          <w:p w14:paraId="458ADC21"/>
        </w:tc>
        <w:tc>
          <w:tcPr>
            <w:tcW w:w="859" w:type="dxa"/>
          </w:tcPr>
          <w:p w14:paraId="57F93EF8"/>
        </w:tc>
        <w:tc>
          <w:tcPr>
            <w:tcW w:w="1413" w:type="dxa"/>
          </w:tcPr>
          <w:p w14:paraId="0EC020C5"/>
        </w:tc>
      </w:tr>
      <w:tr w14:paraId="432FE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cBorders>
              <w:top w:val="nil"/>
            </w:tcBorders>
          </w:tcPr>
          <w:p w14:paraId="387850D0"/>
        </w:tc>
        <w:tc>
          <w:tcPr>
            <w:tcW w:w="2031" w:type="dxa"/>
            <w:gridSpan w:val="2"/>
          </w:tcPr>
          <w:p w14:paraId="53FD5901">
            <w:pPr>
              <w:pStyle w:val="10"/>
              <w:spacing w:before="29" w:line="193" w:lineRule="auto"/>
              <w:ind w:left="590"/>
              <w:rPr>
                <w:sz w:val="20"/>
                <w:szCs w:val="20"/>
              </w:rPr>
            </w:pPr>
            <w:r>
              <w:rPr>
                <w:spacing w:val="-2"/>
                <w:sz w:val="20"/>
                <w:szCs w:val="20"/>
              </w:rPr>
              <w:t>其他资金</w:t>
            </w:r>
          </w:p>
        </w:tc>
        <w:tc>
          <w:tcPr>
            <w:tcW w:w="1196" w:type="dxa"/>
          </w:tcPr>
          <w:p w14:paraId="1B304CC9">
            <w:pPr>
              <w:spacing w:line="239" w:lineRule="exact"/>
              <w:rPr>
                <w:sz w:val="20"/>
              </w:rPr>
            </w:pPr>
          </w:p>
        </w:tc>
        <w:tc>
          <w:tcPr>
            <w:tcW w:w="1229" w:type="dxa"/>
          </w:tcPr>
          <w:p w14:paraId="76E1FE25">
            <w:pPr>
              <w:spacing w:line="239" w:lineRule="exact"/>
              <w:rPr>
                <w:sz w:val="20"/>
              </w:rPr>
            </w:pPr>
          </w:p>
        </w:tc>
        <w:tc>
          <w:tcPr>
            <w:tcW w:w="1269" w:type="dxa"/>
          </w:tcPr>
          <w:p w14:paraId="3D51EEDA">
            <w:pPr>
              <w:spacing w:line="239" w:lineRule="exact"/>
              <w:rPr>
                <w:sz w:val="20"/>
              </w:rPr>
            </w:pPr>
          </w:p>
        </w:tc>
        <w:tc>
          <w:tcPr>
            <w:tcW w:w="669" w:type="dxa"/>
          </w:tcPr>
          <w:p w14:paraId="290A5280">
            <w:pPr>
              <w:spacing w:line="239" w:lineRule="exact"/>
              <w:rPr>
                <w:sz w:val="20"/>
              </w:rPr>
            </w:pPr>
          </w:p>
        </w:tc>
        <w:tc>
          <w:tcPr>
            <w:tcW w:w="859" w:type="dxa"/>
          </w:tcPr>
          <w:p w14:paraId="1AF7591E">
            <w:pPr>
              <w:spacing w:line="239" w:lineRule="exact"/>
              <w:rPr>
                <w:sz w:val="20"/>
              </w:rPr>
            </w:pPr>
          </w:p>
        </w:tc>
        <w:tc>
          <w:tcPr>
            <w:tcW w:w="1413" w:type="dxa"/>
          </w:tcPr>
          <w:p w14:paraId="7D2017D8">
            <w:pPr>
              <w:spacing w:line="239" w:lineRule="exact"/>
              <w:rPr>
                <w:sz w:val="20"/>
              </w:rPr>
            </w:pPr>
          </w:p>
        </w:tc>
      </w:tr>
      <w:tr w14:paraId="1B6E5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restart"/>
            <w:tcBorders>
              <w:bottom w:val="nil"/>
            </w:tcBorders>
          </w:tcPr>
          <w:p w14:paraId="21042F90">
            <w:pPr>
              <w:spacing w:line="292" w:lineRule="auto"/>
            </w:pPr>
          </w:p>
          <w:p w14:paraId="2187D9BE">
            <w:pPr>
              <w:pStyle w:val="10"/>
              <w:spacing w:before="65" w:line="226" w:lineRule="auto"/>
              <w:ind w:left="324" w:right="147" w:hanging="200"/>
              <w:rPr>
                <w:sz w:val="20"/>
                <w:szCs w:val="20"/>
              </w:rPr>
            </w:pPr>
            <w:r>
              <w:rPr>
                <w:spacing w:val="-3"/>
                <w:sz w:val="20"/>
                <w:szCs w:val="20"/>
              </w:rPr>
              <w:t>年度总体</w:t>
            </w:r>
            <w:r>
              <w:rPr>
                <w:spacing w:val="2"/>
                <w:sz w:val="20"/>
                <w:szCs w:val="20"/>
              </w:rPr>
              <w:t xml:space="preserve"> </w:t>
            </w:r>
            <w:r>
              <w:rPr>
                <w:spacing w:val="8"/>
                <w:sz w:val="20"/>
                <w:szCs w:val="20"/>
              </w:rPr>
              <w:t>目标</w:t>
            </w:r>
          </w:p>
        </w:tc>
        <w:tc>
          <w:tcPr>
            <w:tcW w:w="4456" w:type="dxa"/>
            <w:gridSpan w:val="4"/>
          </w:tcPr>
          <w:p w14:paraId="313A79E6">
            <w:pPr>
              <w:pStyle w:val="10"/>
              <w:spacing w:before="31" w:line="202" w:lineRule="auto"/>
              <w:ind w:left="1820"/>
              <w:rPr>
                <w:sz w:val="20"/>
                <w:szCs w:val="20"/>
              </w:rPr>
            </w:pPr>
            <w:r>
              <w:rPr>
                <w:spacing w:val="-2"/>
                <w:sz w:val="20"/>
                <w:szCs w:val="20"/>
              </w:rPr>
              <w:t>预期目标</w:t>
            </w:r>
          </w:p>
        </w:tc>
        <w:tc>
          <w:tcPr>
            <w:tcW w:w="4210" w:type="dxa"/>
            <w:gridSpan w:val="4"/>
          </w:tcPr>
          <w:p w14:paraId="70B9E51E">
            <w:pPr>
              <w:pStyle w:val="10"/>
              <w:spacing w:before="30" w:line="203" w:lineRule="auto"/>
              <w:ind w:left="1535"/>
              <w:rPr>
                <w:sz w:val="20"/>
                <w:szCs w:val="20"/>
              </w:rPr>
            </w:pPr>
            <w:r>
              <w:rPr>
                <w:spacing w:val="1"/>
                <w:sz w:val="20"/>
                <w:szCs w:val="20"/>
              </w:rPr>
              <w:t>实际完成情况</w:t>
            </w:r>
          </w:p>
        </w:tc>
      </w:tr>
      <w:tr w14:paraId="3047E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074" w:type="dxa"/>
            <w:vMerge w:val="continue"/>
            <w:tcBorders>
              <w:top w:val="nil"/>
            </w:tcBorders>
          </w:tcPr>
          <w:p w14:paraId="3CF98E88"/>
        </w:tc>
        <w:tc>
          <w:tcPr>
            <w:tcW w:w="4456" w:type="dxa"/>
            <w:gridSpan w:val="4"/>
          </w:tcPr>
          <w:p w14:paraId="1F7AAADE"/>
        </w:tc>
        <w:tc>
          <w:tcPr>
            <w:tcW w:w="4210" w:type="dxa"/>
            <w:gridSpan w:val="4"/>
          </w:tcPr>
          <w:p w14:paraId="426901A6"/>
        </w:tc>
      </w:tr>
      <w:tr w14:paraId="2AACC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cBorders>
              <w:bottom w:val="nil"/>
            </w:tcBorders>
            <w:textDirection w:val="tbRlV"/>
          </w:tcPr>
          <w:p w14:paraId="218023F5">
            <w:pPr>
              <w:spacing w:line="360" w:lineRule="auto"/>
            </w:pPr>
          </w:p>
          <w:p w14:paraId="083C9064">
            <w:pPr>
              <w:pStyle w:val="10"/>
              <w:spacing w:before="67" w:line="217" w:lineRule="auto"/>
              <w:ind w:left="3033"/>
              <w:rPr>
                <w:sz w:val="20"/>
                <w:szCs w:val="20"/>
              </w:rPr>
            </w:pPr>
            <w:r>
              <w:rPr>
                <w:sz w:val="20"/>
                <w:szCs w:val="20"/>
              </w:rPr>
              <w:t>绩</w:t>
            </w:r>
            <w:r>
              <w:rPr>
                <w:spacing w:val="-29"/>
                <w:sz w:val="20"/>
                <w:szCs w:val="20"/>
              </w:rPr>
              <w:t xml:space="preserve"> </w:t>
            </w:r>
            <w:r>
              <w:rPr>
                <w:sz w:val="20"/>
                <w:szCs w:val="20"/>
              </w:rPr>
              <w:t>效</w:t>
            </w:r>
            <w:r>
              <w:rPr>
                <w:spacing w:val="-29"/>
                <w:sz w:val="20"/>
                <w:szCs w:val="20"/>
              </w:rPr>
              <w:t xml:space="preserve"> </w:t>
            </w:r>
            <w:r>
              <w:rPr>
                <w:sz w:val="20"/>
                <w:szCs w:val="20"/>
              </w:rPr>
              <w:t>指</w:t>
            </w:r>
            <w:r>
              <w:rPr>
                <w:spacing w:val="-29"/>
                <w:sz w:val="20"/>
                <w:szCs w:val="20"/>
              </w:rPr>
              <w:t xml:space="preserve"> </w:t>
            </w:r>
            <w:r>
              <w:rPr>
                <w:sz w:val="20"/>
                <w:szCs w:val="20"/>
              </w:rPr>
              <w:t>标</w:t>
            </w:r>
          </w:p>
        </w:tc>
        <w:tc>
          <w:tcPr>
            <w:tcW w:w="1059" w:type="dxa"/>
          </w:tcPr>
          <w:p w14:paraId="2A51CD44">
            <w:pPr>
              <w:pStyle w:val="10"/>
              <w:spacing w:before="141" w:line="220" w:lineRule="auto"/>
              <w:ind w:left="120"/>
              <w:rPr>
                <w:sz w:val="20"/>
                <w:szCs w:val="20"/>
              </w:rPr>
            </w:pPr>
            <w:r>
              <w:rPr>
                <w:spacing w:val="-3"/>
                <w:sz w:val="20"/>
                <w:szCs w:val="20"/>
              </w:rPr>
              <w:t>一级指标</w:t>
            </w:r>
          </w:p>
        </w:tc>
        <w:tc>
          <w:tcPr>
            <w:tcW w:w="972" w:type="dxa"/>
          </w:tcPr>
          <w:p w14:paraId="0CC0C7FA">
            <w:pPr>
              <w:pStyle w:val="10"/>
              <w:spacing w:before="12" w:line="206" w:lineRule="auto"/>
              <w:ind w:left="362" w:right="153" w:hanging="200"/>
              <w:rPr>
                <w:sz w:val="20"/>
                <w:szCs w:val="20"/>
              </w:rPr>
            </w:pPr>
            <w:r>
              <w:rPr>
                <w:spacing w:val="4"/>
                <w:sz w:val="20"/>
                <w:szCs w:val="20"/>
              </w:rPr>
              <w:t>二级指</w:t>
            </w:r>
            <w:r>
              <w:rPr>
                <w:sz w:val="20"/>
                <w:szCs w:val="20"/>
              </w:rPr>
              <w:t xml:space="preserve"> 标</w:t>
            </w:r>
          </w:p>
        </w:tc>
        <w:tc>
          <w:tcPr>
            <w:tcW w:w="1196" w:type="dxa"/>
          </w:tcPr>
          <w:p w14:paraId="23757854">
            <w:pPr>
              <w:pStyle w:val="10"/>
              <w:spacing w:before="141" w:line="220" w:lineRule="auto"/>
              <w:ind w:left="223"/>
              <w:rPr>
                <w:sz w:val="20"/>
                <w:szCs w:val="20"/>
              </w:rPr>
            </w:pPr>
            <w:r>
              <w:rPr>
                <w:spacing w:val="-2"/>
                <w:sz w:val="20"/>
                <w:szCs w:val="20"/>
              </w:rPr>
              <w:t>三级指标</w:t>
            </w:r>
          </w:p>
        </w:tc>
        <w:tc>
          <w:tcPr>
            <w:tcW w:w="1229" w:type="dxa"/>
          </w:tcPr>
          <w:p w14:paraId="1B6B96A2">
            <w:pPr>
              <w:pStyle w:val="10"/>
              <w:spacing w:before="11" w:line="203" w:lineRule="auto"/>
              <w:ind w:left="404"/>
              <w:rPr>
                <w:sz w:val="20"/>
                <w:szCs w:val="20"/>
              </w:rPr>
            </w:pPr>
            <w:r>
              <w:rPr>
                <w:spacing w:val="5"/>
                <w:sz w:val="20"/>
                <w:szCs w:val="20"/>
              </w:rPr>
              <w:t>年度</w:t>
            </w:r>
          </w:p>
          <w:p w14:paraId="38AF4859">
            <w:pPr>
              <w:pStyle w:val="10"/>
              <w:spacing w:line="210" w:lineRule="auto"/>
              <w:ind w:left="303"/>
              <w:rPr>
                <w:sz w:val="20"/>
                <w:szCs w:val="20"/>
              </w:rPr>
            </w:pPr>
            <w:r>
              <w:rPr>
                <w:spacing w:val="-3"/>
                <w:sz w:val="20"/>
                <w:szCs w:val="20"/>
              </w:rPr>
              <w:t>指标值</w:t>
            </w:r>
          </w:p>
        </w:tc>
        <w:tc>
          <w:tcPr>
            <w:tcW w:w="1269" w:type="dxa"/>
          </w:tcPr>
          <w:p w14:paraId="1D1C33AA">
            <w:pPr>
              <w:pStyle w:val="10"/>
              <w:spacing w:before="11" w:line="221" w:lineRule="auto"/>
              <w:ind w:left="425"/>
              <w:rPr>
                <w:sz w:val="20"/>
                <w:szCs w:val="20"/>
              </w:rPr>
            </w:pPr>
            <w:r>
              <w:rPr>
                <w:spacing w:val="4"/>
                <w:sz w:val="20"/>
                <w:szCs w:val="20"/>
              </w:rPr>
              <w:t>实际</w:t>
            </w:r>
          </w:p>
          <w:p w14:paraId="0779D57F">
            <w:pPr>
              <w:pStyle w:val="10"/>
              <w:spacing w:line="192" w:lineRule="auto"/>
              <w:ind w:left="325"/>
              <w:rPr>
                <w:sz w:val="20"/>
                <w:szCs w:val="20"/>
              </w:rPr>
            </w:pPr>
            <w:r>
              <w:rPr>
                <w:spacing w:val="-3"/>
                <w:sz w:val="20"/>
                <w:szCs w:val="20"/>
              </w:rPr>
              <w:t>完成值</w:t>
            </w:r>
          </w:p>
        </w:tc>
        <w:tc>
          <w:tcPr>
            <w:tcW w:w="669" w:type="dxa"/>
          </w:tcPr>
          <w:p w14:paraId="1F0B01FA">
            <w:pPr>
              <w:pStyle w:val="10"/>
              <w:spacing w:before="141" w:line="219" w:lineRule="auto"/>
              <w:ind w:left="126"/>
              <w:rPr>
                <w:sz w:val="20"/>
                <w:szCs w:val="20"/>
              </w:rPr>
            </w:pPr>
            <w:r>
              <w:rPr>
                <w:spacing w:val="-3"/>
                <w:sz w:val="20"/>
                <w:szCs w:val="20"/>
              </w:rPr>
              <w:t>分值</w:t>
            </w:r>
          </w:p>
        </w:tc>
        <w:tc>
          <w:tcPr>
            <w:tcW w:w="859" w:type="dxa"/>
          </w:tcPr>
          <w:p w14:paraId="2A6BC86B">
            <w:pPr>
              <w:pStyle w:val="10"/>
              <w:spacing w:before="141" w:line="219" w:lineRule="auto"/>
              <w:ind w:left="26"/>
              <w:rPr>
                <w:sz w:val="20"/>
                <w:szCs w:val="20"/>
              </w:rPr>
            </w:pPr>
            <w:r>
              <w:rPr>
                <w:spacing w:val="2"/>
                <w:sz w:val="20"/>
                <w:szCs w:val="20"/>
              </w:rPr>
              <w:t>自评得分</w:t>
            </w:r>
          </w:p>
        </w:tc>
        <w:tc>
          <w:tcPr>
            <w:tcW w:w="1413" w:type="dxa"/>
          </w:tcPr>
          <w:p w14:paraId="778025B6">
            <w:pPr>
              <w:pStyle w:val="10"/>
              <w:spacing w:before="10" w:line="207" w:lineRule="auto"/>
              <w:ind w:left="107" w:right="112" w:hanging="9"/>
              <w:rPr>
                <w:sz w:val="20"/>
                <w:szCs w:val="20"/>
              </w:rPr>
            </w:pPr>
            <w:r>
              <w:rPr>
                <w:spacing w:val="-2"/>
                <w:sz w:val="20"/>
                <w:szCs w:val="20"/>
              </w:rPr>
              <w:t>偏差原因分析</w:t>
            </w:r>
            <w:r>
              <w:rPr>
                <w:spacing w:val="3"/>
                <w:sz w:val="20"/>
                <w:szCs w:val="20"/>
              </w:rPr>
              <w:t xml:space="preserve"> </w:t>
            </w:r>
            <w:r>
              <w:rPr>
                <w:spacing w:val="-2"/>
                <w:sz w:val="20"/>
                <w:szCs w:val="20"/>
              </w:rPr>
              <w:t>及改进措施</w:t>
            </w:r>
          </w:p>
        </w:tc>
      </w:tr>
      <w:tr w14:paraId="65A01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tcPr>
          <w:p w14:paraId="69BB8C3B"/>
        </w:tc>
        <w:tc>
          <w:tcPr>
            <w:tcW w:w="1059" w:type="dxa"/>
            <w:vMerge w:val="restart"/>
            <w:tcBorders>
              <w:bottom w:val="nil"/>
            </w:tcBorders>
          </w:tcPr>
          <w:p w14:paraId="7CE0446B">
            <w:pPr>
              <w:spacing w:line="255" w:lineRule="auto"/>
            </w:pPr>
          </w:p>
          <w:p w14:paraId="08D2E933">
            <w:pPr>
              <w:spacing w:line="255" w:lineRule="auto"/>
            </w:pPr>
          </w:p>
          <w:p w14:paraId="6D50798D">
            <w:pPr>
              <w:spacing w:line="255" w:lineRule="auto"/>
            </w:pPr>
          </w:p>
          <w:p w14:paraId="2CA0C7E7">
            <w:pPr>
              <w:spacing w:line="255" w:lineRule="auto"/>
            </w:pPr>
          </w:p>
          <w:p w14:paraId="6553D82C">
            <w:pPr>
              <w:pStyle w:val="10"/>
              <w:spacing w:before="65" w:line="511" w:lineRule="exact"/>
              <w:ind w:left="120"/>
              <w:rPr>
                <w:sz w:val="20"/>
                <w:szCs w:val="20"/>
              </w:rPr>
            </w:pPr>
            <w:r>
              <w:rPr>
                <w:spacing w:val="-2"/>
                <w:position w:val="24"/>
                <w:sz w:val="20"/>
                <w:szCs w:val="20"/>
              </w:rPr>
              <w:t>产出指标</w:t>
            </w:r>
          </w:p>
          <w:p w14:paraId="52086550">
            <w:pPr>
              <w:pStyle w:val="10"/>
              <w:spacing w:line="220" w:lineRule="auto"/>
              <w:ind w:left="221"/>
              <w:rPr>
                <w:sz w:val="20"/>
                <w:szCs w:val="20"/>
              </w:rPr>
            </w:pPr>
            <w:r>
              <w:rPr>
                <w:spacing w:val="8"/>
                <w:sz w:val="20"/>
                <w:szCs w:val="20"/>
              </w:rPr>
              <w:t>(50分)</w:t>
            </w:r>
          </w:p>
        </w:tc>
        <w:tc>
          <w:tcPr>
            <w:tcW w:w="972" w:type="dxa"/>
            <w:vMerge w:val="restart"/>
            <w:tcBorders>
              <w:bottom w:val="nil"/>
            </w:tcBorders>
          </w:tcPr>
          <w:p w14:paraId="16A6001D">
            <w:pPr>
              <w:pStyle w:val="10"/>
              <w:spacing w:before="122" w:line="230" w:lineRule="auto"/>
              <w:ind w:left="362" w:right="153" w:hanging="200"/>
              <w:rPr>
                <w:sz w:val="20"/>
                <w:szCs w:val="20"/>
              </w:rPr>
            </w:pPr>
            <w:r>
              <w:rPr>
                <w:spacing w:val="4"/>
                <w:sz w:val="20"/>
                <w:szCs w:val="20"/>
              </w:rPr>
              <w:t>数量指</w:t>
            </w:r>
            <w:r>
              <w:rPr>
                <w:sz w:val="20"/>
                <w:szCs w:val="20"/>
              </w:rPr>
              <w:t xml:space="preserve"> 标</w:t>
            </w:r>
          </w:p>
        </w:tc>
        <w:tc>
          <w:tcPr>
            <w:tcW w:w="1196" w:type="dxa"/>
          </w:tcPr>
          <w:p w14:paraId="56E8CB2F">
            <w:pPr>
              <w:spacing w:line="219" w:lineRule="exact"/>
              <w:rPr>
                <w:sz w:val="19"/>
              </w:rPr>
            </w:pPr>
          </w:p>
        </w:tc>
        <w:tc>
          <w:tcPr>
            <w:tcW w:w="1229" w:type="dxa"/>
          </w:tcPr>
          <w:p w14:paraId="1F4E57FD">
            <w:pPr>
              <w:spacing w:line="219" w:lineRule="exact"/>
              <w:rPr>
                <w:sz w:val="19"/>
              </w:rPr>
            </w:pPr>
          </w:p>
        </w:tc>
        <w:tc>
          <w:tcPr>
            <w:tcW w:w="1269" w:type="dxa"/>
          </w:tcPr>
          <w:p w14:paraId="4D74F5AE">
            <w:pPr>
              <w:spacing w:line="219" w:lineRule="exact"/>
              <w:rPr>
                <w:sz w:val="19"/>
              </w:rPr>
            </w:pPr>
          </w:p>
        </w:tc>
        <w:tc>
          <w:tcPr>
            <w:tcW w:w="669" w:type="dxa"/>
          </w:tcPr>
          <w:p w14:paraId="2DD8E5BF">
            <w:pPr>
              <w:spacing w:line="219" w:lineRule="exact"/>
              <w:rPr>
                <w:sz w:val="19"/>
              </w:rPr>
            </w:pPr>
          </w:p>
        </w:tc>
        <w:tc>
          <w:tcPr>
            <w:tcW w:w="859" w:type="dxa"/>
          </w:tcPr>
          <w:p w14:paraId="6153CC61">
            <w:pPr>
              <w:spacing w:line="219" w:lineRule="exact"/>
              <w:rPr>
                <w:sz w:val="19"/>
              </w:rPr>
            </w:pPr>
          </w:p>
        </w:tc>
        <w:tc>
          <w:tcPr>
            <w:tcW w:w="1413" w:type="dxa"/>
          </w:tcPr>
          <w:p w14:paraId="5BE8C673">
            <w:pPr>
              <w:spacing w:line="219" w:lineRule="exact"/>
              <w:rPr>
                <w:sz w:val="19"/>
              </w:rPr>
            </w:pPr>
          </w:p>
        </w:tc>
      </w:tr>
      <w:tr w14:paraId="7D30E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1873EF8E"/>
        </w:tc>
        <w:tc>
          <w:tcPr>
            <w:tcW w:w="1059" w:type="dxa"/>
            <w:vMerge w:val="continue"/>
            <w:tcBorders>
              <w:top w:val="nil"/>
              <w:bottom w:val="nil"/>
            </w:tcBorders>
          </w:tcPr>
          <w:p w14:paraId="63BCFA88"/>
        </w:tc>
        <w:tc>
          <w:tcPr>
            <w:tcW w:w="972" w:type="dxa"/>
            <w:vMerge w:val="continue"/>
            <w:tcBorders>
              <w:top w:val="nil"/>
              <w:bottom w:val="nil"/>
            </w:tcBorders>
          </w:tcPr>
          <w:p w14:paraId="378995C0"/>
        </w:tc>
        <w:tc>
          <w:tcPr>
            <w:tcW w:w="1196" w:type="dxa"/>
          </w:tcPr>
          <w:p w14:paraId="10146DE0">
            <w:pPr>
              <w:spacing w:line="220" w:lineRule="exact"/>
              <w:rPr>
                <w:sz w:val="19"/>
              </w:rPr>
            </w:pPr>
          </w:p>
        </w:tc>
        <w:tc>
          <w:tcPr>
            <w:tcW w:w="1229" w:type="dxa"/>
          </w:tcPr>
          <w:p w14:paraId="35DB7279">
            <w:pPr>
              <w:spacing w:line="220" w:lineRule="exact"/>
              <w:rPr>
                <w:sz w:val="19"/>
              </w:rPr>
            </w:pPr>
          </w:p>
        </w:tc>
        <w:tc>
          <w:tcPr>
            <w:tcW w:w="1269" w:type="dxa"/>
          </w:tcPr>
          <w:p w14:paraId="31069BAB">
            <w:pPr>
              <w:spacing w:line="220" w:lineRule="exact"/>
              <w:rPr>
                <w:sz w:val="19"/>
              </w:rPr>
            </w:pPr>
          </w:p>
        </w:tc>
        <w:tc>
          <w:tcPr>
            <w:tcW w:w="669" w:type="dxa"/>
          </w:tcPr>
          <w:p w14:paraId="1EBEC199">
            <w:pPr>
              <w:spacing w:line="220" w:lineRule="exact"/>
              <w:rPr>
                <w:sz w:val="19"/>
              </w:rPr>
            </w:pPr>
          </w:p>
        </w:tc>
        <w:tc>
          <w:tcPr>
            <w:tcW w:w="859" w:type="dxa"/>
          </w:tcPr>
          <w:p w14:paraId="35165EB5">
            <w:pPr>
              <w:spacing w:line="220" w:lineRule="exact"/>
              <w:rPr>
                <w:sz w:val="19"/>
              </w:rPr>
            </w:pPr>
          </w:p>
        </w:tc>
        <w:tc>
          <w:tcPr>
            <w:tcW w:w="1413" w:type="dxa"/>
          </w:tcPr>
          <w:p w14:paraId="4C3467BB">
            <w:pPr>
              <w:spacing w:line="220" w:lineRule="exact"/>
              <w:rPr>
                <w:sz w:val="19"/>
              </w:rPr>
            </w:pPr>
          </w:p>
        </w:tc>
      </w:tr>
      <w:tr w14:paraId="2B913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1CCA3B4E"/>
        </w:tc>
        <w:tc>
          <w:tcPr>
            <w:tcW w:w="1059" w:type="dxa"/>
            <w:vMerge w:val="continue"/>
            <w:tcBorders>
              <w:top w:val="nil"/>
              <w:bottom w:val="nil"/>
            </w:tcBorders>
          </w:tcPr>
          <w:p w14:paraId="162C3743"/>
        </w:tc>
        <w:tc>
          <w:tcPr>
            <w:tcW w:w="972" w:type="dxa"/>
            <w:vMerge w:val="continue"/>
            <w:tcBorders>
              <w:top w:val="nil"/>
            </w:tcBorders>
          </w:tcPr>
          <w:p w14:paraId="75CD475E"/>
        </w:tc>
        <w:tc>
          <w:tcPr>
            <w:tcW w:w="1196" w:type="dxa"/>
          </w:tcPr>
          <w:p w14:paraId="372DEE54">
            <w:pPr>
              <w:spacing w:line="220" w:lineRule="exact"/>
              <w:rPr>
                <w:sz w:val="19"/>
              </w:rPr>
            </w:pPr>
          </w:p>
        </w:tc>
        <w:tc>
          <w:tcPr>
            <w:tcW w:w="1229" w:type="dxa"/>
          </w:tcPr>
          <w:p w14:paraId="5770B3C6">
            <w:pPr>
              <w:spacing w:line="220" w:lineRule="exact"/>
              <w:rPr>
                <w:sz w:val="19"/>
              </w:rPr>
            </w:pPr>
          </w:p>
        </w:tc>
        <w:tc>
          <w:tcPr>
            <w:tcW w:w="1269" w:type="dxa"/>
          </w:tcPr>
          <w:p w14:paraId="69DD5985">
            <w:pPr>
              <w:spacing w:line="220" w:lineRule="exact"/>
              <w:rPr>
                <w:sz w:val="19"/>
              </w:rPr>
            </w:pPr>
          </w:p>
        </w:tc>
        <w:tc>
          <w:tcPr>
            <w:tcW w:w="669" w:type="dxa"/>
          </w:tcPr>
          <w:p w14:paraId="575477D1">
            <w:pPr>
              <w:spacing w:line="220" w:lineRule="exact"/>
              <w:rPr>
                <w:sz w:val="19"/>
              </w:rPr>
            </w:pPr>
          </w:p>
        </w:tc>
        <w:tc>
          <w:tcPr>
            <w:tcW w:w="859" w:type="dxa"/>
          </w:tcPr>
          <w:p w14:paraId="7F14C0BB">
            <w:pPr>
              <w:spacing w:line="220" w:lineRule="exact"/>
              <w:rPr>
                <w:sz w:val="19"/>
              </w:rPr>
            </w:pPr>
          </w:p>
        </w:tc>
        <w:tc>
          <w:tcPr>
            <w:tcW w:w="1413" w:type="dxa"/>
          </w:tcPr>
          <w:p w14:paraId="17D68578">
            <w:pPr>
              <w:spacing w:line="220" w:lineRule="exact"/>
              <w:rPr>
                <w:sz w:val="19"/>
              </w:rPr>
            </w:pPr>
          </w:p>
        </w:tc>
      </w:tr>
      <w:tr w14:paraId="13191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3FDB61A1"/>
        </w:tc>
        <w:tc>
          <w:tcPr>
            <w:tcW w:w="1059" w:type="dxa"/>
            <w:vMerge w:val="continue"/>
            <w:tcBorders>
              <w:top w:val="nil"/>
              <w:bottom w:val="nil"/>
            </w:tcBorders>
          </w:tcPr>
          <w:p w14:paraId="567AA536"/>
        </w:tc>
        <w:tc>
          <w:tcPr>
            <w:tcW w:w="972" w:type="dxa"/>
            <w:vMerge w:val="restart"/>
            <w:tcBorders>
              <w:bottom w:val="nil"/>
            </w:tcBorders>
          </w:tcPr>
          <w:p w14:paraId="755C8517">
            <w:pPr>
              <w:pStyle w:val="10"/>
              <w:spacing w:before="124" w:line="225" w:lineRule="auto"/>
              <w:ind w:left="362" w:right="153" w:hanging="200"/>
              <w:rPr>
                <w:sz w:val="20"/>
                <w:szCs w:val="20"/>
              </w:rPr>
            </w:pPr>
            <w:r>
              <w:rPr>
                <w:spacing w:val="4"/>
                <w:sz w:val="20"/>
                <w:szCs w:val="20"/>
              </w:rPr>
              <w:t>质量指</w:t>
            </w:r>
            <w:r>
              <w:rPr>
                <w:sz w:val="20"/>
                <w:szCs w:val="20"/>
              </w:rPr>
              <w:t xml:space="preserve"> 标</w:t>
            </w:r>
          </w:p>
        </w:tc>
        <w:tc>
          <w:tcPr>
            <w:tcW w:w="1196" w:type="dxa"/>
          </w:tcPr>
          <w:p w14:paraId="32DABE49">
            <w:pPr>
              <w:spacing w:line="220" w:lineRule="exact"/>
              <w:rPr>
                <w:sz w:val="19"/>
              </w:rPr>
            </w:pPr>
          </w:p>
        </w:tc>
        <w:tc>
          <w:tcPr>
            <w:tcW w:w="1229" w:type="dxa"/>
          </w:tcPr>
          <w:p w14:paraId="467538B5">
            <w:pPr>
              <w:spacing w:line="220" w:lineRule="exact"/>
              <w:rPr>
                <w:sz w:val="19"/>
              </w:rPr>
            </w:pPr>
          </w:p>
        </w:tc>
        <w:tc>
          <w:tcPr>
            <w:tcW w:w="1269" w:type="dxa"/>
          </w:tcPr>
          <w:p w14:paraId="026FABD0">
            <w:pPr>
              <w:spacing w:line="220" w:lineRule="exact"/>
              <w:rPr>
                <w:sz w:val="19"/>
              </w:rPr>
            </w:pPr>
          </w:p>
        </w:tc>
        <w:tc>
          <w:tcPr>
            <w:tcW w:w="669" w:type="dxa"/>
          </w:tcPr>
          <w:p w14:paraId="43A0EF70">
            <w:pPr>
              <w:spacing w:line="220" w:lineRule="exact"/>
              <w:rPr>
                <w:sz w:val="19"/>
              </w:rPr>
            </w:pPr>
          </w:p>
        </w:tc>
        <w:tc>
          <w:tcPr>
            <w:tcW w:w="859" w:type="dxa"/>
          </w:tcPr>
          <w:p w14:paraId="0293997C">
            <w:pPr>
              <w:spacing w:line="220" w:lineRule="exact"/>
              <w:rPr>
                <w:sz w:val="19"/>
              </w:rPr>
            </w:pPr>
          </w:p>
        </w:tc>
        <w:tc>
          <w:tcPr>
            <w:tcW w:w="1413" w:type="dxa"/>
          </w:tcPr>
          <w:p w14:paraId="5AF4CA5E">
            <w:pPr>
              <w:spacing w:line="220" w:lineRule="exact"/>
              <w:rPr>
                <w:sz w:val="19"/>
              </w:rPr>
            </w:pPr>
          </w:p>
        </w:tc>
      </w:tr>
      <w:tr w14:paraId="1B29F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tcPr>
          <w:p w14:paraId="07F6621E"/>
        </w:tc>
        <w:tc>
          <w:tcPr>
            <w:tcW w:w="1059" w:type="dxa"/>
            <w:vMerge w:val="continue"/>
            <w:tcBorders>
              <w:top w:val="nil"/>
              <w:bottom w:val="nil"/>
            </w:tcBorders>
          </w:tcPr>
          <w:p w14:paraId="0EF958B4"/>
        </w:tc>
        <w:tc>
          <w:tcPr>
            <w:tcW w:w="972" w:type="dxa"/>
            <w:vMerge w:val="continue"/>
            <w:tcBorders>
              <w:top w:val="nil"/>
              <w:bottom w:val="nil"/>
            </w:tcBorders>
          </w:tcPr>
          <w:p w14:paraId="0AA042DC"/>
        </w:tc>
        <w:tc>
          <w:tcPr>
            <w:tcW w:w="1196" w:type="dxa"/>
          </w:tcPr>
          <w:p w14:paraId="68DF64F1">
            <w:pPr>
              <w:spacing w:line="219" w:lineRule="exact"/>
              <w:rPr>
                <w:sz w:val="19"/>
              </w:rPr>
            </w:pPr>
          </w:p>
        </w:tc>
        <w:tc>
          <w:tcPr>
            <w:tcW w:w="1229" w:type="dxa"/>
          </w:tcPr>
          <w:p w14:paraId="623C9909">
            <w:pPr>
              <w:spacing w:line="219" w:lineRule="exact"/>
              <w:rPr>
                <w:sz w:val="19"/>
              </w:rPr>
            </w:pPr>
          </w:p>
        </w:tc>
        <w:tc>
          <w:tcPr>
            <w:tcW w:w="1269" w:type="dxa"/>
          </w:tcPr>
          <w:p w14:paraId="5938842D">
            <w:pPr>
              <w:spacing w:line="219" w:lineRule="exact"/>
              <w:rPr>
                <w:sz w:val="19"/>
              </w:rPr>
            </w:pPr>
          </w:p>
        </w:tc>
        <w:tc>
          <w:tcPr>
            <w:tcW w:w="669" w:type="dxa"/>
          </w:tcPr>
          <w:p w14:paraId="0989497F">
            <w:pPr>
              <w:spacing w:line="219" w:lineRule="exact"/>
              <w:rPr>
                <w:sz w:val="19"/>
              </w:rPr>
            </w:pPr>
          </w:p>
        </w:tc>
        <w:tc>
          <w:tcPr>
            <w:tcW w:w="859" w:type="dxa"/>
          </w:tcPr>
          <w:p w14:paraId="5662FF50">
            <w:pPr>
              <w:spacing w:line="219" w:lineRule="exact"/>
              <w:rPr>
                <w:sz w:val="19"/>
              </w:rPr>
            </w:pPr>
          </w:p>
        </w:tc>
        <w:tc>
          <w:tcPr>
            <w:tcW w:w="1413" w:type="dxa"/>
          </w:tcPr>
          <w:p w14:paraId="2C18361A">
            <w:pPr>
              <w:spacing w:line="219" w:lineRule="exact"/>
              <w:rPr>
                <w:sz w:val="19"/>
              </w:rPr>
            </w:pPr>
          </w:p>
        </w:tc>
      </w:tr>
      <w:tr w14:paraId="0AD3A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4E737698"/>
        </w:tc>
        <w:tc>
          <w:tcPr>
            <w:tcW w:w="1059" w:type="dxa"/>
            <w:vMerge w:val="continue"/>
            <w:tcBorders>
              <w:top w:val="nil"/>
              <w:bottom w:val="nil"/>
            </w:tcBorders>
          </w:tcPr>
          <w:p w14:paraId="2D178EDF"/>
        </w:tc>
        <w:tc>
          <w:tcPr>
            <w:tcW w:w="972" w:type="dxa"/>
            <w:vMerge w:val="continue"/>
            <w:tcBorders>
              <w:top w:val="nil"/>
            </w:tcBorders>
          </w:tcPr>
          <w:p w14:paraId="0039E27D"/>
        </w:tc>
        <w:tc>
          <w:tcPr>
            <w:tcW w:w="1196" w:type="dxa"/>
          </w:tcPr>
          <w:p w14:paraId="5C186DDE">
            <w:pPr>
              <w:spacing w:line="220" w:lineRule="exact"/>
              <w:rPr>
                <w:sz w:val="19"/>
              </w:rPr>
            </w:pPr>
          </w:p>
        </w:tc>
        <w:tc>
          <w:tcPr>
            <w:tcW w:w="1229" w:type="dxa"/>
          </w:tcPr>
          <w:p w14:paraId="5011B7E5">
            <w:pPr>
              <w:spacing w:line="220" w:lineRule="exact"/>
              <w:rPr>
                <w:sz w:val="19"/>
              </w:rPr>
            </w:pPr>
          </w:p>
        </w:tc>
        <w:tc>
          <w:tcPr>
            <w:tcW w:w="1269" w:type="dxa"/>
          </w:tcPr>
          <w:p w14:paraId="1189E9FC">
            <w:pPr>
              <w:spacing w:line="220" w:lineRule="exact"/>
              <w:rPr>
                <w:sz w:val="19"/>
              </w:rPr>
            </w:pPr>
          </w:p>
        </w:tc>
        <w:tc>
          <w:tcPr>
            <w:tcW w:w="669" w:type="dxa"/>
          </w:tcPr>
          <w:p w14:paraId="150176FB">
            <w:pPr>
              <w:spacing w:line="220" w:lineRule="exact"/>
              <w:rPr>
                <w:sz w:val="19"/>
              </w:rPr>
            </w:pPr>
          </w:p>
        </w:tc>
        <w:tc>
          <w:tcPr>
            <w:tcW w:w="859" w:type="dxa"/>
          </w:tcPr>
          <w:p w14:paraId="3DB4F3F1">
            <w:pPr>
              <w:spacing w:line="220" w:lineRule="exact"/>
              <w:rPr>
                <w:sz w:val="19"/>
              </w:rPr>
            </w:pPr>
          </w:p>
        </w:tc>
        <w:tc>
          <w:tcPr>
            <w:tcW w:w="1413" w:type="dxa"/>
          </w:tcPr>
          <w:p w14:paraId="48A49B71">
            <w:pPr>
              <w:spacing w:line="220" w:lineRule="exact"/>
              <w:rPr>
                <w:sz w:val="19"/>
              </w:rPr>
            </w:pPr>
          </w:p>
        </w:tc>
      </w:tr>
      <w:tr w14:paraId="5AB54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tcPr>
          <w:p w14:paraId="334D15D1"/>
        </w:tc>
        <w:tc>
          <w:tcPr>
            <w:tcW w:w="1059" w:type="dxa"/>
            <w:vMerge w:val="continue"/>
            <w:tcBorders>
              <w:top w:val="nil"/>
              <w:bottom w:val="nil"/>
            </w:tcBorders>
          </w:tcPr>
          <w:p w14:paraId="7591954B"/>
        </w:tc>
        <w:tc>
          <w:tcPr>
            <w:tcW w:w="972" w:type="dxa"/>
            <w:vMerge w:val="restart"/>
            <w:tcBorders>
              <w:bottom w:val="nil"/>
            </w:tcBorders>
          </w:tcPr>
          <w:p w14:paraId="6F8E65BD">
            <w:pPr>
              <w:pStyle w:val="10"/>
              <w:spacing w:before="104" w:line="235" w:lineRule="auto"/>
              <w:ind w:left="362" w:right="153" w:hanging="200"/>
              <w:rPr>
                <w:sz w:val="20"/>
                <w:szCs w:val="20"/>
              </w:rPr>
            </w:pPr>
            <w:r>
              <w:rPr>
                <w:spacing w:val="4"/>
                <w:sz w:val="20"/>
                <w:szCs w:val="20"/>
              </w:rPr>
              <w:t>时效指</w:t>
            </w:r>
            <w:r>
              <w:rPr>
                <w:sz w:val="20"/>
                <w:szCs w:val="20"/>
              </w:rPr>
              <w:t xml:space="preserve"> 标</w:t>
            </w:r>
          </w:p>
        </w:tc>
        <w:tc>
          <w:tcPr>
            <w:tcW w:w="1196" w:type="dxa"/>
          </w:tcPr>
          <w:p w14:paraId="7AD02CFF">
            <w:pPr>
              <w:spacing w:line="219" w:lineRule="exact"/>
              <w:rPr>
                <w:sz w:val="19"/>
              </w:rPr>
            </w:pPr>
          </w:p>
        </w:tc>
        <w:tc>
          <w:tcPr>
            <w:tcW w:w="1229" w:type="dxa"/>
          </w:tcPr>
          <w:p w14:paraId="0BB4212D">
            <w:pPr>
              <w:spacing w:line="219" w:lineRule="exact"/>
              <w:rPr>
                <w:sz w:val="19"/>
              </w:rPr>
            </w:pPr>
          </w:p>
        </w:tc>
        <w:tc>
          <w:tcPr>
            <w:tcW w:w="1269" w:type="dxa"/>
          </w:tcPr>
          <w:p w14:paraId="42655E1D">
            <w:pPr>
              <w:spacing w:line="219" w:lineRule="exact"/>
              <w:rPr>
                <w:sz w:val="19"/>
              </w:rPr>
            </w:pPr>
          </w:p>
        </w:tc>
        <w:tc>
          <w:tcPr>
            <w:tcW w:w="669" w:type="dxa"/>
          </w:tcPr>
          <w:p w14:paraId="61BA0834">
            <w:pPr>
              <w:spacing w:line="219" w:lineRule="exact"/>
              <w:rPr>
                <w:sz w:val="19"/>
              </w:rPr>
            </w:pPr>
          </w:p>
        </w:tc>
        <w:tc>
          <w:tcPr>
            <w:tcW w:w="859" w:type="dxa"/>
          </w:tcPr>
          <w:p w14:paraId="2953B1F1">
            <w:pPr>
              <w:spacing w:line="219" w:lineRule="exact"/>
              <w:rPr>
                <w:sz w:val="19"/>
              </w:rPr>
            </w:pPr>
          </w:p>
        </w:tc>
        <w:tc>
          <w:tcPr>
            <w:tcW w:w="1413" w:type="dxa"/>
          </w:tcPr>
          <w:p w14:paraId="3945E119">
            <w:pPr>
              <w:spacing w:line="219" w:lineRule="exact"/>
              <w:rPr>
                <w:sz w:val="19"/>
              </w:rPr>
            </w:pPr>
          </w:p>
        </w:tc>
      </w:tr>
      <w:tr w14:paraId="7E732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1621EFE5"/>
        </w:tc>
        <w:tc>
          <w:tcPr>
            <w:tcW w:w="1059" w:type="dxa"/>
            <w:vMerge w:val="continue"/>
            <w:tcBorders>
              <w:top w:val="nil"/>
              <w:bottom w:val="nil"/>
            </w:tcBorders>
          </w:tcPr>
          <w:p w14:paraId="14E9F6C8"/>
        </w:tc>
        <w:tc>
          <w:tcPr>
            <w:tcW w:w="972" w:type="dxa"/>
            <w:vMerge w:val="continue"/>
            <w:tcBorders>
              <w:top w:val="nil"/>
              <w:bottom w:val="nil"/>
            </w:tcBorders>
          </w:tcPr>
          <w:p w14:paraId="6764E8A9"/>
        </w:tc>
        <w:tc>
          <w:tcPr>
            <w:tcW w:w="1196" w:type="dxa"/>
          </w:tcPr>
          <w:p w14:paraId="6DD1291F">
            <w:pPr>
              <w:spacing w:line="220" w:lineRule="exact"/>
              <w:rPr>
                <w:sz w:val="19"/>
              </w:rPr>
            </w:pPr>
          </w:p>
        </w:tc>
        <w:tc>
          <w:tcPr>
            <w:tcW w:w="1229" w:type="dxa"/>
          </w:tcPr>
          <w:p w14:paraId="5FEC1410">
            <w:pPr>
              <w:spacing w:line="220" w:lineRule="exact"/>
              <w:rPr>
                <w:sz w:val="19"/>
              </w:rPr>
            </w:pPr>
          </w:p>
        </w:tc>
        <w:tc>
          <w:tcPr>
            <w:tcW w:w="1269" w:type="dxa"/>
          </w:tcPr>
          <w:p w14:paraId="41E498C9">
            <w:pPr>
              <w:spacing w:line="220" w:lineRule="exact"/>
              <w:rPr>
                <w:sz w:val="19"/>
              </w:rPr>
            </w:pPr>
          </w:p>
        </w:tc>
        <w:tc>
          <w:tcPr>
            <w:tcW w:w="669" w:type="dxa"/>
          </w:tcPr>
          <w:p w14:paraId="5406BD7D">
            <w:pPr>
              <w:spacing w:line="220" w:lineRule="exact"/>
              <w:rPr>
                <w:sz w:val="19"/>
              </w:rPr>
            </w:pPr>
          </w:p>
        </w:tc>
        <w:tc>
          <w:tcPr>
            <w:tcW w:w="859" w:type="dxa"/>
          </w:tcPr>
          <w:p w14:paraId="1B3EA293">
            <w:pPr>
              <w:spacing w:line="220" w:lineRule="exact"/>
              <w:rPr>
                <w:sz w:val="19"/>
              </w:rPr>
            </w:pPr>
          </w:p>
        </w:tc>
        <w:tc>
          <w:tcPr>
            <w:tcW w:w="1413" w:type="dxa"/>
          </w:tcPr>
          <w:p w14:paraId="2AEEEF24">
            <w:pPr>
              <w:spacing w:line="220" w:lineRule="exact"/>
              <w:rPr>
                <w:sz w:val="19"/>
              </w:rPr>
            </w:pPr>
          </w:p>
        </w:tc>
      </w:tr>
      <w:tr w14:paraId="445DF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tcPr>
          <w:p w14:paraId="688A9555"/>
        </w:tc>
        <w:tc>
          <w:tcPr>
            <w:tcW w:w="1059" w:type="dxa"/>
            <w:vMerge w:val="continue"/>
            <w:tcBorders>
              <w:top w:val="nil"/>
              <w:bottom w:val="nil"/>
            </w:tcBorders>
          </w:tcPr>
          <w:p w14:paraId="10636D97"/>
        </w:tc>
        <w:tc>
          <w:tcPr>
            <w:tcW w:w="972" w:type="dxa"/>
            <w:vMerge w:val="continue"/>
            <w:tcBorders>
              <w:top w:val="nil"/>
            </w:tcBorders>
          </w:tcPr>
          <w:p w14:paraId="6AEBE5EF"/>
        </w:tc>
        <w:tc>
          <w:tcPr>
            <w:tcW w:w="1196" w:type="dxa"/>
          </w:tcPr>
          <w:p w14:paraId="576B43C5">
            <w:pPr>
              <w:spacing w:line="219" w:lineRule="exact"/>
              <w:rPr>
                <w:sz w:val="19"/>
              </w:rPr>
            </w:pPr>
          </w:p>
        </w:tc>
        <w:tc>
          <w:tcPr>
            <w:tcW w:w="1229" w:type="dxa"/>
          </w:tcPr>
          <w:p w14:paraId="16C6BE8C">
            <w:pPr>
              <w:spacing w:line="219" w:lineRule="exact"/>
              <w:rPr>
                <w:sz w:val="19"/>
              </w:rPr>
            </w:pPr>
          </w:p>
        </w:tc>
        <w:tc>
          <w:tcPr>
            <w:tcW w:w="1269" w:type="dxa"/>
          </w:tcPr>
          <w:p w14:paraId="40982E13">
            <w:pPr>
              <w:spacing w:line="219" w:lineRule="exact"/>
              <w:rPr>
                <w:sz w:val="19"/>
              </w:rPr>
            </w:pPr>
          </w:p>
        </w:tc>
        <w:tc>
          <w:tcPr>
            <w:tcW w:w="669" w:type="dxa"/>
          </w:tcPr>
          <w:p w14:paraId="37A9E03E">
            <w:pPr>
              <w:spacing w:line="219" w:lineRule="exact"/>
              <w:rPr>
                <w:sz w:val="19"/>
              </w:rPr>
            </w:pPr>
          </w:p>
        </w:tc>
        <w:tc>
          <w:tcPr>
            <w:tcW w:w="859" w:type="dxa"/>
          </w:tcPr>
          <w:p w14:paraId="0B747CDA">
            <w:pPr>
              <w:spacing w:line="219" w:lineRule="exact"/>
              <w:rPr>
                <w:sz w:val="19"/>
              </w:rPr>
            </w:pPr>
          </w:p>
        </w:tc>
        <w:tc>
          <w:tcPr>
            <w:tcW w:w="1413" w:type="dxa"/>
          </w:tcPr>
          <w:p w14:paraId="5F62FF0C">
            <w:pPr>
              <w:spacing w:line="219" w:lineRule="exact"/>
              <w:rPr>
                <w:sz w:val="19"/>
              </w:rPr>
            </w:pPr>
          </w:p>
        </w:tc>
      </w:tr>
      <w:tr w14:paraId="04C9C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76AE12FB"/>
        </w:tc>
        <w:tc>
          <w:tcPr>
            <w:tcW w:w="1059" w:type="dxa"/>
            <w:vMerge w:val="continue"/>
            <w:tcBorders>
              <w:top w:val="nil"/>
              <w:bottom w:val="nil"/>
            </w:tcBorders>
          </w:tcPr>
          <w:p w14:paraId="0C181DF1"/>
        </w:tc>
        <w:tc>
          <w:tcPr>
            <w:tcW w:w="972" w:type="dxa"/>
            <w:vMerge w:val="restart"/>
            <w:tcBorders>
              <w:bottom w:val="nil"/>
            </w:tcBorders>
          </w:tcPr>
          <w:p w14:paraId="65B9550E">
            <w:pPr>
              <w:pStyle w:val="10"/>
              <w:spacing w:before="125" w:line="226" w:lineRule="auto"/>
              <w:ind w:left="362" w:right="153" w:hanging="200"/>
              <w:rPr>
                <w:sz w:val="20"/>
                <w:szCs w:val="20"/>
              </w:rPr>
            </w:pPr>
            <w:r>
              <w:rPr>
                <w:spacing w:val="4"/>
                <w:sz w:val="20"/>
                <w:szCs w:val="20"/>
              </w:rPr>
              <w:t>成本指</w:t>
            </w:r>
            <w:r>
              <w:rPr>
                <w:sz w:val="20"/>
                <w:szCs w:val="20"/>
              </w:rPr>
              <w:t xml:space="preserve"> 标</w:t>
            </w:r>
          </w:p>
        </w:tc>
        <w:tc>
          <w:tcPr>
            <w:tcW w:w="1196" w:type="dxa"/>
          </w:tcPr>
          <w:p w14:paraId="77385373">
            <w:pPr>
              <w:spacing w:line="220" w:lineRule="exact"/>
              <w:rPr>
                <w:sz w:val="19"/>
              </w:rPr>
            </w:pPr>
          </w:p>
        </w:tc>
        <w:tc>
          <w:tcPr>
            <w:tcW w:w="1229" w:type="dxa"/>
          </w:tcPr>
          <w:p w14:paraId="6C63EC39">
            <w:pPr>
              <w:spacing w:line="220" w:lineRule="exact"/>
              <w:rPr>
                <w:sz w:val="19"/>
              </w:rPr>
            </w:pPr>
          </w:p>
        </w:tc>
        <w:tc>
          <w:tcPr>
            <w:tcW w:w="1269" w:type="dxa"/>
          </w:tcPr>
          <w:p w14:paraId="4C033333">
            <w:pPr>
              <w:spacing w:line="220" w:lineRule="exact"/>
              <w:rPr>
                <w:sz w:val="19"/>
              </w:rPr>
            </w:pPr>
          </w:p>
        </w:tc>
        <w:tc>
          <w:tcPr>
            <w:tcW w:w="669" w:type="dxa"/>
          </w:tcPr>
          <w:p w14:paraId="0B75C87A">
            <w:pPr>
              <w:spacing w:line="220" w:lineRule="exact"/>
              <w:rPr>
                <w:sz w:val="19"/>
              </w:rPr>
            </w:pPr>
          </w:p>
        </w:tc>
        <w:tc>
          <w:tcPr>
            <w:tcW w:w="859" w:type="dxa"/>
          </w:tcPr>
          <w:p w14:paraId="1A338443">
            <w:pPr>
              <w:spacing w:line="220" w:lineRule="exact"/>
              <w:rPr>
                <w:sz w:val="19"/>
              </w:rPr>
            </w:pPr>
          </w:p>
        </w:tc>
        <w:tc>
          <w:tcPr>
            <w:tcW w:w="1413" w:type="dxa"/>
          </w:tcPr>
          <w:p w14:paraId="1CE31002">
            <w:pPr>
              <w:spacing w:line="220" w:lineRule="exact"/>
              <w:rPr>
                <w:sz w:val="19"/>
              </w:rPr>
            </w:pPr>
          </w:p>
        </w:tc>
      </w:tr>
      <w:tr w14:paraId="53128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1CC954B4"/>
        </w:tc>
        <w:tc>
          <w:tcPr>
            <w:tcW w:w="1059" w:type="dxa"/>
            <w:vMerge w:val="continue"/>
            <w:tcBorders>
              <w:top w:val="nil"/>
              <w:bottom w:val="nil"/>
            </w:tcBorders>
          </w:tcPr>
          <w:p w14:paraId="037C6A77"/>
        </w:tc>
        <w:tc>
          <w:tcPr>
            <w:tcW w:w="972" w:type="dxa"/>
            <w:vMerge w:val="continue"/>
            <w:tcBorders>
              <w:top w:val="nil"/>
              <w:bottom w:val="nil"/>
            </w:tcBorders>
          </w:tcPr>
          <w:p w14:paraId="2BA834CB"/>
        </w:tc>
        <w:tc>
          <w:tcPr>
            <w:tcW w:w="1196" w:type="dxa"/>
          </w:tcPr>
          <w:p w14:paraId="67B2F1C5">
            <w:pPr>
              <w:spacing w:line="220" w:lineRule="exact"/>
              <w:rPr>
                <w:sz w:val="19"/>
              </w:rPr>
            </w:pPr>
          </w:p>
        </w:tc>
        <w:tc>
          <w:tcPr>
            <w:tcW w:w="1229" w:type="dxa"/>
          </w:tcPr>
          <w:p w14:paraId="2ACB4D07">
            <w:pPr>
              <w:spacing w:line="220" w:lineRule="exact"/>
              <w:rPr>
                <w:sz w:val="19"/>
              </w:rPr>
            </w:pPr>
          </w:p>
        </w:tc>
        <w:tc>
          <w:tcPr>
            <w:tcW w:w="1269" w:type="dxa"/>
          </w:tcPr>
          <w:p w14:paraId="6B8B609A">
            <w:pPr>
              <w:spacing w:line="220" w:lineRule="exact"/>
              <w:rPr>
                <w:sz w:val="19"/>
              </w:rPr>
            </w:pPr>
          </w:p>
        </w:tc>
        <w:tc>
          <w:tcPr>
            <w:tcW w:w="669" w:type="dxa"/>
          </w:tcPr>
          <w:p w14:paraId="59CD52E7">
            <w:pPr>
              <w:spacing w:line="220" w:lineRule="exact"/>
              <w:rPr>
                <w:sz w:val="19"/>
              </w:rPr>
            </w:pPr>
          </w:p>
        </w:tc>
        <w:tc>
          <w:tcPr>
            <w:tcW w:w="859" w:type="dxa"/>
          </w:tcPr>
          <w:p w14:paraId="4A2BEA92">
            <w:pPr>
              <w:spacing w:line="220" w:lineRule="exact"/>
              <w:rPr>
                <w:sz w:val="19"/>
              </w:rPr>
            </w:pPr>
          </w:p>
        </w:tc>
        <w:tc>
          <w:tcPr>
            <w:tcW w:w="1413" w:type="dxa"/>
          </w:tcPr>
          <w:p w14:paraId="6307BD35">
            <w:pPr>
              <w:spacing w:line="220" w:lineRule="exact"/>
              <w:rPr>
                <w:sz w:val="19"/>
              </w:rPr>
            </w:pPr>
          </w:p>
        </w:tc>
      </w:tr>
      <w:tr w14:paraId="41C31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13FA005A"/>
        </w:tc>
        <w:tc>
          <w:tcPr>
            <w:tcW w:w="1059" w:type="dxa"/>
            <w:vMerge w:val="continue"/>
            <w:tcBorders>
              <w:top w:val="nil"/>
            </w:tcBorders>
          </w:tcPr>
          <w:p w14:paraId="29EA380C"/>
        </w:tc>
        <w:tc>
          <w:tcPr>
            <w:tcW w:w="972" w:type="dxa"/>
            <w:vMerge w:val="continue"/>
            <w:tcBorders>
              <w:top w:val="nil"/>
            </w:tcBorders>
          </w:tcPr>
          <w:p w14:paraId="5F009B91"/>
        </w:tc>
        <w:tc>
          <w:tcPr>
            <w:tcW w:w="1196" w:type="dxa"/>
          </w:tcPr>
          <w:p w14:paraId="7C183B6F">
            <w:pPr>
              <w:pStyle w:val="10"/>
              <w:spacing w:before="140" w:line="163" w:lineRule="auto"/>
              <w:ind w:left="53"/>
              <w:rPr>
                <w:sz w:val="9"/>
                <w:szCs w:val="9"/>
              </w:rPr>
            </w:pPr>
          </w:p>
        </w:tc>
        <w:tc>
          <w:tcPr>
            <w:tcW w:w="1229" w:type="dxa"/>
          </w:tcPr>
          <w:p w14:paraId="437190D2">
            <w:pPr>
              <w:spacing w:line="220" w:lineRule="exact"/>
              <w:rPr>
                <w:sz w:val="19"/>
              </w:rPr>
            </w:pPr>
          </w:p>
        </w:tc>
        <w:tc>
          <w:tcPr>
            <w:tcW w:w="1269" w:type="dxa"/>
          </w:tcPr>
          <w:p w14:paraId="0BF6A84B">
            <w:pPr>
              <w:spacing w:line="220" w:lineRule="exact"/>
              <w:rPr>
                <w:sz w:val="19"/>
              </w:rPr>
            </w:pPr>
          </w:p>
        </w:tc>
        <w:tc>
          <w:tcPr>
            <w:tcW w:w="669" w:type="dxa"/>
          </w:tcPr>
          <w:p w14:paraId="5E2115A4">
            <w:pPr>
              <w:spacing w:line="220" w:lineRule="exact"/>
              <w:rPr>
                <w:sz w:val="19"/>
              </w:rPr>
            </w:pPr>
          </w:p>
        </w:tc>
        <w:tc>
          <w:tcPr>
            <w:tcW w:w="859" w:type="dxa"/>
          </w:tcPr>
          <w:p w14:paraId="3E3A34FD">
            <w:pPr>
              <w:spacing w:line="220" w:lineRule="exact"/>
              <w:rPr>
                <w:sz w:val="19"/>
              </w:rPr>
            </w:pPr>
          </w:p>
        </w:tc>
        <w:tc>
          <w:tcPr>
            <w:tcW w:w="1413" w:type="dxa"/>
          </w:tcPr>
          <w:p w14:paraId="054D87A2">
            <w:pPr>
              <w:spacing w:line="220" w:lineRule="exact"/>
              <w:rPr>
                <w:sz w:val="19"/>
              </w:rPr>
            </w:pPr>
          </w:p>
        </w:tc>
      </w:tr>
      <w:tr w14:paraId="10A9C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0A03B971"/>
        </w:tc>
        <w:tc>
          <w:tcPr>
            <w:tcW w:w="1059" w:type="dxa"/>
            <w:vMerge w:val="restart"/>
            <w:tcBorders>
              <w:bottom w:val="nil"/>
            </w:tcBorders>
          </w:tcPr>
          <w:p w14:paraId="7225C529">
            <w:pPr>
              <w:spacing w:line="311" w:lineRule="auto"/>
            </w:pPr>
          </w:p>
          <w:p w14:paraId="09805023">
            <w:pPr>
              <w:spacing w:line="312" w:lineRule="auto"/>
            </w:pPr>
          </w:p>
          <w:p w14:paraId="418E3B01">
            <w:pPr>
              <w:spacing w:line="312" w:lineRule="auto"/>
            </w:pPr>
          </w:p>
          <w:p w14:paraId="2052F31D">
            <w:pPr>
              <w:pStyle w:val="10"/>
              <w:spacing w:before="65" w:line="500" w:lineRule="exact"/>
              <w:ind w:left="120"/>
              <w:rPr>
                <w:sz w:val="20"/>
                <w:szCs w:val="20"/>
              </w:rPr>
            </w:pPr>
            <w:r>
              <w:rPr>
                <w:spacing w:val="1"/>
                <w:position w:val="23"/>
                <w:sz w:val="20"/>
                <w:szCs w:val="20"/>
              </w:rPr>
              <w:t>效益指标</w:t>
            </w:r>
          </w:p>
          <w:p w14:paraId="738CBA16">
            <w:pPr>
              <w:pStyle w:val="10"/>
              <w:spacing w:line="220" w:lineRule="auto"/>
              <w:ind w:left="221"/>
              <w:rPr>
                <w:sz w:val="20"/>
                <w:szCs w:val="20"/>
              </w:rPr>
            </w:pPr>
            <w:r>
              <w:rPr>
                <w:spacing w:val="8"/>
                <w:sz w:val="20"/>
                <w:szCs w:val="20"/>
              </w:rPr>
              <w:t>(30分)</w:t>
            </w:r>
          </w:p>
        </w:tc>
        <w:tc>
          <w:tcPr>
            <w:tcW w:w="972" w:type="dxa"/>
            <w:vMerge w:val="restart"/>
            <w:tcBorders>
              <w:bottom w:val="nil"/>
            </w:tcBorders>
          </w:tcPr>
          <w:p w14:paraId="36A9C9BF">
            <w:pPr>
              <w:pStyle w:val="10"/>
              <w:spacing w:before="106" w:line="235" w:lineRule="auto"/>
              <w:ind w:left="162" w:right="176"/>
              <w:rPr>
                <w:sz w:val="20"/>
                <w:szCs w:val="20"/>
              </w:rPr>
            </w:pPr>
            <w:r>
              <w:rPr>
                <w:spacing w:val="-4"/>
                <w:sz w:val="20"/>
                <w:szCs w:val="20"/>
              </w:rPr>
              <w:t>经济效</w:t>
            </w:r>
            <w:r>
              <w:rPr>
                <w:spacing w:val="1"/>
                <w:sz w:val="20"/>
                <w:szCs w:val="20"/>
              </w:rPr>
              <w:t xml:space="preserve"> </w:t>
            </w:r>
            <w:r>
              <w:rPr>
                <w:spacing w:val="-4"/>
                <w:sz w:val="20"/>
                <w:szCs w:val="20"/>
              </w:rPr>
              <w:t>益指标</w:t>
            </w:r>
          </w:p>
        </w:tc>
        <w:tc>
          <w:tcPr>
            <w:tcW w:w="1196" w:type="dxa"/>
          </w:tcPr>
          <w:p w14:paraId="2C0A11D8">
            <w:pPr>
              <w:spacing w:line="220" w:lineRule="exact"/>
              <w:rPr>
                <w:sz w:val="19"/>
              </w:rPr>
            </w:pPr>
          </w:p>
        </w:tc>
        <w:tc>
          <w:tcPr>
            <w:tcW w:w="1229" w:type="dxa"/>
          </w:tcPr>
          <w:p w14:paraId="523FF9E3">
            <w:pPr>
              <w:spacing w:line="220" w:lineRule="exact"/>
              <w:rPr>
                <w:sz w:val="19"/>
              </w:rPr>
            </w:pPr>
          </w:p>
        </w:tc>
        <w:tc>
          <w:tcPr>
            <w:tcW w:w="1269" w:type="dxa"/>
          </w:tcPr>
          <w:p w14:paraId="722F5A7D">
            <w:pPr>
              <w:spacing w:line="220" w:lineRule="exact"/>
              <w:rPr>
                <w:sz w:val="19"/>
              </w:rPr>
            </w:pPr>
          </w:p>
        </w:tc>
        <w:tc>
          <w:tcPr>
            <w:tcW w:w="669" w:type="dxa"/>
          </w:tcPr>
          <w:p w14:paraId="44F20032">
            <w:pPr>
              <w:spacing w:line="220" w:lineRule="exact"/>
              <w:rPr>
                <w:sz w:val="19"/>
              </w:rPr>
            </w:pPr>
          </w:p>
        </w:tc>
        <w:tc>
          <w:tcPr>
            <w:tcW w:w="859" w:type="dxa"/>
          </w:tcPr>
          <w:p w14:paraId="283C4CFA">
            <w:pPr>
              <w:spacing w:line="220" w:lineRule="exact"/>
              <w:rPr>
                <w:sz w:val="19"/>
              </w:rPr>
            </w:pPr>
          </w:p>
        </w:tc>
        <w:tc>
          <w:tcPr>
            <w:tcW w:w="1413" w:type="dxa"/>
          </w:tcPr>
          <w:p w14:paraId="7453ACAD">
            <w:pPr>
              <w:spacing w:line="220" w:lineRule="exact"/>
              <w:rPr>
                <w:sz w:val="19"/>
              </w:rPr>
            </w:pPr>
          </w:p>
        </w:tc>
      </w:tr>
      <w:tr w14:paraId="5A628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16AC230C"/>
        </w:tc>
        <w:tc>
          <w:tcPr>
            <w:tcW w:w="1059" w:type="dxa"/>
            <w:vMerge w:val="continue"/>
            <w:tcBorders>
              <w:top w:val="nil"/>
              <w:bottom w:val="nil"/>
            </w:tcBorders>
          </w:tcPr>
          <w:p w14:paraId="0E9C6329"/>
        </w:tc>
        <w:tc>
          <w:tcPr>
            <w:tcW w:w="972" w:type="dxa"/>
            <w:vMerge w:val="continue"/>
            <w:tcBorders>
              <w:top w:val="nil"/>
              <w:bottom w:val="nil"/>
            </w:tcBorders>
          </w:tcPr>
          <w:p w14:paraId="690039DB"/>
        </w:tc>
        <w:tc>
          <w:tcPr>
            <w:tcW w:w="1196" w:type="dxa"/>
          </w:tcPr>
          <w:p w14:paraId="17BD26D2">
            <w:pPr>
              <w:spacing w:line="220" w:lineRule="exact"/>
              <w:rPr>
                <w:sz w:val="19"/>
              </w:rPr>
            </w:pPr>
          </w:p>
        </w:tc>
        <w:tc>
          <w:tcPr>
            <w:tcW w:w="1229" w:type="dxa"/>
          </w:tcPr>
          <w:p w14:paraId="2E4C20E3">
            <w:pPr>
              <w:spacing w:line="220" w:lineRule="exact"/>
              <w:rPr>
                <w:sz w:val="19"/>
              </w:rPr>
            </w:pPr>
          </w:p>
        </w:tc>
        <w:tc>
          <w:tcPr>
            <w:tcW w:w="1269" w:type="dxa"/>
          </w:tcPr>
          <w:p w14:paraId="02803A99">
            <w:pPr>
              <w:spacing w:line="220" w:lineRule="exact"/>
              <w:rPr>
                <w:sz w:val="19"/>
              </w:rPr>
            </w:pPr>
          </w:p>
        </w:tc>
        <w:tc>
          <w:tcPr>
            <w:tcW w:w="669" w:type="dxa"/>
          </w:tcPr>
          <w:p w14:paraId="5C9DCDCE">
            <w:pPr>
              <w:spacing w:line="220" w:lineRule="exact"/>
              <w:rPr>
                <w:sz w:val="19"/>
              </w:rPr>
            </w:pPr>
          </w:p>
        </w:tc>
        <w:tc>
          <w:tcPr>
            <w:tcW w:w="859" w:type="dxa"/>
          </w:tcPr>
          <w:p w14:paraId="19FE1B93">
            <w:pPr>
              <w:spacing w:line="220" w:lineRule="exact"/>
              <w:rPr>
                <w:sz w:val="19"/>
              </w:rPr>
            </w:pPr>
          </w:p>
        </w:tc>
        <w:tc>
          <w:tcPr>
            <w:tcW w:w="1413" w:type="dxa"/>
          </w:tcPr>
          <w:p w14:paraId="0BB0461C">
            <w:pPr>
              <w:spacing w:line="220" w:lineRule="exact"/>
              <w:rPr>
                <w:sz w:val="19"/>
              </w:rPr>
            </w:pPr>
          </w:p>
        </w:tc>
      </w:tr>
      <w:tr w14:paraId="2A477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25BFA009"/>
        </w:tc>
        <w:tc>
          <w:tcPr>
            <w:tcW w:w="1059" w:type="dxa"/>
            <w:vMerge w:val="continue"/>
            <w:tcBorders>
              <w:top w:val="nil"/>
              <w:bottom w:val="nil"/>
            </w:tcBorders>
          </w:tcPr>
          <w:p w14:paraId="26AF7CD7"/>
        </w:tc>
        <w:tc>
          <w:tcPr>
            <w:tcW w:w="972" w:type="dxa"/>
            <w:vMerge w:val="continue"/>
            <w:tcBorders>
              <w:top w:val="nil"/>
            </w:tcBorders>
          </w:tcPr>
          <w:p w14:paraId="4BD8A291"/>
        </w:tc>
        <w:tc>
          <w:tcPr>
            <w:tcW w:w="1196" w:type="dxa"/>
          </w:tcPr>
          <w:p w14:paraId="095C0C36">
            <w:pPr>
              <w:spacing w:line="220" w:lineRule="exact"/>
              <w:rPr>
                <w:sz w:val="19"/>
              </w:rPr>
            </w:pPr>
          </w:p>
        </w:tc>
        <w:tc>
          <w:tcPr>
            <w:tcW w:w="1229" w:type="dxa"/>
          </w:tcPr>
          <w:p w14:paraId="26E90395">
            <w:pPr>
              <w:spacing w:line="220" w:lineRule="exact"/>
              <w:rPr>
                <w:sz w:val="19"/>
              </w:rPr>
            </w:pPr>
          </w:p>
        </w:tc>
        <w:tc>
          <w:tcPr>
            <w:tcW w:w="1269" w:type="dxa"/>
          </w:tcPr>
          <w:p w14:paraId="7D8EFCFA">
            <w:pPr>
              <w:spacing w:line="220" w:lineRule="exact"/>
              <w:rPr>
                <w:sz w:val="19"/>
              </w:rPr>
            </w:pPr>
          </w:p>
        </w:tc>
        <w:tc>
          <w:tcPr>
            <w:tcW w:w="669" w:type="dxa"/>
          </w:tcPr>
          <w:p w14:paraId="74432E93">
            <w:pPr>
              <w:spacing w:line="220" w:lineRule="exact"/>
              <w:rPr>
                <w:sz w:val="19"/>
              </w:rPr>
            </w:pPr>
          </w:p>
        </w:tc>
        <w:tc>
          <w:tcPr>
            <w:tcW w:w="859" w:type="dxa"/>
          </w:tcPr>
          <w:p w14:paraId="57431794">
            <w:pPr>
              <w:spacing w:line="220" w:lineRule="exact"/>
              <w:rPr>
                <w:sz w:val="19"/>
              </w:rPr>
            </w:pPr>
          </w:p>
        </w:tc>
        <w:tc>
          <w:tcPr>
            <w:tcW w:w="1413" w:type="dxa"/>
          </w:tcPr>
          <w:p w14:paraId="5920AAD6">
            <w:pPr>
              <w:spacing w:line="220" w:lineRule="exact"/>
              <w:rPr>
                <w:sz w:val="19"/>
              </w:rPr>
            </w:pPr>
          </w:p>
        </w:tc>
      </w:tr>
      <w:tr w14:paraId="2CB07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162EBA79"/>
        </w:tc>
        <w:tc>
          <w:tcPr>
            <w:tcW w:w="1059" w:type="dxa"/>
            <w:vMerge w:val="continue"/>
            <w:tcBorders>
              <w:top w:val="nil"/>
              <w:bottom w:val="nil"/>
            </w:tcBorders>
          </w:tcPr>
          <w:p w14:paraId="48DB8231"/>
        </w:tc>
        <w:tc>
          <w:tcPr>
            <w:tcW w:w="972" w:type="dxa"/>
            <w:vMerge w:val="restart"/>
            <w:tcBorders>
              <w:bottom w:val="nil"/>
            </w:tcBorders>
          </w:tcPr>
          <w:p w14:paraId="0405AFD1">
            <w:pPr>
              <w:pStyle w:val="10"/>
              <w:spacing w:before="94" w:line="245" w:lineRule="auto"/>
              <w:ind w:left="162" w:right="176"/>
              <w:rPr>
                <w:sz w:val="20"/>
                <w:szCs w:val="20"/>
              </w:rPr>
            </w:pPr>
            <w:r>
              <w:rPr>
                <w:spacing w:val="-4"/>
                <w:sz w:val="20"/>
                <w:szCs w:val="20"/>
              </w:rPr>
              <w:t>社会效</w:t>
            </w:r>
            <w:r>
              <w:rPr>
                <w:spacing w:val="1"/>
                <w:sz w:val="20"/>
                <w:szCs w:val="20"/>
              </w:rPr>
              <w:t xml:space="preserve"> </w:t>
            </w:r>
            <w:r>
              <w:rPr>
                <w:spacing w:val="-4"/>
                <w:sz w:val="20"/>
                <w:szCs w:val="20"/>
              </w:rPr>
              <w:t>益指标</w:t>
            </w:r>
          </w:p>
        </w:tc>
        <w:tc>
          <w:tcPr>
            <w:tcW w:w="1196" w:type="dxa"/>
          </w:tcPr>
          <w:p w14:paraId="1228E299">
            <w:pPr>
              <w:spacing w:line="220" w:lineRule="exact"/>
              <w:rPr>
                <w:sz w:val="19"/>
              </w:rPr>
            </w:pPr>
          </w:p>
        </w:tc>
        <w:tc>
          <w:tcPr>
            <w:tcW w:w="1229" w:type="dxa"/>
          </w:tcPr>
          <w:p w14:paraId="461C2831">
            <w:pPr>
              <w:spacing w:line="220" w:lineRule="exact"/>
              <w:rPr>
                <w:sz w:val="19"/>
              </w:rPr>
            </w:pPr>
          </w:p>
        </w:tc>
        <w:tc>
          <w:tcPr>
            <w:tcW w:w="1269" w:type="dxa"/>
          </w:tcPr>
          <w:p w14:paraId="550BD248">
            <w:pPr>
              <w:spacing w:line="220" w:lineRule="exact"/>
              <w:rPr>
                <w:sz w:val="19"/>
              </w:rPr>
            </w:pPr>
          </w:p>
        </w:tc>
        <w:tc>
          <w:tcPr>
            <w:tcW w:w="669" w:type="dxa"/>
          </w:tcPr>
          <w:p w14:paraId="491F0D1E">
            <w:pPr>
              <w:spacing w:line="220" w:lineRule="exact"/>
              <w:rPr>
                <w:sz w:val="19"/>
              </w:rPr>
            </w:pPr>
          </w:p>
        </w:tc>
        <w:tc>
          <w:tcPr>
            <w:tcW w:w="859" w:type="dxa"/>
          </w:tcPr>
          <w:p w14:paraId="3EA811A3">
            <w:pPr>
              <w:spacing w:line="220" w:lineRule="exact"/>
              <w:rPr>
                <w:sz w:val="19"/>
              </w:rPr>
            </w:pPr>
          </w:p>
        </w:tc>
        <w:tc>
          <w:tcPr>
            <w:tcW w:w="1413" w:type="dxa"/>
          </w:tcPr>
          <w:p w14:paraId="4D2C2F9D">
            <w:pPr>
              <w:spacing w:line="220" w:lineRule="exact"/>
              <w:rPr>
                <w:sz w:val="19"/>
              </w:rPr>
            </w:pPr>
          </w:p>
        </w:tc>
      </w:tr>
      <w:tr w14:paraId="45161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5347F0AC"/>
        </w:tc>
        <w:tc>
          <w:tcPr>
            <w:tcW w:w="1059" w:type="dxa"/>
            <w:vMerge w:val="continue"/>
            <w:tcBorders>
              <w:top w:val="nil"/>
              <w:bottom w:val="nil"/>
            </w:tcBorders>
          </w:tcPr>
          <w:p w14:paraId="644A871E"/>
        </w:tc>
        <w:tc>
          <w:tcPr>
            <w:tcW w:w="972" w:type="dxa"/>
            <w:vMerge w:val="continue"/>
            <w:tcBorders>
              <w:top w:val="nil"/>
              <w:bottom w:val="nil"/>
            </w:tcBorders>
          </w:tcPr>
          <w:p w14:paraId="11F237DD"/>
        </w:tc>
        <w:tc>
          <w:tcPr>
            <w:tcW w:w="1196" w:type="dxa"/>
          </w:tcPr>
          <w:p w14:paraId="03EE35FE">
            <w:pPr>
              <w:spacing w:line="220" w:lineRule="exact"/>
              <w:rPr>
                <w:sz w:val="19"/>
              </w:rPr>
            </w:pPr>
          </w:p>
        </w:tc>
        <w:tc>
          <w:tcPr>
            <w:tcW w:w="1229" w:type="dxa"/>
          </w:tcPr>
          <w:p w14:paraId="4CF2ABE1">
            <w:pPr>
              <w:spacing w:line="220" w:lineRule="exact"/>
              <w:rPr>
                <w:sz w:val="19"/>
              </w:rPr>
            </w:pPr>
          </w:p>
        </w:tc>
        <w:tc>
          <w:tcPr>
            <w:tcW w:w="1269" w:type="dxa"/>
          </w:tcPr>
          <w:p w14:paraId="1F435E33">
            <w:pPr>
              <w:spacing w:line="220" w:lineRule="exact"/>
              <w:rPr>
                <w:sz w:val="19"/>
              </w:rPr>
            </w:pPr>
          </w:p>
        </w:tc>
        <w:tc>
          <w:tcPr>
            <w:tcW w:w="669" w:type="dxa"/>
          </w:tcPr>
          <w:p w14:paraId="18A904EA">
            <w:pPr>
              <w:spacing w:line="220" w:lineRule="exact"/>
              <w:rPr>
                <w:sz w:val="19"/>
              </w:rPr>
            </w:pPr>
          </w:p>
        </w:tc>
        <w:tc>
          <w:tcPr>
            <w:tcW w:w="859" w:type="dxa"/>
          </w:tcPr>
          <w:p w14:paraId="4FA39F6C">
            <w:pPr>
              <w:spacing w:line="220" w:lineRule="exact"/>
              <w:rPr>
                <w:sz w:val="19"/>
              </w:rPr>
            </w:pPr>
          </w:p>
        </w:tc>
        <w:tc>
          <w:tcPr>
            <w:tcW w:w="1413" w:type="dxa"/>
          </w:tcPr>
          <w:p w14:paraId="2B1E03A6">
            <w:pPr>
              <w:spacing w:line="220" w:lineRule="exact"/>
              <w:rPr>
                <w:sz w:val="19"/>
              </w:rPr>
            </w:pPr>
          </w:p>
        </w:tc>
      </w:tr>
      <w:tr w14:paraId="2D6C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4A3E010C"/>
        </w:tc>
        <w:tc>
          <w:tcPr>
            <w:tcW w:w="1059" w:type="dxa"/>
            <w:vMerge w:val="continue"/>
            <w:tcBorders>
              <w:top w:val="nil"/>
              <w:bottom w:val="nil"/>
            </w:tcBorders>
          </w:tcPr>
          <w:p w14:paraId="19001AAF"/>
        </w:tc>
        <w:tc>
          <w:tcPr>
            <w:tcW w:w="972" w:type="dxa"/>
            <w:vMerge w:val="continue"/>
            <w:tcBorders>
              <w:top w:val="nil"/>
            </w:tcBorders>
          </w:tcPr>
          <w:p w14:paraId="6EB0AB33"/>
        </w:tc>
        <w:tc>
          <w:tcPr>
            <w:tcW w:w="1196" w:type="dxa"/>
          </w:tcPr>
          <w:p w14:paraId="58DFC78D">
            <w:pPr>
              <w:spacing w:line="220" w:lineRule="exact"/>
              <w:rPr>
                <w:sz w:val="19"/>
              </w:rPr>
            </w:pPr>
          </w:p>
        </w:tc>
        <w:tc>
          <w:tcPr>
            <w:tcW w:w="1229" w:type="dxa"/>
          </w:tcPr>
          <w:p w14:paraId="70DC7C5A">
            <w:pPr>
              <w:spacing w:line="220" w:lineRule="exact"/>
              <w:rPr>
                <w:sz w:val="19"/>
              </w:rPr>
            </w:pPr>
          </w:p>
        </w:tc>
        <w:tc>
          <w:tcPr>
            <w:tcW w:w="1269" w:type="dxa"/>
          </w:tcPr>
          <w:p w14:paraId="5902DFF3">
            <w:pPr>
              <w:spacing w:line="220" w:lineRule="exact"/>
              <w:rPr>
                <w:sz w:val="19"/>
              </w:rPr>
            </w:pPr>
          </w:p>
        </w:tc>
        <w:tc>
          <w:tcPr>
            <w:tcW w:w="669" w:type="dxa"/>
          </w:tcPr>
          <w:p w14:paraId="72B402F4">
            <w:pPr>
              <w:spacing w:line="220" w:lineRule="exact"/>
              <w:rPr>
                <w:sz w:val="19"/>
              </w:rPr>
            </w:pPr>
          </w:p>
        </w:tc>
        <w:tc>
          <w:tcPr>
            <w:tcW w:w="859" w:type="dxa"/>
          </w:tcPr>
          <w:p w14:paraId="6FAB3B34">
            <w:pPr>
              <w:spacing w:line="220" w:lineRule="exact"/>
              <w:rPr>
                <w:sz w:val="19"/>
              </w:rPr>
            </w:pPr>
          </w:p>
        </w:tc>
        <w:tc>
          <w:tcPr>
            <w:tcW w:w="1413" w:type="dxa"/>
          </w:tcPr>
          <w:p w14:paraId="615586A0">
            <w:pPr>
              <w:spacing w:line="220" w:lineRule="exact"/>
              <w:rPr>
                <w:sz w:val="19"/>
              </w:rPr>
            </w:pPr>
          </w:p>
        </w:tc>
      </w:tr>
      <w:tr w14:paraId="574F2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tcPr>
          <w:p w14:paraId="69A96742"/>
        </w:tc>
        <w:tc>
          <w:tcPr>
            <w:tcW w:w="1059" w:type="dxa"/>
            <w:vMerge w:val="continue"/>
            <w:tcBorders>
              <w:top w:val="nil"/>
              <w:bottom w:val="nil"/>
            </w:tcBorders>
          </w:tcPr>
          <w:p w14:paraId="50DFC876"/>
        </w:tc>
        <w:tc>
          <w:tcPr>
            <w:tcW w:w="972" w:type="dxa"/>
            <w:vMerge w:val="restart"/>
            <w:tcBorders>
              <w:bottom w:val="nil"/>
            </w:tcBorders>
          </w:tcPr>
          <w:p w14:paraId="0C546CB1">
            <w:pPr>
              <w:pStyle w:val="10"/>
              <w:spacing w:before="116" w:line="221" w:lineRule="auto"/>
              <w:ind w:left="162" w:right="176"/>
              <w:rPr>
                <w:sz w:val="20"/>
                <w:szCs w:val="20"/>
              </w:rPr>
            </w:pPr>
            <w:r>
              <w:rPr>
                <w:spacing w:val="-4"/>
                <w:sz w:val="20"/>
                <w:szCs w:val="20"/>
              </w:rPr>
              <w:t>生态效</w:t>
            </w:r>
            <w:r>
              <w:rPr>
                <w:spacing w:val="1"/>
                <w:sz w:val="20"/>
                <w:szCs w:val="20"/>
              </w:rPr>
              <w:t xml:space="preserve"> </w:t>
            </w:r>
            <w:r>
              <w:rPr>
                <w:spacing w:val="-4"/>
                <w:sz w:val="20"/>
                <w:szCs w:val="20"/>
              </w:rPr>
              <w:t>益指标</w:t>
            </w:r>
          </w:p>
        </w:tc>
        <w:tc>
          <w:tcPr>
            <w:tcW w:w="1196" w:type="dxa"/>
          </w:tcPr>
          <w:p w14:paraId="0ED2797D">
            <w:pPr>
              <w:spacing w:line="230" w:lineRule="exact"/>
              <w:rPr>
                <w:sz w:val="20"/>
              </w:rPr>
            </w:pPr>
          </w:p>
        </w:tc>
        <w:tc>
          <w:tcPr>
            <w:tcW w:w="1229" w:type="dxa"/>
          </w:tcPr>
          <w:p w14:paraId="4890DDD8">
            <w:pPr>
              <w:spacing w:line="230" w:lineRule="exact"/>
              <w:rPr>
                <w:sz w:val="20"/>
              </w:rPr>
            </w:pPr>
          </w:p>
        </w:tc>
        <w:tc>
          <w:tcPr>
            <w:tcW w:w="1269" w:type="dxa"/>
          </w:tcPr>
          <w:p w14:paraId="2B962369">
            <w:pPr>
              <w:spacing w:line="230" w:lineRule="exact"/>
              <w:rPr>
                <w:sz w:val="20"/>
              </w:rPr>
            </w:pPr>
          </w:p>
        </w:tc>
        <w:tc>
          <w:tcPr>
            <w:tcW w:w="669" w:type="dxa"/>
          </w:tcPr>
          <w:p w14:paraId="3BBCEFCD">
            <w:pPr>
              <w:spacing w:line="230" w:lineRule="exact"/>
              <w:rPr>
                <w:sz w:val="20"/>
              </w:rPr>
            </w:pPr>
          </w:p>
        </w:tc>
        <w:tc>
          <w:tcPr>
            <w:tcW w:w="859" w:type="dxa"/>
          </w:tcPr>
          <w:p w14:paraId="4A284FFF">
            <w:pPr>
              <w:spacing w:line="230" w:lineRule="exact"/>
              <w:rPr>
                <w:sz w:val="20"/>
              </w:rPr>
            </w:pPr>
          </w:p>
        </w:tc>
        <w:tc>
          <w:tcPr>
            <w:tcW w:w="1413" w:type="dxa"/>
          </w:tcPr>
          <w:p w14:paraId="5277FF2D">
            <w:pPr>
              <w:spacing w:line="230" w:lineRule="exact"/>
              <w:rPr>
                <w:sz w:val="20"/>
              </w:rPr>
            </w:pPr>
          </w:p>
        </w:tc>
      </w:tr>
      <w:tr w14:paraId="194FC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tcPr>
          <w:p w14:paraId="23066D97"/>
        </w:tc>
        <w:tc>
          <w:tcPr>
            <w:tcW w:w="1059" w:type="dxa"/>
            <w:vMerge w:val="continue"/>
            <w:tcBorders>
              <w:top w:val="nil"/>
              <w:bottom w:val="nil"/>
            </w:tcBorders>
          </w:tcPr>
          <w:p w14:paraId="14F88A8C"/>
        </w:tc>
        <w:tc>
          <w:tcPr>
            <w:tcW w:w="972" w:type="dxa"/>
            <w:vMerge w:val="continue"/>
            <w:tcBorders>
              <w:top w:val="nil"/>
              <w:bottom w:val="nil"/>
            </w:tcBorders>
          </w:tcPr>
          <w:p w14:paraId="1A702420"/>
        </w:tc>
        <w:tc>
          <w:tcPr>
            <w:tcW w:w="1196" w:type="dxa"/>
          </w:tcPr>
          <w:p w14:paraId="3FC250AB">
            <w:pPr>
              <w:spacing w:line="219" w:lineRule="exact"/>
              <w:rPr>
                <w:sz w:val="19"/>
              </w:rPr>
            </w:pPr>
          </w:p>
        </w:tc>
        <w:tc>
          <w:tcPr>
            <w:tcW w:w="1229" w:type="dxa"/>
          </w:tcPr>
          <w:p w14:paraId="119F5E5B">
            <w:pPr>
              <w:spacing w:line="219" w:lineRule="exact"/>
              <w:rPr>
                <w:sz w:val="19"/>
              </w:rPr>
            </w:pPr>
          </w:p>
        </w:tc>
        <w:tc>
          <w:tcPr>
            <w:tcW w:w="1269" w:type="dxa"/>
          </w:tcPr>
          <w:p w14:paraId="30862DE3">
            <w:pPr>
              <w:spacing w:line="219" w:lineRule="exact"/>
              <w:rPr>
                <w:sz w:val="19"/>
              </w:rPr>
            </w:pPr>
          </w:p>
        </w:tc>
        <w:tc>
          <w:tcPr>
            <w:tcW w:w="669" w:type="dxa"/>
          </w:tcPr>
          <w:p w14:paraId="0546920E">
            <w:pPr>
              <w:spacing w:line="219" w:lineRule="exact"/>
              <w:rPr>
                <w:sz w:val="19"/>
              </w:rPr>
            </w:pPr>
          </w:p>
        </w:tc>
        <w:tc>
          <w:tcPr>
            <w:tcW w:w="859" w:type="dxa"/>
          </w:tcPr>
          <w:p w14:paraId="3FA4B668">
            <w:pPr>
              <w:spacing w:line="219" w:lineRule="exact"/>
              <w:rPr>
                <w:sz w:val="19"/>
              </w:rPr>
            </w:pPr>
          </w:p>
        </w:tc>
        <w:tc>
          <w:tcPr>
            <w:tcW w:w="1413" w:type="dxa"/>
          </w:tcPr>
          <w:p w14:paraId="2BAC26AD">
            <w:pPr>
              <w:spacing w:line="219" w:lineRule="exact"/>
              <w:rPr>
                <w:sz w:val="19"/>
              </w:rPr>
            </w:pPr>
          </w:p>
        </w:tc>
      </w:tr>
      <w:tr w14:paraId="3476E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5E942F57"/>
        </w:tc>
        <w:tc>
          <w:tcPr>
            <w:tcW w:w="1059" w:type="dxa"/>
            <w:vMerge w:val="continue"/>
            <w:tcBorders>
              <w:top w:val="nil"/>
              <w:bottom w:val="nil"/>
            </w:tcBorders>
          </w:tcPr>
          <w:p w14:paraId="74E0FD1B"/>
        </w:tc>
        <w:tc>
          <w:tcPr>
            <w:tcW w:w="972" w:type="dxa"/>
            <w:vMerge w:val="continue"/>
            <w:tcBorders>
              <w:top w:val="nil"/>
            </w:tcBorders>
          </w:tcPr>
          <w:p w14:paraId="43FEEC5B"/>
        </w:tc>
        <w:tc>
          <w:tcPr>
            <w:tcW w:w="1196" w:type="dxa"/>
          </w:tcPr>
          <w:p w14:paraId="256B1307">
            <w:pPr>
              <w:spacing w:line="220" w:lineRule="exact"/>
              <w:rPr>
                <w:sz w:val="19"/>
              </w:rPr>
            </w:pPr>
          </w:p>
        </w:tc>
        <w:tc>
          <w:tcPr>
            <w:tcW w:w="1229" w:type="dxa"/>
          </w:tcPr>
          <w:p w14:paraId="6BC24154">
            <w:pPr>
              <w:spacing w:line="220" w:lineRule="exact"/>
              <w:rPr>
                <w:sz w:val="19"/>
              </w:rPr>
            </w:pPr>
          </w:p>
        </w:tc>
        <w:tc>
          <w:tcPr>
            <w:tcW w:w="1269" w:type="dxa"/>
          </w:tcPr>
          <w:p w14:paraId="4E09889F">
            <w:pPr>
              <w:spacing w:line="220" w:lineRule="exact"/>
              <w:rPr>
                <w:sz w:val="19"/>
              </w:rPr>
            </w:pPr>
          </w:p>
        </w:tc>
        <w:tc>
          <w:tcPr>
            <w:tcW w:w="669" w:type="dxa"/>
          </w:tcPr>
          <w:p w14:paraId="42AAD0F5">
            <w:pPr>
              <w:spacing w:line="220" w:lineRule="exact"/>
              <w:rPr>
                <w:sz w:val="19"/>
              </w:rPr>
            </w:pPr>
          </w:p>
        </w:tc>
        <w:tc>
          <w:tcPr>
            <w:tcW w:w="859" w:type="dxa"/>
          </w:tcPr>
          <w:p w14:paraId="743A5FBC">
            <w:pPr>
              <w:spacing w:line="220" w:lineRule="exact"/>
              <w:rPr>
                <w:sz w:val="19"/>
              </w:rPr>
            </w:pPr>
          </w:p>
        </w:tc>
        <w:tc>
          <w:tcPr>
            <w:tcW w:w="1413" w:type="dxa"/>
          </w:tcPr>
          <w:p w14:paraId="1BDF1D62">
            <w:pPr>
              <w:spacing w:line="220" w:lineRule="exact"/>
              <w:rPr>
                <w:sz w:val="19"/>
              </w:rPr>
            </w:pPr>
          </w:p>
        </w:tc>
      </w:tr>
      <w:tr w14:paraId="7382A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0AB305CA"/>
        </w:tc>
        <w:tc>
          <w:tcPr>
            <w:tcW w:w="1059" w:type="dxa"/>
            <w:vMerge w:val="continue"/>
            <w:tcBorders>
              <w:top w:val="nil"/>
              <w:bottom w:val="nil"/>
            </w:tcBorders>
          </w:tcPr>
          <w:p w14:paraId="06EC980D"/>
        </w:tc>
        <w:tc>
          <w:tcPr>
            <w:tcW w:w="972" w:type="dxa"/>
            <w:vMerge w:val="restart"/>
            <w:tcBorders>
              <w:bottom w:val="nil"/>
            </w:tcBorders>
          </w:tcPr>
          <w:p w14:paraId="35E5D4F8">
            <w:pPr>
              <w:pStyle w:val="10"/>
              <w:spacing w:before="17" w:line="219" w:lineRule="auto"/>
              <w:ind w:left="162"/>
              <w:rPr>
                <w:sz w:val="20"/>
                <w:szCs w:val="20"/>
              </w:rPr>
            </w:pPr>
            <w:r>
              <w:rPr>
                <w:spacing w:val="-3"/>
                <w:sz w:val="20"/>
                <w:szCs w:val="20"/>
              </w:rPr>
              <w:t>可持续</w:t>
            </w:r>
          </w:p>
          <w:p w14:paraId="5ED6D9E0">
            <w:pPr>
              <w:pStyle w:val="10"/>
              <w:spacing w:before="23" w:line="221" w:lineRule="auto"/>
              <w:ind w:left="162"/>
              <w:rPr>
                <w:sz w:val="20"/>
                <w:szCs w:val="20"/>
              </w:rPr>
            </w:pPr>
            <w:r>
              <w:rPr>
                <w:spacing w:val="4"/>
                <w:sz w:val="20"/>
                <w:szCs w:val="20"/>
              </w:rPr>
              <w:t>影响指</w:t>
            </w:r>
          </w:p>
          <w:p w14:paraId="4C537B0C">
            <w:pPr>
              <w:pStyle w:val="10"/>
              <w:spacing w:before="30" w:line="205" w:lineRule="auto"/>
              <w:ind w:left="362"/>
              <w:rPr>
                <w:sz w:val="20"/>
                <w:szCs w:val="20"/>
              </w:rPr>
            </w:pPr>
            <w:r>
              <w:rPr>
                <w:sz w:val="20"/>
                <w:szCs w:val="20"/>
              </w:rPr>
              <w:t>标</w:t>
            </w:r>
          </w:p>
        </w:tc>
        <w:tc>
          <w:tcPr>
            <w:tcW w:w="1196" w:type="dxa"/>
          </w:tcPr>
          <w:p w14:paraId="7F94EF8F">
            <w:pPr>
              <w:spacing w:line="220" w:lineRule="exact"/>
              <w:rPr>
                <w:sz w:val="19"/>
              </w:rPr>
            </w:pPr>
          </w:p>
        </w:tc>
        <w:tc>
          <w:tcPr>
            <w:tcW w:w="1229" w:type="dxa"/>
          </w:tcPr>
          <w:p w14:paraId="7DFD6076">
            <w:pPr>
              <w:spacing w:line="220" w:lineRule="exact"/>
              <w:rPr>
                <w:sz w:val="19"/>
              </w:rPr>
            </w:pPr>
          </w:p>
        </w:tc>
        <w:tc>
          <w:tcPr>
            <w:tcW w:w="1269" w:type="dxa"/>
          </w:tcPr>
          <w:p w14:paraId="751EDF71">
            <w:pPr>
              <w:spacing w:line="220" w:lineRule="exact"/>
              <w:rPr>
                <w:sz w:val="19"/>
              </w:rPr>
            </w:pPr>
          </w:p>
        </w:tc>
        <w:tc>
          <w:tcPr>
            <w:tcW w:w="669" w:type="dxa"/>
          </w:tcPr>
          <w:p w14:paraId="44D729AB">
            <w:pPr>
              <w:spacing w:line="220" w:lineRule="exact"/>
              <w:rPr>
                <w:sz w:val="19"/>
              </w:rPr>
            </w:pPr>
          </w:p>
        </w:tc>
        <w:tc>
          <w:tcPr>
            <w:tcW w:w="859" w:type="dxa"/>
          </w:tcPr>
          <w:p w14:paraId="17256492">
            <w:pPr>
              <w:spacing w:line="220" w:lineRule="exact"/>
              <w:rPr>
                <w:sz w:val="19"/>
              </w:rPr>
            </w:pPr>
          </w:p>
        </w:tc>
        <w:tc>
          <w:tcPr>
            <w:tcW w:w="1413" w:type="dxa"/>
          </w:tcPr>
          <w:p w14:paraId="3BC18865">
            <w:pPr>
              <w:spacing w:line="220" w:lineRule="exact"/>
              <w:rPr>
                <w:sz w:val="19"/>
              </w:rPr>
            </w:pPr>
          </w:p>
        </w:tc>
      </w:tr>
      <w:tr w14:paraId="5BD8C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7492496A"/>
        </w:tc>
        <w:tc>
          <w:tcPr>
            <w:tcW w:w="1059" w:type="dxa"/>
            <w:vMerge w:val="continue"/>
            <w:tcBorders>
              <w:top w:val="nil"/>
              <w:bottom w:val="nil"/>
            </w:tcBorders>
          </w:tcPr>
          <w:p w14:paraId="018AD34D"/>
        </w:tc>
        <w:tc>
          <w:tcPr>
            <w:tcW w:w="972" w:type="dxa"/>
            <w:vMerge w:val="continue"/>
            <w:tcBorders>
              <w:top w:val="nil"/>
              <w:bottom w:val="nil"/>
            </w:tcBorders>
          </w:tcPr>
          <w:p w14:paraId="0808E388"/>
        </w:tc>
        <w:tc>
          <w:tcPr>
            <w:tcW w:w="1196" w:type="dxa"/>
          </w:tcPr>
          <w:p w14:paraId="06940D86">
            <w:pPr>
              <w:spacing w:line="220" w:lineRule="exact"/>
              <w:rPr>
                <w:sz w:val="19"/>
              </w:rPr>
            </w:pPr>
          </w:p>
        </w:tc>
        <w:tc>
          <w:tcPr>
            <w:tcW w:w="1229" w:type="dxa"/>
          </w:tcPr>
          <w:p w14:paraId="3646E43A">
            <w:pPr>
              <w:spacing w:line="220" w:lineRule="exact"/>
              <w:rPr>
                <w:sz w:val="19"/>
              </w:rPr>
            </w:pPr>
          </w:p>
        </w:tc>
        <w:tc>
          <w:tcPr>
            <w:tcW w:w="1269" w:type="dxa"/>
          </w:tcPr>
          <w:p w14:paraId="4BDAE4CF">
            <w:pPr>
              <w:spacing w:line="220" w:lineRule="exact"/>
              <w:rPr>
                <w:sz w:val="19"/>
              </w:rPr>
            </w:pPr>
          </w:p>
        </w:tc>
        <w:tc>
          <w:tcPr>
            <w:tcW w:w="669" w:type="dxa"/>
          </w:tcPr>
          <w:p w14:paraId="518596CB">
            <w:pPr>
              <w:spacing w:line="220" w:lineRule="exact"/>
              <w:rPr>
                <w:sz w:val="19"/>
              </w:rPr>
            </w:pPr>
          </w:p>
        </w:tc>
        <w:tc>
          <w:tcPr>
            <w:tcW w:w="859" w:type="dxa"/>
          </w:tcPr>
          <w:p w14:paraId="6A5B46E1">
            <w:pPr>
              <w:spacing w:line="220" w:lineRule="exact"/>
              <w:rPr>
                <w:sz w:val="19"/>
              </w:rPr>
            </w:pPr>
          </w:p>
        </w:tc>
        <w:tc>
          <w:tcPr>
            <w:tcW w:w="1413" w:type="dxa"/>
          </w:tcPr>
          <w:p w14:paraId="194D5B86">
            <w:pPr>
              <w:spacing w:line="220" w:lineRule="exact"/>
              <w:rPr>
                <w:sz w:val="19"/>
              </w:rPr>
            </w:pPr>
          </w:p>
        </w:tc>
      </w:tr>
      <w:tr w14:paraId="66989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074" w:type="dxa"/>
            <w:vMerge w:val="continue"/>
            <w:tcBorders>
              <w:top w:val="nil"/>
              <w:bottom w:val="nil"/>
            </w:tcBorders>
            <w:textDirection w:val="tbRlV"/>
          </w:tcPr>
          <w:p w14:paraId="6E22D9C0"/>
        </w:tc>
        <w:tc>
          <w:tcPr>
            <w:tcW w:w="1059" w:type="dxa"/>
            <w:vMerge w:val="continue"/>
            <w:tcBorders>
              <w:top w:val="nil"/>
            </w:tcBorders>
          </w:tcPr>
          <w:p w14:paraId="59037D56"/>
        </w:tc>
        <w:tc>
          <w:tcPr>
            <w:tcW w:w="972" w:type="dxa"/>
            <w:vMerge w:val="continue"/>
            <w:tcBorders>
              <w:top w:val="nil"/>
            </w:tcBorders>
          </w:tcPr>
          <w:p w14:paraId="58AFE70D"/>
        </w:tc>
        <w:tc>
          <w:tcPr>
            <w:tcW w:w="1196" w:type="dxa"/>
          </w:tcPr>
          <w:p w14:paraId="763F74C9">
            <w:pPr>
              <w:pStyle w:val="10"/>
              <w:spacing w:before="191" w:line="202" w:lineRule="auto"/>
              <w:ind w:left="53"/>
              <w:rPr>
                <w:sz w:val="9"/>
                <w:szCs w:val="9"/>
              </w:rPr>
            </w:pPr>
          </w:p>
        </w:tc>
        <w:tc>
          <w:tcPr>
            <w:tcW w:w="1229" w:type="dxa"/>
          </w:tcPr>
          <w:p w14:paraId="470CB213"/>
        </w:tc>
        <w:tc>
          <w:tcPr>
            <w:tcW w:w="1269" w:type="dxa"/>
          </w:tcPr>
          <w:p w14:paraId="2B926AE7"/>
        </w:tc>
        <w:tc>
          <w:tcPr>
            <w:tcW w:w="669" w:type="dxa"/>
          </w:tcPr>
          <w:p w14:paraId="5F95EA78"/>
        </w:tc>
        <w:tc>
          <w:tcPr>
            <w:tcW w:w="859" w:type="dxa"/>
          </w:tcPr>
          <w:p w14:paraId="368CF301"/>
        </w:tc>
        <w:tc>
          <w:tcPr>
            <w:tcW w:w="1413" w:type="dxa"/>
          </w:tcPr>
          <w:p w14:paraId="26789616"/>
        </w:tc>
      </w:tr>
      <w:tr w14:paraId="2BD14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tcPr>
          <w:p w14:paraId="5A487A0D"/>
        </w:tc>
        <w:tc>
          <w:tcPr>
            <w:tcW w:w="1059" w:type="dxa"/>
            <w:vMerge w:val="restart"/>
            <w:tcBorders>
              <w:bottom w:val="nil"/>
            </w:tcBorders>
          </w:tcPr>
          <w:p w14:paraId="140C38C1">
            <w:pPr>
              <w:pStyle w:val="10"/>
              <w:spacing w:before="17" w:line="219" w:lineRule="auto"/>
              <w:ind w:left="221"/>
              <w:rPr>
                <w:sz w:val="20"/>
                <w:szCs w:val="20"/>
              </w:rPr>
            </w:pPr>
            <w:r>
              <w:rPr>
                <w:spacing w:val="-2"/>
                <w:sz w:val="20"/>
                <w:szCs w:val="20"/>
              </w:rPr>
              <w:t>满意度</w:t>
            </w:r>
          </w:p>
          <w:p w14:paraId="2C94E6DC">
            <w:pPr>
              <w:pStyle w:val="10"/>
              <w:spacing w:before="43" w:line="220" w:lineRule="auto"/>
              <w:ind w:left="321"/>
              <w:rPr>
                <w:sz w:val="20"/>
                <w:szCs w:val="20"/>
              </w:rPr>
            </w:pPr>
            <w:r>
              <w:rPr>
                <w:spacing w:val="-3"/>
                <w:sz w:val="20"/>
                <w:szCs w:val="20"/>
              </w:rPr>
              <w:t>指标</w:t>
            </w:r>
          </w:p>
          <w:p w14:paraId="6AB6F6D9">
            <w:pPr>
              <w:pStyle w:val="10"/>
              <w:spacing w:before="2" w:line="213" w:lineRule="auto"/>
              <w:ind w:left="221"/>
              <w:rPr>
                <w:sz w:val="20"/>
                <w:szCs w:val="20"/>
              </w:rPr>
            </w:pPr>
            <w:r>
              <w:rPr>
                <w:spacing w:val="8"/>
                <w:sz w:val="20"/>
                <w:szCs w:val="20"/>
              </w:rPr>
              <w:t>(10分)</w:t>
            </w:r>
          </w:p>
        </w:tc>
        <w:tc>
          <w:tcPr>
            <w:tcW w:w="972" w:type="dxa"/>
            <w:vMerge w:val="restart"/>
            <w:tcBorders>
              <w:bottom w:val="nil"/>
            </w:tcBorders>
          </w:tcPr>
          <w:p w14:paraId="76507690">
            <w:pPr>
              <w:pStyle w:val="10"/>
              <w:spacing w:before="37" w:line="225" w:lineRule="auto"/>
              <w:ind w:left="162" w:right="153"/>
              <w:jc w:val="both"/>
              <w:rPr>
                <w:sz w:val="20"/>
                <w:szCs w:val="20"/>
              </w:rPr>
            </w:pPr>
            <w:r>
              <w:rPr>
                <w:spacing w:val="-3"/>
                <w:sz w:val="20"/>
                <w:szCs w:val="20"/>
              </w:rPr>
              <w:t>服务对</w:t>
            </w:r>
            <w:r>
              <w:rPr>
                <w:sz w:val="20"/>
                <w:szCs w:val="20"/>
              </w:rPr>
              <w:t xml:space="preserve"> </w:t>
            </w:r>
            <w:r>
              <w:rPr>
                <w:spacing w:val="4"/>
                <w:sz w:val="20"/>
                <w:szCs w:val="20"/>
              </w:rPr>
              <w:t>象满意</w:t>
            </w:r>
            <w:r>
              <w:rPr>
                <w:sz w:val="20"/>
                <w:szCs w:val="20"/>
              </w:rPr>
              <w:t xml:space="preserve"> </w:t>
            </w:r>
            <w:r>
              <w:rPr>
                <w:spacing w:val="-2"/>
                <w:sz w:val="20"/>
                <w:szCs w:val="20"/>
              </w:rPr>
              <w:t>度指标</w:t>
            </w:r>
          </w:p>
        </w:tc>
        <w:tc>
          <w:tcPr>
            <w:tcW w:w="1196" w:type="dxa"/>
          </w:tcPr>
          <w:p w14:paraId="28BD789D">
            <w:pPr>
              <w:spacing w:line="218" w:lineRule="exact"/>
              <w:rPr>
                <w:sz w:val="19"/>
              </w:rPr>
            </w:pPr>
          </w:p>
        </w:tc>
        <w:tc>
          <w:tcPr>
            <w:tcW w:w="1229" w:type="dxa"/>
          </w:tcPr>
          <w:p w14:paraId="7C8151B5">
            <w:pPr>
              <w:spacing w:line="218" w:lineRule="exact"/>
              <w:rPr>
                <w:sz w:val="19"/>
              </w:rPr>
            </w:pPr>
          </w:p>
        </w:tc>
        <w:tc>
          <w:tcPr>
            <w:tcW w:w="1269" w:type="dxa"/>
          </w:tcPr>
          <w:p w14:paraId="6308F8F0">
            <w:pPr>
              <w:spacing w:line="218" w:lineRule="exact"/>
              <w:rPr>
                <w:sz w:val="19"/>
              </w:rPr>
            </w:pPr>
          </w:p>
        </w:tc>
        <w:tc>
          <w:tcPr>
            <w:tcW w:w="669" w:type="dxa"/>
          </w:tcPr>
          <w:p w14:paraId="4F625372">
            <w:pPr>
              <w:spacing w:line="218" w:lineRule="exact"/>
              <w:rPr>
                <w:sz w:val="19"/>
              </w:rPr>
            </w:pPr>
          </w:p>
        </w:tc>
        <w:tc>
          <w:tcPr>
            <w:tcW w:w="859" w:type="dxa"/>
          </w:tcPr>
          <w:p w14:paraId="52E369FC">
            <w:pPr>
              <w:spacing w:line="218" w:lineRule="exact"/>
              <w:rPr>
                <w:sz w:val="19"/>
              </w:rPr>
            </w:pPr>
          </w:p>
        </w:tc>
        <w:tc>
          <w:tcPr>
            <w:tcW w:w="1413" w:type="dxa"/>
          </w:tcPr>
          <w:p w14:paraId="0B775DAC">
            <w:pPr>
              <w:spacing w:line="218" w:lineRule="exact"/>
              <w:rPr>
                <w:sz w:val="19"/>
              </w:rPr>
            </w:pPr>
          </w:p>
        </w:tc>
      </w:tr>
      <w:tr w14:paraId="2B5C7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tcPr>
          <w:p w14:paraId="0ACD6584"/>
        </w:tc>
        <w:tc>
          <w:tcPr>
            <w:tcW w:w="1059" w:type="dxa"/>
            <w:vMerge w:val="continue"/>
            <w:tcBorders>
              <w:top w:val="nil"/>
              <w:bottom w:val="nil"/>
            </w:tcBorders>
          </w:tcPr>
          <w:p w14:paraId="796D37A2"/>
        </w:tc>
        <w:tc>
          <w:tcPr>
            <w:tcW w:w="972" w:type="dxa"/>
            <w:vMerge w:val="continue"/>
            <w:tcBorders>
              <w:top w:val="nil"/>
              <w:bottom w:val="nil"/>
            </w:tcBorders>
          </w:tcPr>
          <w:p w14:paraId="471A43D3"/>
        </w:tc>
        <w:tc>
          <w:tcPr>
            <w:tcW w:w="1196" w:type="dxa"/>
          </w:tcPr>
          <w:p w14:paraId="286C4209">
            <w:pPr>
              <w:spacing w:line="220" w:lineRule="exact"/>
              <w:rPr>
                <w:sz w:val="19"/>
              </w:rPr>
            </w:pPr>
          </w:p>
        </w:tc>
        <w:tc>
          <w:tcPr>
            <w:tcW w:w="1229" w:type="dxa"/>
          </w:tcPr>
          <w:p w14:paraId="4E7220FB">
            <w:pPr>
              <w:spacing w:line="220" w:lineRule="exact"/>
              <w:rPr>
                <w:sz w:val="19"/>
              </w:rPr>
            </w:pPr>
          </w:p>
        </w:tc>
        <w:tc>
          <w:tcPr>
            <w:tcW w:w="1269" w:type="dxa"/>
          </w:tcPr>
          <w:p w14:paraId="24068585">
            <w:pPr>
              <w:spacing w:line="220" w:lineRule="exact"/>
              <w:rPr>
                <w:sz w:val="19"/>
              </w:rPr>
            </w:pPr>
          </w:p>
        </w:tc>
        <w:tc>
          <w:tcPr>
            <w:tcW w:w="669" w:type="dxa"/>
          </w:tcPr>
          <w:p w14:paraId="5679F3BF">
            <w:pPr>
              <w:spacing w:line="220" w:lineRule="exact"/>
              <w:rPr>
                <w:sz w:val="19"/>
              </w:rPr>
            </w:pPr>
          </w:p>
        </w:tc>
        <w:tc>
          <w:tcPr>
            <w:tcW w:w="859" w:type="dxa"/>
          </w:tcPr>
          <w:p w14:paraId="3FB7FC16">
            <w:pPr>
              <w:spacing w:line="220" w:lineRule="exact"/>
              <w:rPr>
                <w:sz w:val="19"/>
              </w:rPr>
            </w:pPr>
          </w:p>
        </w:tc>
        <w:tc>
          <w:tcPr>
            <w:tcW w:w="1413" w:type="dxa"/>
          </w:tcPr>
          <w:p w14:paraId="37604BC1">
            <w:pPr>
              <w:spacing w:line="220" w:lineRule="exact"/>
              <w:rPr>
                <w:sz w:val="19"/>
              </w:rPr>
            </w:pPr>
          </w:p>
        </w:tc>
      </w:tr>
      <w:tr w14:paraId="22CA0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74" w:type="dxa"/>
            <w:vMerge w:val="continue"/>
            <w:tcBorders>
              <w:top w:val="nil"/>
            </w:tcBorders>
            <w:textDirection w:val="tbRlV"/>
          </w:tcPr>
          <w:p w14:paraId="38688FE7"/>
        </w:tc>
        <w:tc>
          <w:tcPr>
            <w:tcW w:w="1059" w:type="dxa"/>
            <w:vMerge w:val="continue"/>
            <w:tcBorders>
              <w:top w:val="nil"/>
            </w:tcBorders>
          </w:tcPr>
          <w:p w14:paraId="26E35AA0"/>
        </w:tc>
        <w:tc>
          <w:tcPr>
            <w:tcW w:w="972" w:type="dxa"/>
            <w:vMerge w:val="continue"/>
            <w:tcBorders>
              <w:top w:val="nil"/>
            </w:tcBorders>
          </w:tcPr>
          <w:p w14:paraId="57485ACE"/>
        </w:tc>
        <w:tc>
          <w:tcPr>
            <w:tcW w:w="1196" w:type="dxa"/>
          </w:tcPr>
          <w:p w14:paraId="6E7AF70A"/>
        </w:tc>
        <w:tc>
          <w:tcPr>
            <w:tcW w:w="1229" w:type="dxa"/>
          </w:tcPr>
          <w:p w14:paraId="3C98A38A"/>
        </w:tc>
        <w:tc>
          <w:tcPr>
            <w:tcW w:w="1269" w:type="dxa"/>
          </w:tcPr>
          <w:p w14:paraId="7F80B208"/>
        </w:tc>
        <w:tc>
          <w:tcPr>
            <w:tcW w:w="669" w:type="dxa"/>
          </w:tcPr>
          <w:p w14:paraId="76481BFF"/>
        </w:tc>
        <w:tc>
          <w:tcPr>
            <w:tcW w:w="859" w:type="dxa"/>
          </w:tcPr>
          <w:p w14:paraId="79A7348B"/>
        </w:tc>
        <w:tc>
          <w:tcPr>
            <w:tcW w:w="1413" w:type="dxa"/>
          </w:tcPr>
          <w:p w14:paraId="5C04BECA"/>
        </w:tc>
      </w:tr>
      <w:tr w14:paraId="04295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799" w:type="dxa"/>
            <w:gridSpan w:val="6"/>
          </w:tcPr>
          <w:p w14:paraId="620234E9">
            <w:pPr>
              <w:spacing w:before="47" w:line="207" w:lineRule="exact"/>
              <w:ind w:firstLine="3191"/>
            </w:pPr>
            <w:r>
              <w:rPr>
                <w:position w:val="-4"/>
                <w:lang w:eastAsia="zh-CN"/>
              </w:rPr>
              <w:drawing>
                <wp:inline distT="0" distB="0" distL="0" distR="0">
                  <wp:extent cx="255905" cy="131445"/>
                  <wp:effectExtent l="0" t="0" r="3175" b="571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256080" cy="131549"/>
                          </a:xfrm>
                          <a:prstGeom prst="rect">
                            <a:avLst/>
                          </a:prstGeom>
                        </pic:spPr>
                      </pic:pic>
                    </a:graphicData>
                  </a:graphic>
                </wp:inline>
              </w:drawing>
            </w:r>
          </w:p>
        </w:tc>
        <w:tc>
          <w:tcPr>
            <w:tcW w:w="669" w:type="dxa"/>
          </w:tcPr>
          <w:p w14:paraId="72B6C9CF">
            <w:pPr>
              <w:pStyle w:val="10"/>
              <w:spacing w:before="89" w:line="166" w:lineRule="exact"/>
              <w:ind w:left="176"/>
              <w:rPr>
                <w:sz w:val="20"/>
                <w:szCs w:val="20"/>
              </w:rPr>
            </w:pPr>
            <w:r>
              <w:rPr>
                <w:spacing w:val="-6"/>
                <w:position w:val="-2"/>
                <w:sz w:val="20"/>
                <w:szCs w:val="20"/>
              </w:rPr>
              <w:t>100</w:t>
            </w:r>
          </w:p>
        </w:tc>
        <w:tc>
          <w:tcPr>
            <w:tcW w:w="859" w:type="dxa"/>
          </w:tcPr>
          <w:p w14:paraId="272A5A0E"/>
        </w:tc>
        <w:tc>
          <w:tcPr>
            <w:tcW w:w="1413" w:type="dxa"/>
          </w:tcPr>
          <w:p w14:paraId="4799C619"/>
        </w:tc>
      </w:tr>
    </w:tbl>
    <w:p w14:paraId="5640EF37">
      <w:pPr>
        <w:pStyle w:val="2"/>
        <w:spacing w:before="268" w:line="220" w:lineRule="auto"/>
        <w:ind w:left="445"/>
        <w:rPr>
          <w:sz w:val="18"/>
          <w:szCs w:val="18"/>
        </w:rPr>
      </w:pPr>
      <w:r>
        <w:rPr>
          <w:spacing w:val="-3"/>
          <w:sz w:val="18"/>
          <w:szCs w:val="18"/>
        </w:rPr>
        <w:t>备注：每个一级项目支出一张表。如，业务工作经费，运行维护经费，其他事业发展类资金各一张表。</w:t>
      </w:r>
    </w:p>
    <w:p w14:paraId="7B7C057E">
      <w:pPr>
        <w:spacing w:line="184" w:lineRule="auto"/>
        <w:rPr>
          <w:rFonts w:ascii="宋体" w:hAnsi="宋体" w:eastAsia="宋体" w:cs="宋体"/>
          <w:sz w:val="33"/>
          <w:szCs w:val="33"/>
        </w:rPr>
        <w:sectPr>
          <w:footerReference r:id="rId3" w:type="default"/>
          <w:pgSz w:w="11907" w:h="16839"/>
          <w:pgMar w:top="1644" w:right="1474" w:bottom="1644" w:left="1644" w:header="0" w:footer="0" w:gutter="0"/>
          <w:cols w:space="720" w:num="1"/>
          <w:docGrid w:linePitch="286" w:charSpace="0"/>
        </w:sectPr>
      </w:pPr>
    </w:p>
    <w:p w14:paraId="51C9E968">
      <w:pPr>
        <w:spacing w:before="120" w:beforeLines="50" w:after="120" w:afterLines="50"/>
        <w:rPr>
          <w:rFonts w:ascii="仿宋" w:hAnsi="仿宋" w:eastAsia="仿宋" w:cs="仿宋"/>
          <w:b/>
          <w:sz w:val="32"/>
          <w:szCs w:val="32"/>
          <w:lang w:eastAsia="zh-CN"/>
        </w:rPr>
      </w:pPr>
      <w:r>
        <w:rPr>
          <w:rFonts w:hint="eastAsia" w:ascii="仿宋" w:hAnsi="仿宋" w:eastAsia="仿宋" w:cs="仿宋"/>
          <w:b/>
          <w:sz w:val="32"/>
          <w:szCs w:val="32"/>
          <w:lang w:eastAsia="zh-CN"/>
        </w:rPr>
        <w:t>附件5：</w:t>
      </w:r>
    </w:p>
    <w:p w14:paraId="4E8264B0">
      <w:pPr>
        <w:spacing w:before="120" w:beforeLines="50" w:after="120" w:afterLines="50"/>
        <w:jc w:val="center"/>
        <w:rPr>
          <w:rFonts w:eastAsia="方正小标宋_GBK"/>
          <w:bCs/>
          <w:sz w:val="36"/>
          <w:szCs w:val="36"/>
        </w:rPr>
      </w:pPr>
      <w:r>
        <w:rPr>
          <w:rFonts w:eastAsia="方正小标宋_GBK"/>
          <w:bCs/>
          <w:sz w:val="36"/>
          <w:szCs w:val="36"/>
        </w:rPr>
        <w:t>部门整体支出绩效评价共性指标评分</w:t>
      </w:r>
      <w:r>
        <w:rPr>
          <w:rFonts w:hint="eastAsia" w:eastAsia="方正小标宋_GBK"/>
          <w:bCs/>
          <w:sz w:val="36"/>
          <w:szCs w:val="36"/>
        </w:rPr>
        <w:t>表</w:t>
      </w:r>
    </w:p>
    <w:tbl>
      <w:tblPr>
        <w:tblStyle w:val="7"/>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866"/>
        <w:gridCol w:w="951"/>
        <w:gridCol w:w="2871"/>
        <w:gridCol w:w="4238"/>
        <w:gridCol w:w="577"/>
      </w:tblGrid>
      <w:tr w14:paraId="69F7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blHeader/>
          <w:jc w:val="center"/>
        </w:trPr>
        <w:tc>
          <w:tcPr>
            <w:tcW w:w="666" w:type="dxa"/>
            <w:tcMar>
              <w:top w:w="10" w:type="dxa"/>
              <w:left w:w="10" w:type="dxa"/>
              <w:bottom w:w="0" w:type="dxa"/>
              <w:right w:w="10" w:type="dxa"/>
            </w:tcMar>
            <w:vAlign w:val="center"/>
          </w:tcPr>
          <w:p w14:paraId="54DBD2BF">
            <w:pPr>
              <w:jc w:val="center"/>
              <w:rPr>
                <w:rFonts w:ascii="仿宋_GB2312" w:eastAsia="仿宋_GB2312"/>
                <w:b/>
                <w:bCs/>
                <w:lang w:eastAsia="zh-CN"/>
              </w:rPr>
            </w:pPr>
            <w:r>
              <w:rPr>
                <w:rFonts w:hint="eastAsia" w:ascii="仿宋_GB2312" w:eastAsia="仿宋_GB2312"/>
                <w:b/>
                <w:bCs/>
              </w:rPr>
              <w:t>一级</w:t>
            </w:r>
          </w:p>
          <w:p w14:paraId="757D6232">
            <w:pPr>
              <w:jc w:val="center"/>
              <w:rPr>
                <w:rFonts w:ascii="仿宋_GB2312" w:eastAsia="仿宋_GB2312"/>
                <w:b/>
                <w:bCs/>
              </w:rPr>
            </w:pPr>
            <w:r>
              <w:rPr>
                <w:rFonts w:hint="eastAsia" w:ascii="仿宋_GB2312" w:eastAsia="仿宋_GB2312"/>
                <w:b/>
                <w:bCs/>
              </w:rPr>
              <w:t>指标</w:t>
            </w:r>
          </w:p>
        </w:tc>
        <w:tc>
          <w:tcPr>
            <w:tcW w:w="866" w:type="dxa"/>
            <w:tcMar>
              <w:top w:w="10" w:type="dxa"/>
              <w:left w:w="10" w:type="dxa"/>
              <w:bottom w:w="0" w:type="dxa"/>
              <w:right w:w="10" w:type="dxa"/>
            </w:tcMar>
            <w:vAlign w:val="center"/>
          </w:tcPr>
          <w:p w14:paraId="00F1209D">
            <w:pPr>
              <w:ind w:right="-174" w:rightChars="-83"/>
              <w:jc w:val="center"/>
              <w:rPr>
                <w:rFonts w:ascii="仿宋_GB2312" w:eastAsia="仿宋_GB2312"/>
                <w:b/>
                <w:bCs/>
              </w:rPr>
            </w:pPr>
            <w:r>
              <w:rPr>
                <w:rFonts w:hint="eastAsia" w:ascii="仿宋_GB2312" w:eastAsia="仿宋_GB2312"/>
                <w:b/>
                <w:bCs/>
              </w:rPr>
              <w:t>二级</w:t>
            </w:r>
          </w:p>
          <w:p w14:paraId="15FECE9E">
            <w:pPr>
              <w:ind w:right="-174" w:rightChars="-83"/>
              <w:jc w:val="center"/>
              <w:rPr>
                <w:rFonts w:ascii="仿宋_GB2312" w:eastAsia="仿宋_GB2312"/>
                <w:b/>
                <w:bCs/>
              </w:rPr>
            </w:pPr>
            <w:r>
              <w:rPr>
                <w:rFonts w:hint="eastAsia" w:ascii="仿宋_GB2312" w:eastAsia="仿宋_GB2312"/>
                <w:b/>
                <w:bCs/>
              </w:rPr>
              <w:t>指标</w:t>
            </w:r>
          </w:p>
        </w:tc>
        <w:tc>
          <w:tcPr>
            <w:tcW w:w="951" w:type="dxa"/>
            <w:tcMar>
              <w:top w:w="10" w:type="dxa"/>
              <w:left w:w="10" w:type="dxa"/>
              <w:bottom w:w="0" w:type="dxa"/>
              <w:right w:w="10" w:type="dxa"/>
            </w:tcMar>
            <w:vAlign w:val="center"/>
          </w:tcPr>
          <w:p w14:paraId="3BD72059">
            <w:pPr>
              <w:jc w:val="center"/>
              <w:rPr>
                <w:rFonts w:ascii="仿宋_GB2312" w:eastAsia="仿宋_GB2312"/>
                <w:b/>
                <w:bCs/>
              </w:rPr>
            </w:pPr>
            <w:r>
              <w:rPr>
                <w:rFonts w:hint="eastAsia" w:ascii="仿宋_GB2312" w:eastAsia="仿宋_GB2312"/>
                <w:b/>
                <w:bCs/>
              </w:rPr>
              <w:t>三级</w:t>
            </w:r>
          </w:p>
          <w:p w14:paraId="618DA5B7">
            <w:pPr>
              <w:jc w:val="center"/>
              <w:rPr>
                <w:rFonts w:ascii="仿宋_GB2312" w:eastAsia="仿宋_GB2312"/>
                <w:b/>
                <w:bCs/>
              </w:rPr>
            </w:pPr>
            <w:r>
              <w:rPr>
                <w:rFonts w:hint="eastAsia" w:ascii="仿宋_GB2312" w:eastAsia="仿宋_GB2312"/>
                <w:b/>
                <w:bCs/>
              </w:rPr>
              <w:t>指标</w:t>
            </w:r>
          </w:p>
        </w:tc>
        <w:tc>
          <w:tcPr>
            <w:tcW w:w="2871" w:type="dxa"/>
            <w:tcMar>
              <w:top w:w="10" w:type="dxa"/>
              <w:left w:w="10" w:type="dxa"/>
              <w:bottom w:w="0" w:type="dxa"/>
              <w:right w:w="10" w:type="dxa"/>
            </w:tcMar>
            <w:vAlign w:val="center"/>
          </w:tcPr>
          <w:p w14:paraId="046AFD4A">
            <w:pPr>
              <w:ind w:left="105" w:leftChars="50" w:right="105" w:rightChars="50"/>
              <w:jc w:val="center"/>
              <w:rPr>
                <w:rFonts w:ascii="仿宋_GB2312" w:eastAsia="仿宋_GB2312"/>
                <w:b/>
                <w:bCs/>
              </w:rPr>
            </w:pPr>
            <w:r>
              <w:rPr>
                <w:rFonts w:hint="eastAsia" w:ascii="仿宋_GB2312" w:eastAsia="仿宋_GB2312"/>
                <w:b/>
                <w:bCs/>
              </w:rPr>
              <w:t>指标解释</w:t>
            </w:r>
          </w:p>
        </w:tc>
        <w:tc>
          <w:tcPr>
            <w:tcW w:w="4238" w:type="dxa"/>
            <w:tcMar>
              <w:top w:w="10" w:type="dxa"/>
              <w:left w:w="10" w:type="dxa"/>
              <w:bottom w:w="0" w:type="dxa"/>
              <w:right w:w="10" w:type="dxa"/>
            </w:tcMar>
            <w:vAlign w:val="center"/>
          </w:tcPr>
          <w:p w14:paraId="3F139368">
            <w:pPr>
              <w:ind w:left="105" w:leftChars="50" w:right="105" w:rightChars="50"/>
              <w:jc w:val="center"/>
              <w:rPr>
                <w:rFonts w:ascii="仿宋_GB2312" w:eastAsia="仿宋_GB2312"/>
                <w:b/>
                <w:bCs/>
              </w:rPr>
            </w:pPr>
            <w:r>
              <w:rPr>
                <w:rFonts w:hint="eastAsia" w:ascii="仿宋_GB2312" w:eastAsia="仿宋_GB2312"/>
                <w:b/>
                <w:bCs/>
              </w:rPr>
              <w:t>指标说明</w:t>
            </w:r>
          </w:p>
        </w:tc>
        <w:tc>
          <w:tcPr>
            <w:tcW w:w="577" w:type="dxa"/>
            <w:vAlign w:val="center"/>
          </w:tcPr>
          <w:p w14:paraId="014FECA0">
            <w:pPr>
              <w:ind w:left="105" w:leftChars="50" w:right="105" w:rightChars="50"/>
              <w:jc w:val="center"/>
              <w:rPr>
                <w:rFonts w:ascii="仿宋_GB2312" w:eastAsia="仿宋_GB2312"/>
                <w:b/>
                <w:bCs/>
              </w:rPr>
            </w:pPr>
            <w:r>
              <w:rPr>
                <w:rFonts w:hint="eastAsia" w:ascii="仿宋_GB2312" w:eastAsia="仿宋_GB2312"/>
                <w:b/>
                <w:bCs/>
              </w:rPr>
              <w:t>得分</w:t>
            </w:r>
          </w:p>
        </w:tc>
      </w:tr>
      <w:tr w14:paraId="5CBE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666" w:type="dxa"/>
            <w:vMerge w:val="restart"/>
            <w:noWrap/>
            <w:tcMar>
              <w:top w:w="10" w:type="dxa"/>
              <w:left w:w="10" w:type="dxa"/>
              <w:bottom w:w="0" w:type="dxa"/>
              <w:right w:w="10" w:type="dxa"/>
            </w:tcMar>
            <w:vAlign w:val="center"/>
          </w:tcPr>
          <w:p w14:paraId="555F251A">
            <w:pPr>
              <w:spacing w:line="320" w:lineRule="exact"/>
              <w:jc w:val="center"/>
              <w:rPr>
                <w:rFonts w:ascii="仿宋_GB2312" w:eastAsia="仿宋_GB2312"/>
              </w:rPr>
            </w:pPr>
            <w:r>
              <w:rPr>
                <w:rFonts w:hint="eastAsia" w:ascii="仿宋_GB2312" w:eastAsia="仿宋_GB2312"/>
              </w:rPr>
              <w:t>投   入</w:t>
            </w:r>
          </w:p>
          <w:p w14:paraId="1FAD447B">
            <w:pPr>
              <w:spacing w:line="320" w:lineRule="exact"/>
              <w:jc w:val="center"/>
              <w:rPr>
                <w:rFonts w:ascii="仿宋_GB2312" w:eastAsia="仿宋_GB2312"/>
              </w:rPr>
            </w:pPr>
            <w:r>
              <w:rPr>
                <w:rFonts w:hint="eastAsia" w:ascii="仿宋_GB2312" w:eastAsia="仿宋_GB2312"/>
              </w:rPr>
              <w:t>（10分）</w:t>
            </w:r>
          </w:p>
        </w:tc>
        <w:tc>
          <w:tcPr>
            <w:tcW w:w="866" w:type="dxa"/>
            <w:vMerge w:val="restart"/>
            <w:tcMar>
              <w:top w:w="10" w:type="dxa"/>
              <w:left w:w="10" w:type="dxa"/>
              <w:bottom w:w="0" w:type="dxa"/>
              <w:right w:w="10" w:type="dxa"/>
            </w:tcMar>
            <w:vAlign w:val="center"/>
          </w:tcPr>
          <w:p w14:paraId="01705690">
            <w:pPr>
              <w:spacing w:line="320" w:lineRule="exact"/>
              <w:jc w:val="center"/>
              <w:rPr>
                <w:rFonts w:ascii="仿宋_GB2312" w:eastAsia="仿宋_GB2312"/>
                <w:lang w:eastAsia="zh-CN"/>
              </w:rPr>
            </w:pPr>
            <w:r>
              <w:rPr>
                <w:rFonts w:hint="eastAsia" w:ascii="仿宋_GB2312" w:eastAsia="仿宋_GB2312"/>
              </w:rPr>
              <w:t>目标</w:t>
            </w:r>
          </w:p>
          <w:p w14:paraId="52E6218E">
            <w:pPr>
              <w:spacing w:line="320" w:lineRule="exact"/>
              <w:jc w:val="center"/>
              <w:rPr>
                <w:rFonts w:ascii="仿宋_GB2312" w:eastAsia="仿宋_GB2312"/>
              </w:rPr>
            </w:pPr>
            <w:r>
              <w:rPr>
                <w:rFonts w:hint="eastAsia" w:ascii="仿宋_GB2312" w:eastAsia="仿宋_GB2312"/>
              </w:rPr>
              <w:t>设定</w:t>
            </w:r>
          </w:p>
          <w:p w14:paraId="0B783F66">
            <w:pPr>
              <w:spacing w:line="320" w:lineRule="exact"/>
              <w:jc w:val="center"/>
              <w:rPr>
                <w:rFonts w:ascii="仿宋_GB2312" w:eastAsia="仿宋_GB2312"/>
              </w:rPr>
            </w:pPr>
            <w:r>
              <w:rPr>
                <w:rFonts w:hint="eastAsia" w:ascii="仿宋_GB2312" w:eastAsia="仿宋_GB2312"/>
              </w:rPr>
              <w:t>（4分）</w:t>
            </w:r>
          </w:p>
        </w:tc>
        <w:tc>
          <w:tcPr>
            <w:tcW w:w="951" w:type="dxa"/>
            <w:tcMar>
              <w:top w:w="10" w:type="dxa"/>
              <w:left w:w="10" w:type="dxa"/>
              <w:bottom w:w="0" w:type="dxa"/>
              <w:right w:w="10" w:type="dxa"/>
            </w:tcMar>
            <w:vAlign w:val="center"/>
          </w:tcPr>
          <w:p w14:paraId="4CF6A762">
            <w:pPr>
              <w:spacing w:line="320" w:lineRule="exact"/>
              <w:jc w:val="center"/>
              <w:rPr>
                <w:rFonts w:ascii="仿宋_GB2312" w:eastAsia="仿宋_GB2312"/>
              </w:rPr>
            </w:pPr>
            <w:r>
              <w:rPr>
                <w:rFonts w:hint="eastAsia" w:ascii="仿宋_GB2312" w:eastAsia="仿宋_GB2312"/>
              </w:rPr>
              <w:t>绩效目标</w:t>
            </w:r>
          </w:p>
          <w:p w14:paraId="14C5137E">
            <w:pPr>
              <w:spacing w:line="320" w:lineRule="exact"/>
              <w:jc w:val="center"/>
              <w:rPr>
                <w:rFonts w:ascii="仿宋_GB2312" w:eastAsia="仿宋_GB2312"/>
              </w:rPr>
            </w:pPr>
            <w:r>
              <w:rPr>
                <w:rFonts w:hint="eastAsia" w:ascii="仿宋_GB2312" w:eastAsia="仿宋_GB2312"/>
              </w:rPr>
              <w:t>合理性</w:t>
            </w:r>
          </w:p>
          <w:p w14:paraId="1C62E147">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458BE355">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部门所设立的整体绩效目标依据是否充分，是否符合客观实际，用以反映和考核部门整体绩效目标与部门履职、年度工作任务的相符性情况。</w:t>
            </w:r>
          </w:p>
        </w:tc>
        <w:tc>
          <w:tcPr>
            <w:tcW w:w="4238" w:type="dxa"/>
            <w:tcMar>
              <w:top w:w="10" w:type="dxa"/>
              <w:left w:w="10" w:type="dxa"/>
              <w:bottom w:w="0" w:type="dxa"/>
              <w:right w:w="10" w:type="dxa"/>
            </w:tcMar>
            <w:vAlign w:val="center"/>
          </w:tcPr>
          <w:p w14:paraId="3D7F9519">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1F89B2B9">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是否符合国家法律法规、国民经济和社会发展总体规划；</w:t>
            </w:r>
          </w:p>
          <w:p w14:paraId="4EDB67C5">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是否符合部门“三定”方案确定的职责；</w:t>
            </w:r>
          </w:p>
          <w:p w14:paraId="4389A0C1">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是否符合部门制定的中长期实施规划。</w:t>
            </w:r>
          </w:p>
        </w:tc>
        <w:tc>
          <w:tcPr>
            <w:tcW w:w="577" w:type="dxa"/>
          </w:tcPr>
          <w:p w14:paraId="0A987361">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14:paraId="2724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7" w:hRule="atLeast"/>
          <w:jc w:val="center"/>
        </w:trPr>
        <w:tc>
          <w:tcPr>
            <w:tcW w:w="666" w:type="dxa"/>
            <w:vMerge w:val="continue"/>
            <w:vAlign w:val="center"/>
          </w:tcPr>
          <w:p w14:paraId="7DED6199">
            <w:pPr>
              <w:spacing w:line="320" w:lineRule="exact"/>
              <w:rPr>
                <w:rFonts w:ascii="仿宋_GB2312" w:eastAsia="仿宋_GB2312"/>
              </w:rPr>
            </w:pPr>
          </w:p>
        </w:tc>
        <w:tc>
          <w:tcPr>
            <w:tcW w:w="866" w:type="dxa"/>
            <w:vMerge w:val="continue"/>
            <w:vAlign w:val="center"/>
          </w:tcPr>
          <w:p w14:paraId="02810063">
            <w:pPr>
              <w:spacing w:line="320" w:lineRule="exact"/>
              <w:rPr>
                <w:rFonts w:ascii="仿宋_GB2312" w:eastAsia="仿宋_GB2312"/>
              </w:rPr>
            </w:pPr>
          </w:p>
        </w:tc>
        <w:tc>
          <w:tcPr>
            <w:tcW w:w="951" w:type="dxa"/>
            <w:tcMar>
              <w:top w:w="10" w:type="dxa"/>
              <w:left w:w="10" w:type="dxa"/>
              <w:bottom w:w="0" w:type="dxa"/>
              <w:right w:w="10" w:type="dxa"/>
            </w:tcMar>
            <w:vAlign w:val="center"/>
          </w:tcPr>
          <w:p w14:paraId="32D0A099">
            <w:pPr>
              <w:spacing w:line="320" w:lineRule="exact"/>
              <w:jc w:val="center"/>
              <w:rPr>
                <w:rFonts w:ascii="仿宋_GB2312" w:eastAsia="仿宋_GB2312"/>
              </w:rPr>
            </w:pPr>
            <w:r>
              <w:rPr>
                <w:rFonts w:hint="eastAsia" w:ascii="仿宋_GB2312" w:eastAsia="仿宋_GB2312"/>
              </w:rPr>
              <w:t>绩效指标</w:t>
            </w:r>
          </w:p>
          <w:p w14:paraId="27ABE86E">
            <w:pPr>
              <w:spacing w:line="320" w:lineRule="exact"/>
              <w:jc w:val="center"/>
              <w:rPr>
                <w:rFonts w:ascii="仿宋_GB2312" w:eastAsia="仿宋_GB2312"/>
              </w:rPr>
            </w:pPr>
            <w:r>
              <w:rPr>
                <w:rFonts w:hint="eastAsia" w:ascii="仿宋_GB2312" w:eastAsia="仿宋_GB2312"/>
              </w:rPr>
              <w:t>明确性</w:t>
            </w:r>
          </w:p>
          <w:p w14:paraId="5D1120DA">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59D918CD">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部门依据整体绩效目标所设定的绩效指标是否清晰、细化、可衡量，用以反映和考核部门整体绩效目标的明细化情况。</w:t>
            </w:r>
          </w:p>
        </w:tc>
        <w:tc>
          <w:tcPr>
            <w:tcW w:w="4238" w:type="dxa"/>
            <w:tcMar>
              <w:top w:w="10" w:type="dxa"/>
              <w:left w:w="10" w:type="dxa"/>
              <w:bottom w:w="0" w:type="dxa"/>
              <w:right w:w="10" w:type="dxa"/>
            </w:tcMar>
            <w:vAlign w:val="center"/>
          </w:tcPr>
          <w:p w14:paraId="2873AA0B">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6D9C8F5D">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是否将部门整体的绩效目标细化分解为具体的工作任务；</w:t>
            </w:r>
          </w:p>
          <w:p w14:paraId="2C475984">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 xml:space="preserve">是否通过清晰、可衡量的指标值予以体现。    </w:t>
            </w:r>
            <w:r>
              <w:rPr>
                <w:rFonts w:hint="eastAsia" w:ascii="仿宋_GB2312" w:hAnsi="宋体" w:eastAsia="仿宋_GB2312" w:cs="宋体"/>
              </w:rPr>
              <w:t>③</w:t>
            </w:r>
            <w:r>
              <w:rPr>
                <w:rFonts w:hint="eastAsia" w:ascii="仿宋_GB2312" w:eastAsia="仿宋_GB2312"/>
              </w:rPr>
              <w:t>是否与部门年度的任务数或计划数相对应；</w:t>
            </w:r>
          </w:p>
          <w:p w14:paraId="3381180A">
            <w:pPr>
              <w:spacing w:line="320" w:lineRule="exact"/>
              <w:ind w:left="105" w:leftChars="50" w:right="105" w:rightChars="50"/>
              <w:rPr>
                <w:rFonts w:ascii="仿宋_GB2312" w:eastAsia="仿宋_GB2312"/>
              </w:rPr>
            </w:pPr>
            <w:r>
              <w:rPr>
                <w:rFonts w:hint="eastAsia" w:ascii="仿宋_GB2312" w:hAnsi="宋体" w:eastAsia="仿宋_GB2312" w:cs="宋体"/>
              </w:rPr>
              <w:t>④</w:t>
            </w:r>
            <w:r>
              <w:rPr>
                <w:rFonts w:hint="eastAsia" w:ascii="仿宋_GB2312" w:eastAsia="仿宋_GB2312"/>
              </w:rPr>
              <w:t>是否与本年度部门预算资金相匹配。</w:t>
            </w:r>
          </w:p>
        </w:tc>
        <w:tc>
          <w:tcPr>
            <w:tcW w:w="577" w:type="dxa"/>
          </w:tcPr>
          <w:p w14:paraId="0C9DE7A5">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14:paraId="7B33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0" w:hRule="atLeast"/>
          <w:jc w:val="center"/>
        </w:trPr>
        <w:tc>
          <w:tcPr>
            <w:tcW w:w="666" w:type="dxa"/>
            <w:vMerge w:val="continue"/>
            <w:vAlign w:val="center"/>
          </w:tcPr>
          <w:p w14:paraId="4AFC3A80">
            <w:pPr>
              <w:spacing w:line="320" w:lineRule="exact"/>
              <w:rPr>
                <w:rFonts w:ascii="仿宋_GB2312" w:eastAsia="仿宋_GB2312"/>
              </w:rPr>
            </w:pPr>
          </w:p>
        </w:tc>
        <w:tc>
          <w:tcPr>
            <w:tcW w:w="866" w:type="dxa"/>
            <w:vMerge w:val="restart"/>
            <w:tcMar>
              <w:top w:w="10" w:type="dxa"/>
              <w:left w:w="10" w:type="dxa"/>
              <w:bottom w:w="0" w:type="dxa"/>
              <w:right w:w="10" w:type="dxa"/>
            </w:tcMar>
            <w:vAlign w:val="center"/>
          </w:tcPr>
          <w:p w14:paraId="3AF7BD4D">
            <w:pPr>
              <w:spacing w:line="320" w:lineRule="exact"/>
              <w:jc w:val="center"/>
              <w:rPr>
                <w:rFonts w:ascii="仿宋_GB2312" w:eastAsia="仿宋_GB2312"/>
                <w:lang w:eastAsia="zh-CN"/>
              </w:rPr>
            </w:pPr>
            <w:r>
              <w:rPr>
                <w:rFonts w:hint="eastAsia" w:ascii="仿宋_GB2312" w:eastAsia="仿宋_GB2312"/>
              </w:rPr>
              <w:t>预算</w:t>
            </w:r>
          </w:p>
          <w:p w14:paraId="588E3AE3">
            <w:pPr>
              <w:spacing w:line="320" w:lineRule="exact"/>
              <w:jc w:val="center"/>
              <w:rPr>
                <w:rFonts w:ascii="仿宋_GB2312" w:eastAsia="仿宋_GB2312"/>
              </w:rPr>
            </w:pPr>
            <w:r>
              <w:rPr>
                <w:rFonts w:hint="eastAsia" w:ascii="仿宋_GB2312" w:eastAsia="仿宋_GB2312"/>
              </w:rPr>
              <w:t>配置</w:t>
            </w:r>
          </w:p>
          <w:p w14:paraId="7CC52280">
            <w:pPr>
              <w:spacing w:line="320" w:lineRule="exact"/>
              <w:jc w:val="center"/>
              <w:rPr>
                <w:rFonts w:ascii="仿宋_GB2312" w:eastAsia="仿宋_GB2312"/>
              </w:rPr>
            </w:pPr>
            <w:r>
              <w:rPr>
                <w:rFonts w:hint="eastAsia" w:ascii="仿宋_GB2312" w:eastAsia="仿宋_GB2312"/>
              </w:rPr>
              <w:t>（6分）</w:t>
            </w:r>
          </w:p>
        </w:tc>
        <w:tc>
          <w:tcPr>
            <w:tcW w:w="951" w:type="dxa"/>
            <w:tcMar>
              <w:top w:w="10" w:type="dxa"/>
              <w:left w:w="10" w:type="dxa"/>
              <w:bottom w:w="0" w:type="dxa"/>
              <w:right w:w="10" w:type="dxa"/>
            </w:tcMar>
            <w:vAlign w:val="center"/>
          </w:tcPr>
          <w:p w14:paraId="525B4333">
            <w:pPr>
              <w:spacing w:line="320" w:lineRule="exact"/>
              <w:jc w:val="center"/>
              <w:rPr>
                <w:rFonts w:ascii="仿宋_GB2312" w:eastAsia="仿宋_GB2312"/>
              </w:rPr>
            </w:pPr>
            <w:r>
              <w:rPr>
                <w:rFonts w:hint="eastAsia" w:ascii="仿宋_GB2312" w:eastAsia="仿宋_GB2312"/>
              </w:rPr>
              <w:t>在职人员</w:t>
            </w:r>
          </w:p>
          <w:p w14:paraId="3EC409E4">
            <w:pPr>
              <w:spacing w:line="320" w:lineRule="exact"/>
              <w:jc w:val="center"/>
              <w:rPr>
                <w:rFonts w:ascii="仿宋_GB2312" w:eastAsia="仿宋_GB2312"/>
              </w:rPr>
            </w:pPr>
            <w:r>
              <w:rPr>
                <w:rFonts w:hint="eastAsia" w:ascii="仿宋_GB2312" w:eastAsia="仿宋_GB2312"/>
              </w:rPr>
              <w:t>控制率</w:t>
            </w:r>
          </w:p>
          <w:p w14:paraId="21D755F2">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7DF44717">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部门本年度实际在职人员数与编制数的比率，用以反映和考核部门对人员成本的控制程度。</w:t>
            </w:r>
          </w:p>
        </w:tc>
        <w:tc>
          <w:tcPr>
            <w:tcW w:w="4238" w:type="dxa"/>
            <w:tcMar>
              <w:top w:w="10" w:type="dxa"/>
              <w:left w:w="10" w:type="dxa"/>
              <w:bottom w:w="0" w:type="dxa"/>
              <w:right w:w="10" w:type="dxa"/>
            </w:tcMar>
            <w:vAlign w:val="center"/>
          </w:tcPr>
          <w:p w14:paraId="0FE1CD07">
            <w:pPr>
              <w:spacing w:line="320" w:lineRule="exact"/>
              <w:ind w:left="105" w:leftChars="50" w:right="105" w:rightChars="50"/>
              <w:rPr>
                <w:rFonts w:ascii="仿宋_GB2312" w:eastAsia="仿宋_GB2312"/>
                <w:lang w:eastAsia="zh-CN"/>
              </w:rPr>
            </w:pPr>
            <w:r>
              <w:rPr>
                <w:rFonts w:hint="eastAsia" w:ascii="仿宋_GB2312" w:eastAsia="仿宋_GB2312"/>
              </w:rPr>
              <w:t>在职人员控制率=（在职人员数/编制数）×100%。</w:t>
            </w:r>
          </w:p>
          <w:p w14:paraId="40297096">
            <w:pPr>
              <w:spacing w:line="320" w:lineRule="exact"/>
              <w:ind w:left="105" w:leftChars="50" w:right="105" w:rightChars="50"/>
              <w:rPr>
                <w:rFonts w:ascii="仿宋_GB2312" w:eastAsia="仿宋_GB2312"/>
                <w:lang w:eastAsia="zh-CN"/>
              </w:rPr>
            </w:pPr>
            <w:r>
              <w:rPr>
                <w:rFonts w:hint="eastAsia" w:ascii="仿宋_GB2312" w:eastAsia="仿宋_GB2312"/>
              </w:rPr>
              <w:t>在职人员数：部门实际在职人数，以财政部确定的部门决算编制口径为准。</w:t>
            </w:r>
          </w:p>
          <w:p w14:paraId="64A0808D">
            <w:pPr>
              <w:spacing w:line="320" w:lineRule="exact"/>
              <w:ind w:left="105" w:leftChars="50" w:right="105" w:rightChars="50"/>
              <w:rPr>
                <w:rFonts w:ascii="仿宋_GB2312" w:eastAsia="仿宋_GB2312"/>
              </w:rPr>
            </w:pPr>
            <w:r>
              <w:rPr>
                <w:rFonts w:hint="eastAsia" w:ascii="仿宋_GB2312" w:eastAsia="仿宋_GB2312"/>
              </w:rPr>
              <w:t>编制数：机构编制部门核定批复的部门的人员编制数。</w:t>
            </w:r>
          </w:p>
        </w:tc>
        <w:tc>
          <w:tcPr>
            <w:tcW w:w="577" w:type="dxa"/>
          </w:tcPr>
          <w:p w14:paraId="106B543A">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14:paraId="1BDD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jc w:val="center"/>
        </w:trPr>
        <w:tc>
          <w:tcPr>
            <w:tcW w:w="666" w:type="dxa"/>
            <w:vMerge w:val="continue"/>
            <w:vAlign w:val="center"/>
          </w:tcPr>
          <w:p w14:paraId="0FA54697">
            <w:pPr>
              <w:spacing w:line="320" w:lineRule="exact"/>
              <w:rPr>
                <w:rFonts w:ascii="仿宋_GB2312" w:eastAsia="仿宋_GB2312"/>
              </w:rPr>
            </w:pPr>
          </w:p>
        </w:tc>
        <w:tc>
          <w:tcPr>
            <w:tcW w:w="866" w:type="dxa"/>
            <w:vMerge w:val="continue"/>
            <w:vAlign w:val="center"/>
          </w:tcPr>
          <w:p w14:paraId="1831AA1A">
            <w:pPr>
              <w:spacing w:line="320" w:lineRule="exact"/>
              <w:rPr>
                <w:rFonts w:ascii="仿宋_GB2312" w:eastAsia="仿宋_GB2312"/>
              </w:rPr>
            </w:pPr>
          </w:p>
        </w:tc>
        <w:tc>
          <w:tcPr>
            <w:tcW w:w="951" w:type="dxa"/>
            <w:tcMar>
              <w:top w:w="10" w:type="dxa"/>
              <w:left w:w="10" w:type="dxa"/>
              <w:bottom w:w="0" w:type="dxa"/>
              <w:right w:w="10" w:type="dxa"/>
            </w:tcMar>
            <w:vAlign w:val="center"/>
          </w:tcPr>
          <w:p w14:paraId="59EBC206">
            <w:pPr>
              <w:spacing w:line="320" w:lineRule="exact"/>
              <w:jc w:val="center"/>
              <w:rPr>
                <w:rFonts w:ascii="仿宋_GB2312" w:eastAsia="仿宋_GB2312"/>
              </w:rPr>
            </w:pPr>
            <w:r>
              <w:rPr>
                <w:rFonts w:hint="eastAsia" w:ascii="仿宋_GB2312" w:eastAsia="仿宋_GB2312"/>
              </w:rPr>
              <w:t>“三公经费”</w:t>
            </w:r>
          </w:p>
          <w:p w14:paraId="33E13A16">
            <w:pPr>
              <w:spacing w:line="320" w:lineRule="exact"/>
              <w:jc w:val="center"/>
              <w:rPr>
                <w:rFonts w:ascii="仿宋_GB2312" w:eastAsia="仿宋_GB2312"/>
              </w:rPr>
            </w:pPr>
            <w:r>
              <w:rPr>
                <w:rFonts w:hint="eastAsia" w:ascii="仿宋_GB2312" w:eastAsia="仿宋_GB2312"/>
              </w:rPr>
              <w:t>变动率</w:t>
            </w:r>
          </w:p>
          <w:p w14:paraId="6F1AE62B">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26358637">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部门本年度“三公经费”预算数与上年度“三公经费”预算数的变动比率，用以反映和考核部门对控制重点行政成本的努力程度。</w:t>
            </w:r>
          </w:p>
        </w:tc>
        <w:tc>
          <w:tcPr>
            <w:tcW w:w="4238" w:type="dxa"/>
            <w:tcMar>
              <w:top w:w="10" w:type="dxa"/>
              <w:left w:w="10" w:type="dxa"/>
              <w:bottom w:w="0" w:type="dxa"/>
              <w:right w:w="10" w:type="dxa"/>
            </w:tcMar>
            <w:vAlign w:val="center"/>
          </w:tcPr>
          <w:p w14:paraId="0C6AEF9B">
            <w:pPr>
              <w:spacing w:line="320" w:lineRule="exact"/>
              <w:ind w:left="105" w:leftChars="50" w:right="105" w:rightChars="50"/>
              <w:rPr>
                <w:rFonts w:ascii="仿宋_GB2312" w:eastAsia="仿宋_GB2312"/>
                <w:lang w:eastAsia="zh-CN"/>
              </w:rPr>
            </w:pPr>
            <w:r>
              <w:rPr>
                <w:rFonts w:hint="eastAsia" w:ascii="仿宋_GB2312" w:eastAsia="仿宋_GB2312"/>
              </w:rPr>
              <w:t>“三公经费”变动率=[（本年度“三公经费”总额-上年度“三公经费”总额）/上年度“三公经费”总额]×100%。</w:t>
            </w:r>
          </w:p>
          <w:p w14:paraId="7D879FFB">
            <w:pPr>
              <w:spacing w:line="320" w:lineRule="exact"/>
              <w:ind w:left="105" w:leftChars="50" w:right="105" w:rightChars="50"/>
              <w:rPr>
                <w:rFonts w:ascii="仿宋_GB2312" w:eastAsia="仿宋_GB2312"/>
              </w:rPr>
            </w:pPr>
            <w:r>
              <w:rPr>
                <w:rFonts w:hint="eastAsia" w:ascii="仿宋_GB2312" w:eastAsia="仿宋_GB2312"/>
              </w:rPr>
              <w:t>“三公经费”：年度预算安排的因公出国（境）费、公务车辆购置及运行费和公务招待费。</w:t>
            </w:r>
          </w:p>
        </w:tc>
        <w:tc>
          <w:tcPr>
            <w:tcW w:w="577" w:type="dxa"/>
          </w:tcPr>
          <w:p w14:paraId="5843B129">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14:paraId="4645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1" w:hRule="atLeast"/>
          <w:jc w:val="center"/>
        </w:trPr>
        <w:tc>
          <w:tcPr>
            <w:tcW w:w="666" w:type="dxa"/>
            <w:vMerge w:val="continue"/>
            <w:vAlign w:val="center"/>
          </w:tcPr>
          <w:p w14:paraId="720E7346">
            <w:pPr>
              <w:spacing w:line="320" w:lineRule="exact"/>
              <w:rPr>
                <w:rFonts w:ascii="仿宋_GB2312" w:eastAsia="仿宋_GB2312"/>
              </w:rPr>
            </w:pPr>
          </w:p>
        </w:tc>
        <w:tc>
          <w:tcPr>
            <w:tcW w:w="866" w:type="dxa"/>
            <w:vMerge w:val="continue"/>
            <w:vAlign w:val="center"/>
          </w:tcPr>
          <w:p w14:paraId="53722DEE">
            <w:pPr>
              <w:spacing w:line="320" w:lineRule="exact"/>
              <w:rPr>
                <w:rFonts w:ascii="仿宋_GB2312" w:eastAsia="仿宋_GB2312"/>
              </w:rPr>
            </w:pPr>
          </w:p>
        </w:tc>
        <w:tc>
          <w:tcPr>
            <w:tcW w:w="951" w:type="dxa"/>
            <w:tcMar>
              <w:top w:w="10" w:type="dxa"/>
              <w:left w:w="10" w:type="dxa"/>
              <w:bottom w:w="0" w:type="dxa"/>
              <w:right w:w="10" w:type="dxa"/>
            </w:tcMar>
            <w:vAlign w:val="center"/>
          </w:tcPr>
          <w:p w14:paraId="0E8C732E">
            <w:pPr>
              <w:spacing w:line="320" w:lineRule="exact"/>
              <w:jc w:val="center"/>
              <w:rPr>
                <w:rFonts w:ascii="仿宋_GB2312" w:eastAsia="仿宋_GB2312"/>
              </w:rPr>
            </w:pPr>
            <w:r>
              <w:rPr>
                <w:rFonts w:hint="eastAsia" w:ascii="仿宋_GB2312" w:eastAsia="仿宋_GB2312"/>
              </w:rPr>
              <w:t>重点支出</w:t>
            </w:r>
          </w:p>
          <w:p w14:paraId="2746946F">
            <w:pPr>
              <w:spacing w:line="320" w:lineRule="exact"/>
              <w:jc w:val="center"/>
              <w:rPr>
                <w:rFonts w:ascii="仿宋_GB2312" w:eastAsia="仿宋_GB2312"/>
              </w:rPr>
            </w:pPr>
            <w:r>
              <w:rPr>
                <w:rFonts w:hint="eastAsia" w:ascii="仿宋_GB2312" w:eastAsia="仿宋_GB2312"/>
              </w:rPr>
              <w:t>安排率</w:t>
            </w:r>
          </w:p>
          <w:p w14:paraId="56827949">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434069AE">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部门本年度预算安排的重点预算支出与部门预算总支出的比率，用以反映和考核部门对履行主要职责或完成重点任务的保障程度。</w:t>
            </w:r>
          </w:p>
        </w:tc>
        <w:tc>
          <w:tcPr>
            <w:tcW w:w="4238" w:type="dxa"/>
            <w:tcMar>
              <w:top w:w="10" w:type="dxa"/>
              <w:left w:w="10" w:type="dxa"/>
              <w:bottom w:w="0" w:type="dxa"/>
              <w:right w:w="10" w:type="dxa"/>
            </w:tcMar>
            <w:vAlign w:val="center"/>
          </w:tcPr>
          <w:p w14:paraId="0912C61A">
            <w:pPr>
              <w:spacing w:line="320" w:lineRule="exact"/>
              <w:ind w:left="105" w:leftChars="50" w:right="105" w:rightChars="50"/>
              <w:rPr>
                <w:rFonts w:ascii="仿宋_GB2312" w:eastAsia="仿宋_GB2312"/>
                <w:lang w:eastAsia="zh-CN"/>
              </w:rPr>
            </w:pPr>
            <w:r>
              <w:rPr>
                <w:rFonts w:hint="eastAsia" w:ascii="仿宋_GB2312" w:eastAsia="仿宋_GB2312"/>
              </w:rPr>
              <w:t>重点支出安排率=（重点预算支出/预算总支出）×100%。</w:t>
            </w:r>
          </w:p>
          <w:p w14:paraId="7E1321B9">
            <w:pPr>
              <w:spacing w:line="320" w:lineRule="exact"/>
              <w:ind w:left="105" w:leftChars="50" w:right="105" w:rightChars="50"/>
              <w:rPr>
                <w:rFonts w:ascii="仿宋_GB2312" w:eastAsia="仿宋_GB2312"/>
                <w:lang w:eastAsia="zh-CN"/>
              </w:rPr>
            </w:pPr>
            <w:r>
              <w:rPr>
                <w:rFonts w:hint="eastAsia" w:ascii="仿宋_GB2312" w:eastAsia="仿宋_GB2312"/>
              </w:rPr>
              <w:t>重点预算支出：部门年度预算安排的，与本部门履职和发展密切相关、具有明显社会和经济影响、党委政府关心或社会比较关注的预算</w:t>
            </w:r>
            <w:r>
              <w:rPr>
                <w:rFonts w:hint="eastAsia" w:ascii="仿宋_GB2312" w:eastAsia="仿宋_GB2312"/>
                <w:lang w:eastAsia="zh-CN"/>
              </w:rPr>
              <w:t>支出</w:t>
            </w:r>
            <w:r>
              <w:rPr>
                <w:rFonts w:hint="eastAsia" w:ascii="仿宋_GB2312" w:eastAsia="仿宋_GB2312"/>
              </w:rPr>
              <w:t>总额。</w:t>
            </w:r>
          </w:p>
          <w:p w14:paraId="271F77E5">
            <w:pPr>
              <w:spacing w:line="320" w:lineRule="exact"/>
              <w:ind w:left="105" w:leftChars="50" w:right="105" w:rightChars="50"/>
              <w:rPr>
                <w:rFonts w:ascii="仿宋_GB2312" w:eastAsia="仿宋_GB2312"/>
              </w:rPr>
            </w:pPr>
            <w:r>
              <w:rPr>
                <w:rFonts w:hint="eastAsia" w:ascii="仿宋_GB2312" w:eastAsia="仿宋_GB2312"/>
              </w:rPr>
              <w:t>预算总支出：部门年度预算安排的预算</w:t>
            </w:r>
            <w:r>
              <w:rPr>
                <w:rFonts w:hint="eastAsia" w:ascii="仿宋_GB2312" w:eastAsia="仿宋_GB2312"/>
                <w:lang w:eastAsia="zh-CN"/>
              </w:rPr>
              <w:t>支出</w:t>
            </w:r>
            <w:r>
              <w:rPr>
                <w:rFonts w:hint="eastAsia" w:ascii="仿宋_GB2312" w:eastAsia="仿宋_GB2312"/>
              </w:rPr>
              <w:t>总额。</w:t>
            </w:r>
          </w:p>
        </w:tc>
        <w:tc>
          <w:tcPr>
            <w:tcW w:w="577" w:type="dxa"/>
          </w:tcPr>
          <w:p w14:paraId="1E1662E2">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14:paraId="6FB5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0" w:hRule="atLeast"/>
          <w:jc w:val="center"/>
        </w:trPr>
        <w:tc>
          <w:tcPr>
            <w:tcW w:w="666" w:type="dxa"/>
            <w:vMerge w:val="restart"/>
            <w:noWrap/>
            <w:tcMar>
              <w:top w:w="10" w:type="dxa"/>
              <w:left w:w="10" w:type="dxa"/>
              <w:bottom w:w="0" w:type="dxa"/>
              <w:right w:w="10" w:type="dxa"/>
            </w:tcMar>
            <w:vAlign w:val="center"/>
          </w:tcPr>
          <w:p w14:paraId="3BDB047C">
            <w:pPr>
              <w:spacing w:line="320" w:lineRule="exact"/>
              <w:jc w:val="center"/>
              <w:rPr>
                <w:rFonts w:ascii="仿宋_GB2312" w:eastAsia="仿宋_GB2312"/>
              </w:rPr>
            </w:pPr>
            <w:r>
              <w:rPr>
                <w:rFonts w:hint="eastAsia" w:ascii="仿宋_GB2312" w:eastAsia="仿宋_GB2312"/>
              </w:rPr>
              <w:t>过   程</w:t>
            </w:r>
          </w:p>
          <w:p w14:paraId="03CEC4B6">
            <w:pPr>
              <w:spacing w:line="320" w:lineRule="exact"/>
              <w:jc w:val="center"/>
              <w:rPr>
                <w:rFonts w:ascii="仿宋_GB2312" w:eastAsia="仿宋_GB2312"/>
              </w:rPr>
            </w:pPr>
            <w:r>
              <w:rPr>
                <w:rFonts w:hint="eastAsia" w:ascii="仿宋_GB2312" w:eastAsia="仿宋_GB2312"/>
              </w:rPr>
              <w:t>（50分）</w:t>
            </w:r>
          </w:p>
        </w:tc>
        <w:tc>
          <w:tcPr>
            <w:tcW w:w="866" w:type="dxa"/>
            <w:vMerge w:val="restart"/>
            <w:tcMar>
              <w:top w:w="10" w:type="dxa"/>
              <w:left w:w="10" w:type="dxa"/>
              <w:bottom w:w="0" w:type="dxa"/>
              <w:right w:w="10" w:type="dxa"/>
            </w:tcMar>
            <w:vAlign w:val="center"/>
          </w:tcPr>
          <w:p w14:paraId="42F3EF95">
            <w:pPr>
              <w:spacing w:line="320" w:lineRule="exact"/>
              <w:jc w:val="center"/>
              <w:rPr>
                <w:rFonts w:ascii="仿宋_GB2312" w:eastAsia="仿宋_GB2312"/>
                <w:lang w:eastAsia="zh-CN"/>
              </w:rPr>
            </w:pPr>
            <w:r>
              <w:rPr>
                <w:rFonts w:hint="eastAsia" w:ascii="仿宋_GB2312" w:eastAsia="仿宋_GB2312"/>
              </w:rPr>
              <w:t>预算</w:t>
            </w:r>
          </w:p>
          <w:p w14:paraId="43709923">
            <w:pPr>
              <w:spacing w:line="320" w:lineRule="exact"/>
              <w:jc w:val="center"/>
              <w:rPr>
                <w:rFonts w:ascii="仿宋_GB2312" w:eastAsia="仿宋_GB2312"/>
              </w:rPr>
            </w:pPr>
            <w:r>
              <w:rPr>
                <w:rFonts w:hint="eastAsia" w:ascii="仿宋_GB2312" w:eastAsia="仿宋_GB2312"/>
              </w:rPr>
              <w:t>执行</w:t>
            </w:r>
          </w:p>
          <w:p w14:paraId="1D345D25">
            <w:pPr>
              <w:spacing w:line="320" w:lineRule="exact"/>
              <w:jc w:val="center"/>
              <w:rPr>
                <w:rFonts w:ascii="仿宋_GB2312" w:eastAsia="仿宋_GB2312"/>
              </w:rPr>
            </w:pPr>
            <w:r>
              <w:rPr>
                <w:rFonts w:hint="eastAsia" w:ascii="仿宋_GB2312" w:eastAsia="仿宋_GB2312"/>
              </w:rPr>
              <w:t>（32分）</w:t>
            </w:r>
          </w:p>
        </w:tc>
        <w:tc>
          <w:tcPr>
            <w:tcW w:w="951" w:type="dxa"/>
            <w:tcMar>
              <w:top w:w="10" w:type="dxa"/>
              <w:left w:w="10" w:type="dxa"/>
              <w:bottom w:w="0" w:type="dxa"/>
              <w:right w:w="10" w:type="dxa"/>
            </w:tcMar>
            <w:vAlign w:val="center"/>
          </w:tcPr>
          <w:p w14:paraId="74EBADBE">
            <w:pPr>
              <w:spacing w:line="320" w:lineRule="exact"/>
              <w:jc w:val="center"/>
              <w:rPr>
                <w:rFonts w:ascii="仿宋_GB2312" w:eastAsia="仿宋_GB2312"/>
              </w:rPr>
            </w:pPr>
            <w:r>
              <w:rPr>
                <w:rFonts w:hint="eastAsia" w:ascii="仿宋_GB2312" w:eastAsia="仿宋_GB2312"/>
              </w:rPr>
              <w:t>预算</w:t>
            </w:r>
          </w:p>
          <w:p w14:paraId="4E783473">
            <w:pPr>
              <w:spacing w:line="320" w:lineRule="exact"/>
              <w:jc w:val="center"/>
              <w:rPr>
                <w:rFonts w:ascii="仿宋_GB2312" w:eastAsia="仿宋_GB2312"/>
              </w:rPr>
            </w:pPr>
            <w:r>
              <w:rPr>
                <w:rFonts w:hint="eastAsia" w:ascii="仿宋_GB2312" w:eastAsia="仿宋_GB2312"/>
              </w:rPr>
              <w:t>执行率</w:t>
            </w:r>
          </w:p>
          <w:p w14:paraId="749CBADB">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415BA33A">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部门本年度预算完成数与预算数的比率，用以反映和考核部门预算完成程度。</w:t>
            </w:r>
          </w:p>
        </w:tc>
        <w:tc>
          <w:tcPr>
            <w:tcW w:w="4238" w:type="dxa"/>
            <w:tcMar>
              <w:top w:w="10" w:type="dxa"/>
              <w:left w:w="10" w:type="dxa"/>
              <w:bottom w:w="0" w:type="dxa"/>
              <w:right w:w="10" w:type="dxa"/>
            </w:tcMar>
            <w:vAlign w:val="center"/>
          </w:tcPr>
          <w:p w14:paraId="6E63156D">
            <w:pPr>
              <w:spacing w:line="320" w:lineRule="exact"/>
              <w:ind w:left="105" w:leftChars="50" w:right="105" w:rightChars="50"/>
              <w:rPr>
                <w:rFonts w:ascii="仿宋_GB2312" w:eastAsia="仿宋_GB2312"/>
                <w:lang w:eastAsia="zh-CN"/>
              </w:rPr>
            </w:pPr>
            <w:r>
              <w:rPr>
                <w:rFonts w:hint="eastAsia" w:ascii="仿宋_GB2312" w:eastAsia="仿宋_GB2312"/>
              </w:rPr>
              <w:t>预算执行率=（预算执行数/预算数）×100%。</w:t>
            </w:r>
          </w:p>
          <w:p w14:paraId="6CECCCE8">
            <w:pPr>
              <w:spacing w:line="320" w:lineRule="exact"/>
              <w:ind w:left="105" w:leftChars="50" w:right="105" w:rightChars="50"/>
              <w:rPr>
                <w:rFonts w:ascii="仿宋_GB2312" w:eastAsia="仿宋_GB2312"/>
                <w:lang w:eastAsia="zh-CN"/>
              </w:rPr>
            </w:pPr>
            <w:r>
              <w:rPr>
                <w:rFonts w:hint="eastAsia" w:ascii="仿宋_GB2312" w:eastAsia="仿宋_GB2312"/>
              </w:rPr>
              <w:t>预算执行数：部门本年度实际完成的预算数。</w:t>
            </w:r>
          </w:p>
          <w:p w14:paraId="33C4368F">
            <w:pPr>
              <w:spacing w:line="320" w:lineRule="exact"/>
              <w:ind w:left="105" w:leftChars="50" w:right="105" w:rightChars="50"/>
              <w:rPr>
                <w:rFonts w:ascii="仿宋_GB2312" w:eastAsia="仿宋_GB2312"/>
              </w:rPr>
            </w:pPr>
            <w:r>
              <w:rPr>
                <w:rFonts w:hint="eastAsia" w:ascii="仿宋_GB2312" w:eastAsia="仿宋_GB2312"/>
              </w:rPr>
              <w:t>预算数：财政部门批复的本年度部门预算数。</w:t>
            </w:r>
          </w:p>
        </w:tc>
        <w:tc>
          <w:tcPr>
            <w:tcW w:w="577" w:type="dxa"/>
          </w:tcPr>
          <w:p w14:paraId="09B279D3">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14:paraId="3E5F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8" w:hRule="atLeast"/>
          <w:jc w:val="center"/>
        </w:trPr>
        <w:tc>
          <w:tcPr>
            <w:tcW w:w="666" w:type="dxa"/>
            <w:vMerge w:val="continue"/>
            <w:vAlign w:val="center"/>
          </w:tcPr>
          <w:p w14:paraId="6545DDB0">
            <w:pPr>
              <w:spacing w:line="320" w:lineRule="exact"/>
              <w:jc w:val="center"/>
              <w:rPr>
                <w:rFonts w:ascii="仿宋_GB2312" w:eastAsia="仿宋_GB2312"/>
              </w:rPr>
            </w:pPr>
          </w:p>
        </w:tc>
        <w:tc>
          <w:tcPr>
            <w:tcW w:w="866" w:type="dxa"/>
            <w:vMerge w:val="continue"/>
            <w:vAlign w:val="center"/>
          </w:tcPr>
          <w:p w14:paraId="2F493C7C">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5CF8FE45">
            <w:pPr>
              <w:spacing w:line="320" w:lineRule="exact"/>
              <w:jc w:val="center"/>
              <w:rPr>
                <w:rFonts w:ascii="仿宋_GB2312" w:eastAsia="仿宋_GB2312"/>
              </w:rPr>
            </w:pPr>
            <w:r>
              <w:rPr>
                <w:rFonts w:hint="eastAsia" w:ascii="仿宋_GB2312" w:eastAsia="仿宋_GB2312"/>
              </w:rPr>
              <w:t>预算</w:t>
            </w:r>
          </w:p>
          <w:p w14:paraId="77989029">
            <w:pPr>
              <w:spacing w:line="320" w:lineRule="exact"/>
              <w:jc w:val="center"/>
              <w:rPr>
                <w:rFonts w:ascii="仿宋_GB2312" w:eastAsia="仿宋_GB2312"/>
              </w:rPr>
            </w:pPr>
            <w:r>
              <w:rPr>
                <w:rFonts w:hint="eastAsia" w:ascii="仿宋_GB2312" w:eastAsia="仿宋_GB2312"/>
              </w:rPr>
              <w:t>调整率</w:t>
            </w:r>
          </w:p>
          <w:p w14:paraId="69EA3C35">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1E5EEFE3">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部门本年度预算调整数与预算数的比率，用以反映和考核部门预算的调整程度。</w:t>
            </w:r>
          </w:p>
        </w:tc>
        <w:tc>
          <w:tcPr>
            <w:tcW w:w="4238" w:type="dxa"/>
            <w:tcMar>
              <w:top w:w="10" w:type="dxa"/>
              <w:left w:w="10" w:type="dxa"/>
              <w:bottom w:w="0" w:type="dxa"/>
              <w:right w:w="10" w:type="dxa"/>
            </w:tcMar>
            <w:vAlign w:val="center"/>
          </w:tcPr>
          <w:p w14:paraId="0BB62D90">
            <w:pPr>
              <w:spacing w:line="320" w:lineRule="exact"/>
              <w:ind w:left="105" w:leftChars="50" w:right="105" w:rightChars="50"/>
              <w:rPr>
                <w:rFonts w:ascii="仿宋_GB2312" w:eastAsia="仿宋_GB2312"/>
                <w:lang w:eastAsia="zh-CN"/>
              </w:rPr>
            </w:pPr>
            <w:r>
              <w:rPr>
                <w:rFonts w:hint="eastAsia" w:ascii="仿宋_GB2312" w:eastAsia="仿宋_GB2312"/>
              </w:rPr>
              <w:t>预算调整率=（预算调整数/预算数）×100%。</w:t>
            </w:r>
          </w:p>
          <w:p w14:paraId="0B7C4D7A">
            <w:pPr>
              <w:spacing w:line="320" w:lineRule="exact"/>
              <w:ind w:left="105" w:leftChars="50" w:right="105" w:rightChars="50"/>
              <w:rPr>
                <w:rFonts w:ascii="仿宋_GB2312" w:eastAsia="仿宋_GB2312"/>
              </w:rPr>
            </w:pPr>
            <w:r>
              <w:rPr>
                <w:rFonts w:hint="eastAsia" w:ascii="仿宋_GB2312" w:eastAsia="仿宋_GB2312"/>
              </w:rPr>
              <w:t>预算调整数：部门在本年度内涉及预算的追加、追减或结构调整的资金总和（因落实国家政策、发生不可抗力、上级部门或本级党委政府临时交办而产生的调整除外）。</w:t>
            </w:r>
          </w:p>
        </w:tc>
        <w:tc>
          <w:tcPr>
            <w:tcW w:w="577" w:type="dxa"/>
          </w:tcPr>
          <w:p w14:paraId="766D3C15">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14:paraId="18DC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9" w:hRule="atLeast"/>
          <w:jc w:val="center"/>
        </w:trPr>
        <w:tc>
          <w:tcPr>
            <w:tcW w:w="666" w:type="dxa"/>
            <w:vMerge w:val="continue"/>
            <w:vAlign w:val="center"/>
          </w:tcPr>
          <w:p w14:paraId="4F2BD91B">
            <w:pPr>
              <w:spacing w:line="320" w:lineRule="exact"/>
              <w:jc w:val="center"/>
              <w:rPr>
                <w:rFonts w:ascii="仿宋_GB2312" w:eastAsia="仿宋_GB2312"/>
              </w:rPr>
            </w:pPr>
          </w:p>
        </w:tc>
        <w:tc>
          <w:tcPr>
            <w:tcW w:w="866" w:type="dxa"/>
            <w:vMerge w:val="continue"/>
            <w:vAlign w:val="center"/>
          </w:tcPr>
          <w:p w14:paraId="3C30ABB7">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13869C53">
            <w:pPr>
              <w:spacing w:line="320" w:lineRule="exact"/>
              <w:jc w:val="center"/>
              <w:rPr>
                <w:rFonts w:ascii="仿宋_GB2312" w:eastAsia="仿宋_GB2312"/>
              </w:rPr>
            </w:pPr>
            <w:r>
              <w:rPr>
                <w:rFonts w:hint="eastAsia" w:ascii="仿宋_GB2312" w:eastAsia="仿宋_GB2312"/>
              </w:rPr>
              <w:t>支付</w:t>
            </w:r>
          </w:p>
          <w:p w14:paraId="57690837">
            <w:pPr>
              <w:spacing w:line="320" w:lineRule="exact"/>
              <w:jc w:val="center"/>
              <w:rPr>
                <w:rFonts w:ascii="仿宋_GB2312" w:eastAsia="仿宋_GB2312"/>
              </w:rPr>
            </w:pPr>
            <w:r>
              <w:rPr>
                <w:rFonts w:hint="eastAsia" w:ascii="仿宋_GB2312" w:eastAsia="仿宋_GB2312"/>
              </w:rPr>
              <w:t>进度率</w:t>
            </w:r>
          </w:p>
          <w:p w14:paraId="6ACC082A">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5D456164">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部门实际支付进度与既定支付进度的比率，用以反映和考核部门预算执行的及时性和均衡性程度。</w:t>
            </w:r>
          </w:p>
        </w:tc>
        <w:tc>
          <w:tcPr>
            <w:tcW w:w="4238" w:type="dxa"/>
            <w:tcMar>
              <w:top w:w="10" w:type="dxa"/>
              <w:left w:w="10" w:type="dxa"/>
              <w:bottom w:w="0" w:type="dxa"/>
              <w:right w:w="10" w:type="dxa"/>
            </w:tcMar>
            <w:vAlign w:val="center"/>
          </w:tcPr>
          <w:p w14:paraId="2431618A">
            <w:pPr>
              <w:spacing w:line="320" w:lineRule="exact"/>
              <w:ind w:left="105" w:leftChars="50" w:right="105" w:rightChars="50"/>
              <w:rPr>
                <w:rFonts w:ascii="仿宋_GB2312" w:eastAsia="仿宋_GB2312"/>
                <w:lang w:eastAsia="zh-CN"/>
              </w:rPr>
            </w:pPr>
            <w:r>
              <w:rPr>
                <w:rFonts w:hint="eastAsia" w:ascii="仿宋_GB2312" w:eastAsia="仿宋_GB2312"/>
              </w:rPr>
              <w:t>支付进度率=（实际支付进度/既定支付进度）×100%。</w:t>
            </w:r>
          </w:p>
          <w:p w14:paraId="316CEC28">
            <w:pPr>
              <w:spacing w:line="320" w:lineRule="exact"/>
              <w:ind w:left="105" w:leftChars="50" w:right="105" w:rightChars="50"/>
              <w:rPr>
                <w:rFonts w:ascii="仿宋_GB2312" w:eastAsia="仿宋_GB2312"/>
                <w:lang w:eastAsia="zh-CN"/>
              </w:rPr>
            </w:pPr>
            <w:r>
              <w:rPr>
                <w:rFonts w:hint="eastAsia" w:ascii="仿宋_GB2312" w:eastAsia="仿宋_GB2312"/>
              </w:rPr>
              <w:t>实际支付进度：部门在某一时点的支出预算执行总数与年度支出预算数的比率。</w:t>
            </w:r>
          </w:p>
          <w:p w14:paraId="73F08995">
            <w:pPr>
              <w:spacing w:line="320" w:lineRule="exact"/>
              <w:ind w:left="105" w:leftChars="50" w:right="105" w:rightChars="50"/>
              <w:rPr>
                <w:rFonts w:ascii="仿宋_GB2312" w:eastAsia="仿宋_GB2312"/>
              </w:rPr>
            </w:pPr>
            <w:r>
              <w:rPr>
                <w:rFonts w:hint="eastAsia" w:ascii="仿宋_GB2312" w:eastAsia="仿宋_GB2312"/>
              </w:rPr>
              <w:t>既定支付进度：由部门在申报部门整体绩效目标时，参照序时支付进度、前三年支付进度、本级部门平均支付进度水平等确定的，在某一时点应达到的支付进度（比率）。</w:t>
            </w:r>
          </w:p>
        </w:tc>
        <w:tc>
          <w:tcPr>
            <w:tcW w:w="577" w:type="dxa"/>
          </w:tcPr>
          <w:p w14:paraId="1BC95BF6">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14:paraId="5EF9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666" w:type="dxa"/>
            <w:vMerge w:val="continue"/>
            <w:noWrap/>
            <w:tcMar>
              <w:top w:w="10" w:type="dxa"/>
              <w:left w:w="10" w:type="dxa"/>
              <w:bottom w:w="0" w:type="dxa"/>
              <w:right w:w="10" w:type="dxa"/>
            </w:tcMar>
            <w:textDirection w:val="tbRlV"/>
            <w:vAlign w:val="center"/>
          </w:tcPr>
          <w:p w14:paraId="0ACD0EE0">
            <w:pPr>
              <w:spacing w:line="320" w:lineRule="exact"/>
              <w:jc w:val="center"/>
              <w:rPr>
                <w:rFonts w:ascii="仿宋_GB2312" w:eastAsia="仿宋_GB2312"/>
              </w:rPr>
            </w:pPr>
          </w:p>
        </w:tc>
        <w:tc>
          <w:tcPr>
            <w:tcW w:w="866" w:type="dxa"/>
            <w:vMerge w:val="continue"/>
            <w:tcMar>
              <w:top w:w="10" w:type="dxa"/>
              <w:left w:w="10" w:type="dxa"/>
              <w:bottom w:w="0" w:type="dxa"/>
              <w:right w:w="10" w:type="dxa"/>
            </w:tcMar>
            <w:vAlign w:val="center"/>
          </w:tcPr>
          <w:p w14:paraId="2415AAB4">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436C5516">
            <w:pPr>
              <w:spacing w:line="320" w:lineRule="exact"/>
              <w:jc w:val="center"/>
              <w:rPr>
                <w:rFonts w:ascii="仿宋_GB2312" w:eastAsia="仿宋_GB2312"/>
              </w:rPr>
            </w:pPr>
            <w:r>
              <w:rPr>
                <w:rFonts w:hint="eastAsia" w:ascii="仿宋_GB2312" w:eastAsia="仿宋_GB2312"/>
              </w:rPr>
              <w:t>结转</w:t>
            </w:r>
          </w:p>
          <w:p w14:paraId="660B77CE">
            <w:pPr>
              <w:spacing w:line="320" w:lineRule="exact"/>
              <w:jc w:val="center"/>
              <w:rPr>
                <w:rFonts w:ascii="仿宋_GB2312" w:eastAsia="仿宋_GB2312"/>
              </w:rPr>
            </w:pPr>
            <w:r>
              <w:rPr>
                <w:rFonts w:hint="eastAsia" w:ascii="仿宋_GB2312" w:eastAsia="仿宋_GB2312"/>
              </w:rPr>
              <w:t>结余率</w:t>
            </w:r>
          </w:p>
          <w:p w14:paraId="76F4B891">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117412A9">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部门本年度结转结余总额与支出预算数的比率，用以反映和考核部门对本年度结转结余资金的实际控制程度。</w:t>
            </w:r>
          </w:p>
        </w:tc>
        <w:tc>
          <w:tcPr>
            <w:tcW w:w="4238" w:type="dxa"/>
            <w:tcMar>
              <w:top w:w="10" w:type="dxa"/>
              <w:left w:w="10" w:type="dxa"/>
              <w:bottom w:w="0" w:type="dxa"/>
              <w:right w:w="10" w:type="dxa"/>
            </w:tcMar>
            <w:vAlign w:val="center"/>
          </w:tcPr>
          <w:p w14:paraId="39EFF44C">
            <w:pPr>
              <w:spacing w:line="320" w:lineRule="exact"/>
              <w:ind w:left="105" w:leftChars="50" w:right="105" w:rightChars="50"/>
              <w:rPr>
                <w:rFonts w:ascii="仿宋_GB2312" w:eastAsia="仿宋_GB2312"/>
                <w:lang w:eastAsia="zh-CN"/>
              </w:rPr>
            </w:pPr>
            <w:r>
              <w:rPr>
                <w:rFonts w:hint="eastAsia" w:ascii="仿宋_GB2312" w:eastAsia="仿宋_GB2312"/>
              </w:rPr>
              <w:t>结转结余率=结转结余总额/支出预算数×100%。</w:t>
            </w:r>
          </w:p>
          <w:p w14:paraId="3A0876A8">
            <w:pPr>
              <w:spacing w:line="320" w:lineRule="exact"/>
              <w:ind w:left="105" w:leftChars="50" w:right="105" w:rightChars="50"/>
              <w:rPr>
                <w:rFonts w:ascii="仿宋_GB2312" w:eastAsia="仿宋_GB2312"/>
              </w:rPr>
            </w:pPr>
            <w:r>
              <w:rPr>
                <w:rFonts w:hint="eastAsia" w:ascii="仿宋_GB2312" w:eastAsia="仿宋_GB2312"/>
              </w:rPr>
              <w:t>结转结余总额：部门本年度的结转资金与结余资金之和（以决算数为准）。</w:t>
            </w:r>
          </w:p>
        </w:tc>
        <w:tc>
          <w:tcPr>
            <w:tcW w:w="577" w:type="dxa"/>
          </w:tcPr>
          <w:p w14:paraId="376FBFAA">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14:paraId="2134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7" w:hRule="atLeast"/>
          <w:jc w:val="center"/>
        </w:trPr>
        <w:tc>
          <w:tcPr>
            <w:tcW w:w="666" w:type="dxa"/>
            <w:vMerge w:val="continue"/>
            <w:vAlign w:val="center"/>
          </w:tcPr>
          <w:p w14:paraId="263A8A67">
            <w:pPr>
              <w:spacing w:line="320" w:lineRule="exact"/>
              <w:jc w:val="center"/>
              <w:rPr>
                <w:rFonts w:ascii="仿宋_GB2312" w:eastAsia="仿宋_GB2312"/>
              </w:rPr>
            </w:pPr>
          </w:p>
        </w:tc>
        <w:tc>
          <w:tcPr>
            <w:tcW w:w="866" w:type="dxa"/>
            <w:vMerge w:val="continue"/>
            <w:vAlign w:val="center"/>
          </w:tcPr>
          <w:p w14:paraId="1BFFBB38">
            <w:pPr>
              <w:spacing w:line="320" w:lineRule="exact"/>
              <w:rPr>
                <w:rFonts w:ascii="仿宋_GB2312" w:eastAsia="仿宋_GB2312"/>
              </w:rPr>
            </w:pPr>
          </w:p>
        </w:tc>
        <w:tc>
          <w:tcPr>
            <w:tcW w:w="951" w:type="dxa"/>
            <w:tcMar>
              <w:top w:w="10" w:type="dxa"/>
              <w:left w:w="10" w:type="dxa"/>
              <w:bottom w:w="0" w:type="dxa"/>
              <w:right w:w="10" w:type="dxa"/>
            </w:tcMar>
            <w:vAlign w:val="center"/>
          </w:tcPr>
          <w:p w14:paraId="118C220E">
            <w:pPr>
              <w:spacing w:line="320" w:lineRule="exact"/>
              <w:jc w:val="center"/>
              <w:rPr>
                <w:rFonts w:ascii="仿宋_GB2312" w:eastAsia="仿宋_GB2312"/>
              </w:rPr>
            </w:pPr>
            <w:r>
              <w:rPr>
                <w:rFonts w:hint="eastAsia" w:ascii="仿宋_GB2312" w:eastAsia="仿宋_GB2312"/>
              </w:rPr>
              <w:t>结转结余</w:t>
            </w:r>
          </w:p>
          <w:p w14:paraId="476BCEBE">
            <w:pPr>
              <w:spacing w:line="320" w:lineRule="exact"/>
              <w:jc w:val="center"/>
              <w:rPr>
                <w:rFonts w:ascii="仿宋_GB2312" w:eastAsia="仿宋_GB2312"/>
              </w:rPr>
            </w:pPr>
            <w:r>
              <w:rPr>
                <w:rFonts w:hint="eastAsia" w:ascii="仿宋_GB2312" w:eastAsia="仿宋_GB2312"/>
              </w:rPr>
              <w:t>变动率</w:t>
            </w:r>
          </w:p>
          <w:p w14:paraId="732D3362">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7AA688E8">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部门本年度结转结余资金总额与上年度结转结余资金总额的变动比率，用以反映和考核部门对控制结转结余资金的努力程度。</w:t>
            </w:r>
          </w:p>
        </w:tc>
        <w:tc>
          <w:tcPr>
            <w:tcW w:w="4238" w:type="dxa"/>
            <w:tcMar>
              <w:top w:w="10" w:type="dxa"/>
              <w:left w:w="10" w:type="dxa"/>
              <w:bottom w:w="0" w:type="dxa"/>
              <w:right w:w="10" w:type="dxa"/>
            </w:tcMar>
            <w:vAlign w:val="center"/>
          </w:tcPr>
          <w:p w14:paraId="3423045B">
            <w:pPr>
              <w:spacing w:line="320" w:lineRule="exact"/>
              <w:ind w:left="105" w:leftChars="50" w:right="105" w:rightChars="50"/>
              <w:rPr>
                <w:rFonts w:ascii="仿宋_GB2312" w:eastAsia="仿宋_GB2312"/>
              </w:rPr>
            </w:pPr>
            <w:r>
              <w:rPr>
                <w:rFonts w:hint="eastAsia" w:ascii="仿宋_GB2312" w:eastAsia="仿宋_GB2312"/>
              </w:rPr>
              <w:t>结转结余变动率=[（本年度累计结转结余资金总额-上年度累计结转结余资金总额）/上年度累计结转结余资金总额]×100%。</w:t>
            </w:r>
          </w:p>
        </w:tc>
        <w:tc>
          <w:tcPr>
            <w:tcW w:w="577" w:type="dxa"/>
          </w:tcPr>
          <w:p w14:paraId="250E1905">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14:paraId="6FE0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jc w:val="center"/>
        </w:trPr>
        <w:tc>
          <w:tcPr>
            <w:tcW w:w="666" w:type="dxa"/>
            <w:vMerge w:val="continue"/>
            <w:vAlign w:val="center"/>
          </w:tcPr>
          <w:p w14:paraId="34558C5F">
            <w:pPr>
              <w:spacing w:line="320" w:lineRule="exact"/>
              <w:jc w:val="center"/>
              <w:rPr>
                <w:rFonts w:ascii="仿宋_GB2312" w:eastAsia="仿宋_GB2312"/>
              </w:rPr>
            </w:pPr>
          </w:p>
        </w:tc>
        <w:tc>
          <w:tcPr>
            <w:tcW w:w="866" w:type="dxa"/>
            <w:vMerge w:val="continue"/>
            <w:vAlign w:val="center"/>
          </w:tcPr>
          <w:p w14:paraId="4D286929">
            <w:pPr>
              <w:spacing w:line="320" w:lineRule="exact"/>
              <w:rPr>
                <w:rFonts w:ascii="仿宋_GB2312" w:eastAsia="仿宋_GB2312"/>
              </w:rPr>
            </w:pPr>
          </w:p>
        </w:tc>
        <w:tc>
          <w:tcPr>
            <w:tcW w:w="951" w:type="dxa"/>
            <w:tcMar>
              <w:top w:w="10" w:type="dxa"/>
              <w:left w:w="10" w:type="dxa"/>
              <w:bottom w:w="0" w:type="dxa"/>
              <w:right w:w="10" w:type="dxa"/>
            </w:tcMar>
            <w:vAlign w:val="center"/>
          </w:tcPr>
          <w:p w14:paraId="36BC50AB">
            <w:pPr>
              <w:spacing w:line="320" w:lineRule="exact"/>
              <w:jc w:val="center"/>
              <w:rPr>
                <w:rFonts w:ascii="仿宋_GB2312" w:eastAsia="仿宋_GB2312"/>
              </w:rPr>
            </w:pPr>
            <w:r>
              <w:rPr>
                <w:rFonts w:hint="eastAsia" w:ascii="仿宋_GB2312" w:eastAsia="仿宋_GB2312"/>
              </w:rPr>
              <w:t>公用经费</w:t>
            </w:r>
          </w:p>
          <w:p w14:paraId="612B6E0C">
            <w:pPr>
              <w:spacing w:line="320" w:lineRule="exact"/>
              <w:jc w:val="center"/>
              <w:rPr>
                <w:rFonts w:ascii="仿宋_GB2312" w:eastAsia="仿宋_GB2312"/>
              </w:rPr>
            </w:pPr>
            <w:r>
              <w:rPr>
                <w:rFonts w:hint="eastAsia" w:ascii="仿宋_GB2312" w:eastAsia="仿宋_GB2312"/>
              </w:rPr>
              <w:t>控制率</w:t>
            </w:r>
          </w:p>
          <w:p w14:paraId="656F944F">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7A19F7C7">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部门本年度实际支出的公用经费总额与预算安排的公用经费总额的比率，用以反映和考核部门对机构运转成本的实际控制程度。</w:t>
            </w:r>
          </w:p>
        </w:tc>
        <w:tc>
          <w:tcPr>
            <w:tcW w:w="4238" w:type="dxa"/>
            <w:tcMar>
              <w:top w:w="10" w:type="dxa"/>
              <w:left w:w="10" w:type="dxa"/>
              <w:bottom w:w="0" w:type="dxa"/>
              <w:right w:w="10" w:type="dxa"/>
            </w:tcMar>
            <w:vAlign w:val="center"/>
          </w:tcPr>
          <w:p w14:paraId="4FD6BA9E">
            <w:pPr>
              <w:spacing w:line="320" w:lineRule="exact"/>
              <w:ind w:left="105" w:leftChars="50" w:right="105" w:rightChars="50"/>
              <w:rPr>
                <w:rFonts w:ascii="仿宋_GB2312" w:eastAsia="仿宋_GB2312"/>
              </w:rPr>
            </w:pPr>
            <w:r>
              <w:rPr>
                <w:rFonts w:hint="eastAsia" w:ascii="仿宋_GB2312" w:eastAsia="仿宋_GB2312"/>
              </w:rPr>
              <w:t>公用经费控制率=（实际支出公用经费总额/预算安排公用经费总额）×100%。</w:t>
            </w:r>
          </w:p>
        </w:tc>
        <w:tc>
          <w:tcPr>
            <w:tcW w:w="577" w:type="dxa"/>
          </w:tcPr>
          <w:p w14:paraId="0545D401">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14:paraId="03AD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4" w:hRule="atLeast"/>
          <w:jc w:val="center"/>
        </w:trPr>
        <w:tc>
          <w:tcPr>
            <w:tcW w:w="666" w:type="dxa"/>
            <w:vMerge w:val="restart"/>
            <w:vAlign w:val="center"/>
          </w:tcPr>
          <w:p w14:paraId="50975A1B">
            <w:pPr>
              <w:spacing w:line="320" w:lineRule="exact"/>
              <w:jc w:val="center"/>
              <w:rPr>
                <w:rFonts w:ascii="仿宋_GB2312" w:eastAsia="仿宋_GB2312"/>
              </w:rPr>
            </w:pPr>
            <w:r>
              <w:rPr>
                <w:rFonts w:hint="eastAsia" w:ascii="仿宋_GB2312" w:eastAsia="仿宋_GB2312"/>
              </w:rPr>
              <w:t>过</w:t>
            </w:r>
          </w:p>
          <w:p w14:paraId="1829D97E">
            <w:pPr>
              <w:spacing w:line="320" w:lineRule="exact"/>
              <w:jc w:val="center"/>
              <w:rPr>
                <w:rFonts w:ascii="仿宋_GB2312" w:eastAsia="仿宋_GB2312"/>
              </w:rPr>
            </w:pPr>
            <w:r>
              <w:rPr>
                <w:rFonts w:hint="eastAsia" w:ascii="仿宋_GB2312" w:eastAsia="仿宋_GB2312"/>
              </w:rPr>
              <w:t>程</w:t>
            </w:r>
          </w:p>
        </w:tc>
        <w:tc>
          <w:tcPr>
            <w:tcW w:w="866" w:type="dxa"/>
            <w:vMerge w:val="restart"/>
            <w:vAlign w:val="center"/>
          </w:tcPr>
          <w:p w14:paraId="448FB914">
            <w:pPr>
              <w:spacing w:line="320" w:lineRule="exact"/>
              <w:jc w:val="center"/>
              <w:rPr>
                <w:rFonts w:ascii="仿宋_GB2312" w:eastAsia="仿宋_GB2312"/>
                <w:lang w:eastAsia="zh-CN"/>
              </w:rPr>
            </w:pPr>
            <w:r>
              <w:rPr>
                <w:rFonts w:hint="eastAsia" w:ascii="仿宋_GB2312" w:eastAsia="仿宋_GB2312"/>
              </w:rPr>
              <w:t>预算</w:t>
            </w:r>
          </w:p>
          <w:p w14:paraId="2FB831E0">
            <w:pPr>
              <w:spacing w:line="320" w:lineRule="exact"/>
              <w:jc w:val="center"/>
              <w:rPr>
                <w:rFonts w:ascii="仿宋_GB2312" w:eastAsia="仿宋_GB2312"/>
              </w:rPr>
            </w:pPr>
            <w:r>
              <w:rPr>
                <w:rFonts w:hint="eastAsia" w:ascii="仿宋_GB2312" w:eastAsia="仿宋_GB2312"/>
              </w:rPr>
              <w:t>执行</w:t>
            </w:r>
          </w:p>
        </w:tc>
        <w:tc>
          <w:tcPr>
            <w:tcW w:w="951" w:type="dxa"/>
            <w:tcMar>
              <w:top w:w="10" w:type="dxa"/>
              <w:left w:w="10" w:type="dxa"/>
              <w:bottom w:w="0" w:type="dxa"/>
              <w:right w:w="10" w:type="dxa"/>
            </w:tcMar>
            <w:vAlign w:val="center"/>
          </w:tcPr>
          <w:p w14:paraId="35F6F83A">
            <w:pPr>
              <w:spacing w:line="320" w:lineRule="exact"/>
              <w:jc w:val="center"/>
              <w:rPr>
                <w:rFonts w:ascii="仿宋_GB2312" w:eastAsia="仿宋_GB2312"/>
              </w:rPr>
            </w:pPr>
            <w:r>
              <w:rPr>
                <w:rFonts w:hint="eastAsia" w:ascii="仿宋_GB2312" w:eastAsia="仿宋_GB2312"/>
              </w:rPr>
              <w:t>“三公经费”控制率（4分）</w:t>
            </w:r>
          </w:p>
        </w:tc>
        <w:tc>
          <w:tcPr>
            <w:tcW w:w="2871" w:type="dxa"/>
            <w:tcMar>
              <w:top w:w="10" w:type="dxa"/>
              <w:left w:w="10" w:type="dxa"/>
              <w:bottom w:w="0" w:type="dxa"/>
              <w:right w:w="10" w:type="dxa"/>
            </w:tcMar>
            <w:vAlign w:val="center"/>
          </w:tcPr>
          <w:p w14:paraId="30302CFC">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部门本年度“三公经费”实际支出数与预算安排数的比率，用以反映和考核部门对“三公经费”的实际控制程度。</w:t>
            </w:r>
          </w:p>
        </w:tc>
        <w:tc>
          <w:tcPr>
            <w:tcW w:w="4238" w:type="dxa"/>
            <w:tcMar>
              <w:top w:w="10" w:type="dxa"/>
              <w:left w:w="10" w:type="dxa"/>
              <w:bottom w:w="0" w:type="dxa"/>
              <w:right w:w="10" w:type="dxa"/>
            </w:tcMar>
            <w:vAlign w:val="center"/>
          </w:tcPr>
          <w:p w14:paraId="4F55CA5F">
            <w:pPr>
              <w:spacing w:line="320" w:lineRule="exact"/>
              <w:ind w:left="105" w:leftChars="50" w:right="105" w:rightChars="50"/>
              <w:rPr>
                <w:rFonts w:ascii="仿宋_GB2312" w:eastAsia="仿宋_GB2312"/>
              </w:rPr>
            </w:pPr>
            <w:r>
              <w:rPr>
                <w:rFonts w:hint="eastAsia" w:ascii="仿宋_GB2312" w:eastAsia="仿宋_GB2312"/>
              </w:rPr>
              <w:t>“三公经费”控制率=（“三公经费”实际支出数/“三公经费”预算安排数）×100%。</w:t>
            </w:r>
          </w:p>
        </w:tc>
        <w:tc>
          <w:tcPr>
            <w:tcW w:w="577" w:type="dxa"/>
          </w:tcPr>
          <w:p w14:paraId="102563AE">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14:paraId="295D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8" w:hRule="atLeast"/>
          <w:jc w:val="center"/>
        </w:trPr>
        <w:tc>
          <w:tcPr>
            <w:tcW w:w="666" w:type="dxa"/>
            <w:vMerge w:val="continue"/>
            <w:vAlign w:val="center"/>
          </w:tcPr>
          <w:p w14:paraId="2573EE7E">
            <w:pPr>
              <w:spacing w:line="320" w:lineRule="exact"/>
              <w:jc w:val="center"/>
              <w:rPr>
                <w:rFonts w:ascii="仿宋_GB2312" w:eastAsia="仿宋_GB2312"/>
              </w:rPr>
            </w:pPr>
          </w:p>
        </w:tc>
        <w:tc>
          <w:tcPr>
            <w:tcW w:w="866" w:type="dxa"/>
            <w:vMerge w:val="continue"/>
            <w:vAlign w:val="center"/>
          </w:tcPr>
          <w:p w14:paraId="31782D38">
            <w:pPr>
              <w:spacing w:line="320" w:lineRule="exact"/>
              <w:rPr>
                <w:rFonts w:ascii="仿宋_GB2312" w:eastAsia="仿宋_GB2312"/>
              </w:rPr>
            </w:pPr>
          </w:p>
        </w:tc>
        <w:tc>
          <w:tcPr>
            <w:tcW w:w="951" w:type="dxa"/>
            <w:tcMar>
              <w:top w:w="10" w:type="dxa"/>
              <w:left w:w="10" w:type="dxa"/>
              <w:bottom w:w="0" w:type="dxa"/>
              <w:right w:w="10" w:type="dxa"/>
            </w:tcMar>
            <w:vAlign w:val="center"/>
          </w:tcPr>
          <w:p w14:paraId="5E8ABD64">
            <w:pPr>
              <w:spacing w:line="320" w:lineRule="exact"/>
              <w:jc w:val="center"/>
              <w:rPr>
                <w:rFonts w:ascii="仿宋_GB2312" w:eastAsia="仿宋_GB2312"/>
              </w:rPr>
            </w:pPr>
            <w:r>
              <w:rPr>
                <w:rFonts w:hint="eastAsia" w:ascii="仿宋_GB2312" w:eastAsia="仿宋_GB2312"/>
              </w:rPr>
              <w:t>政府采购</w:t>
            </w:r>
          </w:p>
          <w:p w14:paraId="588992B4">
            <w:pPr>
              <w:spacing w:line="320" w:lineRule="exact"/>
              <w:jc w:val="center"/>
              <w:rPr>
                <w:rFonts w:ascii="仿宋_GB2312" w:eastAsia="仿宋_GB2312"/>
              </w:rPr>
            </w:pPr>
            <w:r>
              <w:rPr>
                <w:rFonts w:hint="eastAsia" w:ascii="仿宋_GB2312" w:eastAsia="仿宋_GB2312"/>
              </w:rPr>
              <w:t>执行率</w:t>
            </w:r>
          </w:p>
          <w:p w14:paraId="6E65C447">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2578BCD0">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部门本年度实际政府采购金额与年初政府采购预算的比率，用以反映和考核部门政府采购预算执行情况。</w:t>
            </w:r>
          </w:p>
        </w:tc>
        <w:tc>
          <w:tcPr>
            <w:tcW w:w="4238" w:type="dxa"/>
            <w:tcMar>
              <w:top w:w="10" w:type="dxa"/>
              <w:left w:w="10" w:type="dxa"/>
              <w:bottom w:w="0" w:type="dxa"/>
              <w:right w:w="10" w:type="dxa"/>
            </w:tcMar>
            <w:vAlign w:val="center"/>
          </w:tcPr>
          <w:p w14:paraId="5D276714">
            <w:pPr>
              <w:spacing w:line="320" w:lineRule="exact"/>
              <w:ind w:left="105" w:leftChars="50" w:right="105" w:rightChars="50"/>
              <w:rPr>
                <w:rFonts w:ascii="仿宋_GB2312" w:eastAsia="仿宋_GB2312"/>
                <w:lang w:eastAsia="zh-CN"/>
              </w:rPr>
            </w:pPr>
            <w:r>
              <w:rPr>
                <w:rFonts w:hint="eastAsia" w:ascii="仿宋_GB2312" w:eastAsia="仿宋_GB2312"/>
              </w:rPr>
              <w:t>政府采购执行率=（实际政府采购金额/政府采购预算数）×100%；</w:t>
            </w:r>
          </w:p>
          <w:p w14:paraId="0F29AF21">
            <w:pPr>
              <w:spacing w:line="320" w:lineRule="exact"/>
              <w:ind w:left="105" w:leftChars="50" w:right="105" w:rightChars="50"/>
              <w:rPr>
                <w:rFonts w:ascii="仿宋_GB2312" w:eastAsia="仿宋_GB2312"/>
              </w:rPr>
            </w:pPr>
            <w:r>
              <w:rPr>
                <w:rFonts w:hint="eastAsia" w:ascii="仿宋_GB2312" w:eastAsia="仿宋_GB2312"/>
              </w:rPr>
              <w:t xml:space="preserve">政府采购预算：采购机关根据事业发展计划和行政任务编制的、并经过规定程序批准的年度政府采购计划。 </w:t>
            </w:r>
          </w:p>
        </w:tc>
        <w:tc>
          <w:tcPr>
            <w:tcW w:w="577" w:type="dxa"/>
          </w:tcPr>
          <w:p w14:paraId="2CC2235A">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14:paraId="5593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8" w:hRule="atLeast"/>
          <w:jc w:val="center"/>
        </w:trPr>
        <w:tc>
          <w:tcPr>
            <w:tcW w:w="666" w:type="dxa"/>
            <w:vMerge w:val="continue"/>
            <w:vAlign w:val="center"/>
          </w:tcPr>
          <w:p w14:paraId="7ACF3AE1">
            <w:pPr>
              <w:spacing w:line="320" w:lineRule="exact"/>
              <w:jc w:val="center"/>
              <w:rPr>
                <w:rFonts w:ascii="仿宋_GB2312" w:eastAsia="仿宋_GB2312"/>
              </w:rPr>
            </w:pPr>
          </w:p>
        </w:tc>
        <w:tc>
          <w:tcPr>
            <w:tcW w:w="866" w:type="dxa"/>
            <w:vMerge w:val="restart"/>
            <w:tcMar>
              <w:top w:w="10" w:type="dxa"/>
              <w:left w:w="10" w:type="dxa"/>
              <w:bottom w:w="0" w:type="dxa"/>
              <w:right w:w="10" w:type="dxa"/>
            </w:tcMar>
            <w:vAlign w:val="center"/>
          </w:tcPr>
          <w:p w14:paraId="1D523185">
            <w:pPr>
              <w:spacing w:line="320" w:lineRule="exact"/>
              <w:jc w:val="center"/>
              <w:rPr>
                <w:rFonts w:ascii="仿宋_GB2312" w:eastAsia="仿宋_GB2312"/>
                <w:lang w:eastAsia="zh-CN"/>
              </w:rPr>
            </w:pPr>
            <w:r>
              <w:rPr>
                <w:rFonts w:hint="eastAsia" w:ascii="仿宋_GB2312" w:eastAsia="仿宋_GB2312"/>
              </w:rPr>
              <w:t>预算</w:t>
            </w:r>
          </w:p>
          <w:p w14:paraId="09B41FDF">
            <w:pPr>
              <w:spacing w:line="320" w:lineRule="exact"/>
              <w:jc w:val="center"/>
              <w:rPr>
                <w:rFonts w:ascii="仿宋_GB2312" w:eastAsia="仿宋_GB2312"/>
              </w:rPr>
            </w:pPr>
            <w:r>
              <w:rPr>
                <w:rFonts w:hint="eastAsia" w:ascii="仿宋_GB2312" w:eastAsia="仿宋_GB2312"/>
              </w:rPr>
              <w:t>管理</w:t>
            </w:r>
          </w:p>
          <w:p w14:paraId="1D59E7FD">
            <w:pPr>
              <w:spacing w:line="320" w:lineRule="exact"/>
              <w:jc w:val="center"/>
              <w:rPr>
                <w:rFonts w:ascii="仿宋_GB2312" w:eastAsia="仿宋_GB2312"/>
              </w:rPr>
            </w:pPr>
            <w:r>
              <w:rPr>
                <w:rFonts w:hint="eastAsia" w:ascii="仿宋_GB2312" w:eastAsia="仿宋_GB2312"/>
              </w:rPr>
              <w:t>（14分）</w:t>
            </w:r>
          </w:p>
        </w:tc>
        <w:tc>
          <w:tcPr>
            <w:tcW w:w="951" w:type="dxa"/>
            <w:tcMar>
              <w:top w:w="10" w:type="dxa"/>
              <w:left w:w="10" w:type="dxa"/>
              <w:bottom w:w="0" w:type="dxa"/>
              <w:right w:w="10" w:type="dxa"/>
            </w:tcMar>
            <w:vAlign w:val="center"/>
          </w:tcPr>
          <w:p w14:paraId="79FA8751">
            <w:pPr>
              <w:spacing w:line="320" w:lineRule="exact"/>
              <w:jc w:val="center"/>
              <w:rPr>
                <w:rFonts w:ascii="仿宋_GB2312" w:eastAsia="仿宋_GB2312"/>
              </w:rPr>
            </w:pPr>
            <w:r>
              <w:rPr>
                <w:rFonts w:hint="eastAsia" w:ascii="仿宋_GB2312" w:eastAsia="仿宋_GB2312"/>
              </w:rPr>
              <w:t>管理制度</w:t>
            </w:r>
          </w:p>
          <w:p w14:paraId="5C04AD77">
            <w:pPr>
              <w:spacing w:line="320" w:lineRule="exact"/>
              <w:jc w:val="center"/>
              <w:rPr>
                <w:rFonts w:ascii="仿宋_GB2312" w:eastAsia="仿宋_GB2312"/>
              </w:rPr>
            </w:pPr>
            <w:r>
              <w:rPr>
                <w:rFonts w:hint="eastAsia" w:ascii="仿宋_GB2312" w:eastAsia="仿宋_GB2312"/>
              </w:rPr>
              <w:t>健全性</w:t>
            </w:r>
          </w:p>
          <w:p w14:paraId="4C744288">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643F33DC">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部门为加强预算管理、规范财务行为而制定的管理制度是否健全完整，用以反映和考核部门预算管理制度对完成主要职责或促进事业发展的保障情况。</w:t>
            </w:r>
          </w:p>
        </w:tc>
        <w:tc>
          <w:tcPr>
            <w:tcW w:w="4238" w:type="dxa"/>
            <w:tcMar>
              <w:top w:w="10" w:type="dxa"/>
              <w:left w:w="10" w:type="dxa"/>
              <w:bottom w:w="0" w:type="dxa"/>
              <w:right w:w="10" w:type="dxa"/>
            </w:tcMar>
            <w:vAlign w:val="center"/>
          </w:tcPr>
          <w:p w14:paraId="0B595D6A">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0C30D2BE">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是否已制定或具有预算资金管理办法、内部财务管理制度、会计核算制度等管理制度；</w:t>
            </w:r>
          </w:p>
          <w:p w14:paraId="3E900AF8">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相关管理制度是否合法、合规、完整；</w:t>
            </w:r>
          </w:p>
          <w:p w14:paraId="34759737">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相关管理制度是否得到有效执行。</w:t>
            </w:r>
          </w:p>
        </w:tc>
        <w:tc>
          <w:tcPr>
            <w:tcW w:w="577" w:type="dxa"/>
          </w:tcPr>
          <w:p w14:paraId="5769D704">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14:paraId="0759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5" w:hRule="atLeast"/>
          <w:jc w:val="center"/>
        </w:trPr>
        <w:tc>
          <w:tcPr>
            <w:tcW w:w="666" w:type="dxa"/>
            <w:vMerge w:val="continue"/>
            <w:vAlign w:val="center"/>
          </w:tcPr>
          <w:p w14:paraId="170C088D">
            <w:pPr>
              <w:spacing w:line="320" w:lineRule="exact"/>
              <w:jc w:val="center"/>
              <w:rPr>
                <w:rFonts w:ascii="仿宋_GB2312" w:eastAsia="仿宋_GB2312"/>
              </w:rPr>
            </w:pPr>
          </w:p>
        </w:tc>
        <w:tc>
          <w:tcPr>
            <w:tcW w:w="866" w:type="dxa"/>
            <w:vMerge w:val="continue"/>
            <w:vAlign w:val="center"/>
          </w:tcPr>
          <w:p w14:paraId="3E545F84">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4778E247">
            <w:pPr>
              <w:spacing w:line="320" w:lineRule="exact"/>
              <w:jc w:val="center"/>
              <w:rPr>
                <w:rFonts w:ascii="仿宋_GB2312" w:eastAsia="仿宋_GB2312"/>
              </w:rPr>
            </w:pPr>
            <w:r>
              <w:rPr>
                <w:rFonts w:hint="eastAsia" w:ascii="仿宋_GB2312" w:eastAsia="仿宋_GB2312"/>
              </w:rPr>
              <w:t>资金使用</w:t>
            </w:r>
          </w:p>
          <w:p w14:paraId="5166453D">
            <w:pPr>
              <w:spacing w:line="320" w:lineRule="exact"/>
              <w:jc w:val="center"/>
              <w:rPr>
                <w:rFonts w:ascii="仿宋_GB2312" w:eastAsia="仿宋_GB2312"/>
              </w:rPr>
            </w:pPr>
            <w:r>
              <w:rPr>
                <w:rFonts w:hint="eastAsia" w:ascii="仿宋_GB2312" w:eastAsia="仿宋_GB2312"/>
              </w:rPr>
              <w:t>合规性</w:t>
            </w:r>
          </w:p>
          <w:p w14:paraId="5F6211C1">
            <w:pPr>
              <w:spacing w:line="320" w:lineRule="exact"/>
              <w:jc w:val="center"/>
              <w:rPr>
                <w:rFonts w:ascii="仿宋_GB2312" w:eastAsia="仿宋_GB2312"/>
              </w:rPr>
            </w:pPr>
            <w:r>
              <w:rPr>
                <w:rFonts w:hint="eastAsia" w:ascii="仿宋_GB2312" w:eastAsia="仿宋_GB2312"/>
              </w:rPr>
              <w:t>（4分）</w:t>
            </w:r>
          </w:p>
        </w:tc>
        <w:tc>
          <w:tcPr>
            <w:tcW w:w="2871" w:type="dxa"/>
            <w:tcMar>
              <w:top w:w="10" w:type="dxa"/>
              <w:left w:w="10" w:type="dxa"/>
              <w:bottom w:w="0" w:type="dxa"/>
              <w:right w:w="10" w:type="dxa"/>
            </w:tcMar>
            <w:vAlign w:val="center"/>
          </w:tcPr>
          <w:p w14:paraId="6BFE2854">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部门使用预算资金是否符合相关的预算财务管理制度的规定，用以反映和考核部门预算资金的规范运行情况。</w:t>
            </w:r>
          </w:p>
        </w:tc>
        <w:tc>
          <w:tcPr>
            <w:tcW w:w="4238" w:type="dxa"/>
            <w:tcMar>
              <w:top w:w="10" w:type="dxa"/>
              <w:left w:w="10" w:type="dxa"/>
              <w:bottom w:w="0" w:type="dxa"/>
              <w:right w:w="10" w:type="dxa"/>
            </w:tcMar>
            <w:vAlign w:val="center"/>
          </w:tcPr>
          <w:p w14:paraId="7B0E9C19">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6C8947C3">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是否符合国家财经法规和财务管理制度规定以及有关预算支出管理办法的规定；</w:t>
            </w:r>
          </w:p>
          <w:p w14:paraId="07C0C4EF">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资金的拨付是否有完整的审批程序和手续；</w:t>
            </w:r>
          </w:p>
          <w:p w14:paraId="00B97B86">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③</w:t>
            </w:r>
            <w:r>
              <w:rPr>
                <w:rFonts w:hint="eastAsia" w:ascii="仿宋_GB2312" w:eastAsia="仿宋_GB2312"/>
              </w:rPr>
              <w:t>预算支出的重大开支是否经过评估论证；</w:t>
            </w:r>
          </w:p>
          <w:p w14:paraId="7FD8A318">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④</w:t>
            </w:r>
            <w:r>
              <w:rPr>
                <w:rFonts w:hint="eastAsia" w:ascii="仿宋_GB2312" w:eastAsia="仿宋_GB2312"/>
              </w:rPr>
              <w:t>是否符合部门预算批复的用途；</w:t>
            </w:r>
          </w:p>
          <w:p w14:paraId="1557CD5D">
            <w:pPr>
              <w:spacing w:line="320" w:lineRule="exact"/>
              <w:ind w:left="105" w:leftChars="50" w:right="105" w:rightChars="50"/>
              <w:rPr>
                <w:rFonts w:ascii="仿宋_GB2312" w:eastAsia="仿宋_GB2312"/>
              </w:rPr>
            </w:pPr>
            <w:r>
              <w:rPr>
                <w:rFonts w:hint="eastAsia" w:ascii="仿宋_GB2312" w:hAnsi="宋体" w:eastAsia="仿宋_GB2312" w:cs="宋体"/>
              </w:rPr>
              <w:t>⑤</w:t>
            </w:r>
            <w:r>
              <w:rPr>
                <w:rFonts w:hint="eastAsia" w:ascii="仿宋_GB2312" w:eastAsia="仿宋_GB2312"/>
              </w:rPr>
              <w:t>是否存在截留、挤占、挪用、虚列支出等情况。</w:t>
            </w:r>
          </w:p>
        </w:tc>
        <w:tc>
          <w:tcPr>
            <w:tcW w:w="577" w:type="dxa"/>
          </w:tcPr>
          <w:p w14:paraId="0314CAD0">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14:paraId="437E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3" w:hRule="atLeast"/>
          <w:jc w:val="center"/>
        </w:trPr>
        <w:tc>
          <w:tcPr>
            <w:tcW w:w="666" w:type="dxa"/>
            <w:vMerge w:val="continue"/>
            <w:vAlign w:val="center"/>
          </w:tcPr>
          <w:p w14:paraId="51548623">
            <w:pPr>
              <w:spacing w:line="320" w:lineRule="exact"/>
              <w:jc w:val="center"/>
              <w:rPr>
                <w:rFonts w:ascii="仿宋_GB2312" w:eastAsia="仿宋_GB2312"/>
              </w:rPr>
            </w:pPr>
          </w:p>
        </w:tc>
        <w:tc>
          <w:tcPr>
            <w:tcW w:w="866" w:type="dxa"/>
            <w:vMerge w:val="continue"/>
            <w:vAlign w:val="center"/>
          </w:tcPr>
          <w:p w14:paraId="6A3CA5BC">
            <w:pPr>
              <w:spacing w:line="320" w:lineRule="exact"/>
              <w:rPr>
                <w:rFonts w:ascii="仿宋_GB2312" w:eastAsia="仿宋_GB2312"/>
              </w:rPr>
            </w:pPr>
          </w:p>
        </w:tc>
        <w:tc>
          <w:tcPr>
            <w:tcW w:w="951" w:type="dxa"/>
            <w:tcMar>
              <w:top w:w="10" w:type="dxa"/>
              <w:left w:w="10" w:type="dxa"/>
              <w:bottom w:w="0" w:type="dxa"/>
              <w:right w:w="10" w:type="dxa"/>
            </w:tcMar>
            <w:vAlign w:val="center"/>
          </w:tcPr>
          <w:p w14:paraId="061CB003">
            <w:pPr>
              <w:spacing w:line="320" w:lineRule="exact"/>
              <w:jc w:val="center"/>
              <w:rPr>
                <w:rFonts w:ascii="仿宋_GB2312" w:eastAsia="仿宋_GB2312"/>
              </w:rPr>
            </w:pPr>
            <w:r>
              <w:rPr>
                <w:rFonts w:hint="eastAsia" w:ascii="仿宋_GB2312" w:eastAsia="仿宋_GB2312"/>
              </w:rPr>
              <w:t>预决算信</w:t>
            </w:r>
          </w:p>
          <w:p w14:paraId="6DEA27FC">
            <w:pPr>
              <w:spacing w:line="320" w:lineRule="exact"/>
              <w:jc w:val="center"/>
              <w:rPr>
                <w:rFonts w:ascii="仿宋_GB2312" w:eastAsia="仿宋_GB2312"/>
              </w:rPr>
            </w:pPr>
            <w:r>
              <w:rPr>
                <w:rFonts w:hint="eastAsia" w:ascii="仿宋_GB2312" w:eastAsia="仿宋_GB2312"/>
              </w:rPr>
              <w:t>息公开性（4分）</w:t>
            </w:r>
          </w:p>
        </w:tc>
        <w:tc>
          <w:tcPr>
            <w:tcW w:w="2871" w:type="dxa"/>
            <w:tcMar>
              <w:top w:w="10" w:type="dxa"/>
              <w:left w:w="10" w:type="dxa"/>
              <w:bottom w:w="0" w:type="dxa"/>
              <w:right w:w="10" w:type="dxa"/>
            </w:tcMar>
            <w:vAlign w:val="center"/>
          </w:tcPr>
          <w:p w14:paraId="46361F9F">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部门是否按照政府信息公开有关规定公开相关预决算信息，用以反映和考核部门预决算管理的公开透明情况。</w:t>
            </w:r>
          </w:p>
        </w:tc>
        <w:tc>
          <w:tcPr>
            <w:tcW w:w="4238" w:type="dxa"/>
            <w:tcMar>
              <w:top w:w="10" w:type="dxa"/>
              <w:left w:w="10" w:type="dxa"/>
              <w:bottom w:w="0" w:type="dxa"/>
              <w:right w:w="10" w:type="dxa"/>
            </w:tcMar>
            <w:vAlign w:val="center"/>
          </w:tcPr>
          <w:p w14:paraId="53A2675A">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3CCE7065">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是否按规定内容公开预决算信息；</w:t>
            </w:r>
          </w:p>
          <w:p w14:paraId="1B7A6588">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是否按规定时限公开预决算信息。</w:t>
            </w:r>
          </w:p>
          <w:p w14:paraId="03F57B59">
            <w:pPr>
              <w:spacing w:line="320" w:lineRule="exact"/>
              <w:ind w:left="105" w:leftChars="50" w:right="105" w:rightChars="50"/>
              <w:rPr>
                <w:rFonts w:ascii="仿宋_GB2312" w:eastAsia="仿宋_GB2312"/>
              </w:rPr>
            </w:pPr>
            <w:r>
              <w:rPr>
                <w:rFonts w:hint="eastAsia" w:ascii="仿宋_GB2312" w:eastAsia="仿宋_GB2312"/>
              </w:rPr>
              <w:t>预决算信息是指与部门预算、执行、决算、监督、绩效等管理相关的信息。</w:t>
            </w:r>
          </w:p>
        </w:tc>
        <w:tc>
          <w:tcPr>
            <w:tcW w:w="577" w:type="dxa"/>
          </w:tcPr>
          <w:p w14:paraId="52B5744D">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4</w:t>
            </w:r>
          </w:p>
        </w:tc>
      </w:tr>
      <w:tr w14:paraId="77A5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2" w:hRule="atLeast"/>
          <w:jc w:val="center"/>
        </w:trPr>
        <w:tc>
          <w:tcPr>
            <w:tcW w:w="666" w:type="dxa"/>
            <w:vMerge w:val="restart"/>
            <w:vAlign w:val="center"/>
          </w:tcPr>
          <w:p w14:paraId="7AC4FBCC">
            <w:pPr>
              <w:spacing w:line="320" w:lineRule="exact"/>
              <w:jc w:val="center"/>
              <w:rPr>
                <w:rFonts w:ascii="仿宋_GB2312" w:eastAsia="仿宋_GB2312"/>
              </w:rPr>
            </w:pPr>
            <w:r>
              <w:rPr>
                <w:rFonts w:hint="eastAsia" w:ascii="仿宋_GB2312" w:eastAsia="仿宋_GB2312"/>
              </w:rPr>
              <w:t>过</w:t>
            </w:r>
          </w:p>
          <w:p w14:paraId="25D792C7">
            <w:pPr>
              <w:spacing w:line="320" w:lineRule="exact"/>
              <w:jc w:val="center"/>
              <w:rPr>
                <w:rFonts w:ascii="仿宋_GB2312" w:eastAsia="仿宋_GB2312"/>
              </w:rPr>
            </w:pPr>
            <w:r>
              <w:rPr>
                <w:rFonts w:hint="eastAsia" w:ascii="仿宋_GB2312" w:eastAsia="仿宋_GB2312"/>
              </w:rPr>
              <w:t>程</w:t>
            </w:r>
          </w:p>
        </w:tc>
        <w:tc>
          <w:tcPr>
            <w:tcW w:w="866" w:type="dxa"/>
            <w:vAlign w:val="center"/>
          </w:tcPr>
          <w:p w14:paraId="0E3611D0">
            <w:pPr>
              <w:spacing w:line="320" w:lineRule="exact"/>
              <w:jc w:val="center"/>
              <w:rPr>
                <w:rFonts w:ascii="仿宋_GB2312" w:eastAsia="仿宋_GB2312"/>
              </w:rPr>
            </w:pPr>
            <w:r>
              <w:rPr>
                <w:rFonts w:hint="eastAsia" w:ascii="仿宋_GB2312" w:eastAsia="仿宋_GB2312"/>
              </w:rPr>
              <w:t>预算</w:t>
            </w:r>
          </w:p>
          <w:p w14:paraId="4094EF81">
            <w:pPr>
              <w:spacing w:line="320" w:lineRule="exact"/>
              <w:jc w:val="center"/>
              <w:rPr>
                <w:rFonts w:ascii="仿宋_GB2312" w:eastAsia="仿宋_GB2312"/>
              </w:rPr>
            </w:pPr>
            <w:r>
              <w:rPr>
                <w:rFonts w:hint="eastAsia" w:ascii="仿宋_GB2312" w:eastAsia="仿宋_GB2312"/>
              </w:rPr>
              <w:t>管理</w:t>
            </w:r>
          </w:p>
        </w:tc>
        <w:tc>
          <w:tcPr>
            <w:tcW w:w="951" w:type="dxa"/>
            <w:tcMar>
              <w:top w:w="10" w:type="dxa"/>
              <w:left w:w="10" w:type="dxa"/>
              <w:bottom w:w="0" w:type="dxa"/>
              <w:right w:w="10" w:type="dxa"/>
            </w:tcMar>
            <w:vAlign w:val="center"/>
          </w:tcPr>
          <w:p w14:paraId="5249A13B">
            <w:pPr>
              <w:spacing w:line="320" w:lineRule="exact"/>
              <w:jc w:val="center"/>
              <w:rPr>
                <w:rFonts w:ascii="仿宋_GB2312" w:eastAsia="仿宋_GB2312"/>
              </w:rPr>
            </w:pPr>
            <w:r>
              <w:rPr>
                <w:rFonts w:hint="eastAsia" w:ascii="仿宋_GB2312" w:eastAsia="仿宋_GB2312"/>
              </w:rPr>
              <w:t>基础信息</w:t>
            </w:r>
          </w:p>
          <w:p w14:paraId="7892B177">
            <w:pPr>
              <w:spacing w:line="320" w:lineRule="exact"/>
              <w:jc w:val="center"/>
              <w:rPr>
                <w:rFonts w:ascii="仿宋_GB2312" w:eastAsia="仿宋_GB2312"/>
              </w:rPr>
            </w:pPr>
            <w:r>
              <w:rPr>
                <w:rFonts w:hint="eastAsia" w:ascii="仿宋_GB2312" w:eastAsia="仿宋_GB2312"/>
              </w:rPr>
              <w:t>完善性</w:t>
            </w:r>
          </w:p>
          <w:p w14:paraId="664D7123">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322E0CFC">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部门基础信息是否完善，用以反映和考核基础信息对预算管理工作的支撑情况。</w:t>
            </w:r>
          </w:p>
        </w:tc>
        <w:tc>
          <w:tcPr>
            <w:tcW w:w="4238" w:type="dxa"/>
            <w:tcMar>
              <w:top w:w="10" w:type="dxa"/>
              <w:left w:w="10" w:type="dxa"/>
              <w:bottom w:w="0" w:type="dxa"/>
              <w:right w:w="10" w:type="dxa"/>
            </w:tcMar>
            <w:vAlign w:val="center"/>
          </w:tcPr>
          <w:p w14:paraId="7F36C503">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4853AACB">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基础数据信息和会计信息资料是否真实；</w:t>
            </w:r>
          </w:p>
          <w:p w14:paraId="14AE2C1B">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基础数据信息和会计信息资料是否完整；</w:t>
            </w:r>
          </w:p>
          <w:p w14:paraId="76603B83">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基础数据信息和会计信息资料是否准确。</w:t>
            </w:r>
          </w:p>
        </w:tc>
        <w:tc>
          <w:tcPr>
            <w:tcW w:w="577" w:type="dxa"/>
          </w:tcPr>
          <w:p w14:paraId="3763AB5C">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14:paraId="01CC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9" w:hRule="atLeast"/>
          <w:jc w:val="center"/>
        </w:trPr>
        <w:tc>
          <w:tcPr>
            <w:tcW w:w="666" w:type="dxa"/>
            <w:vMerge w:val="continue"/>
            <w:noWrap/>
            <w:tcMar>
              <w:top w:w="10" w:type="dxa"/>
              <w:left w:w="10" w:type="dxa"/>
              <w:bottom w:w="0" w:type="dxa"/>
              <w:right w:w="10" w:type="dxa"/>
            </w:tcMar>
            <w:textDirection w:val="tbRlV"/>
            <w:vAlign w:val="center"/>
          </w:tcPr>
          <w:p w14:paraId="3C47E702">
            <w:pPr>
              <w:spacing w:line="320" w:lineRule="exact"/>
              <w:jc w:val="center"/>
              <w:rPr>
                <w:rFonts w:ascii="仿宋_GB2312" w:eastAsia="仿宋_GB2312"/>
              </w:rPr>
            </w:pPr>
          </w:p>
        </w:tc>
        <w:tc>
          <w:tcPr>
            <w:tcW w:w="866" w:type="dxa"/>
            <w:vMerge w:val="restart"/>
            <w:tcMar>
              <w:top w:w="10" w:type="dxa"/>
              <w:left w:w="10" w:type="dxa"/>
              <w:bottom w:w="0" w:type="dxa"/>
              <w:right w:w="10" w:type="dxa"/>
            </w:tcMar>
            <w:vAlign w:val="center"/>
          </w:tcPr>
          <w:p w14:paraId="5F7F4627">
            <w:pPr>
              <w:spacing w:line="320" w:lineRule="exact"/>
              <w:jc w:val="center"/>
              <w:rPr>
                <w:rFonts w:ascii="仿宋_GB2312" w:eastAsia="仿宋_GB2312"/>
                <w:lang w:eastAsia="zh-CN"/>
              </w:rPr>
            </w:pPr>
            <w:r>
              <w:rPr>
                <w:rFonts w:hint="eastAsia" w:ascii="仿宋_GB2312" w:eastAsia="仿宋_GB2312"/>
              </w:rPr>
              <w:t>资产</w:t>
            </w:r>
          </w:p>
          <w:p w14:paraId="471BEC7C">
            <w:pPr>
              <w:spacing w:line="320" w:lineRule="exact"/>
              <w:jc w:val="center"/>
              <w:rPr>
                <w:rFonts w:ascii="仿宋_GB2312" w:eastAsia="仿宋_GB2312"/>
              </w:rPr>
            </w:pPr>
            <w:r>
              <w:rPr>
                <w:rFonts w:hint="eastAsia" w:ascii="仿宋_GB2312" w:eastAsia="仿宋_GB2312"/>
              </w:rPr>
              <w:t>管理</w:t>
            </w:r>
          </w:p>
          <w:p w14:paraId="72A922B8">
            <w:pPr>
              <w:spacing w:line="320" w:lineRule="exact"/>
              <w:jc w:val="center"/>
              <w:rPr>
                <w:rFonts w:ascii="仿宋_GB2312" w:eastAsia="仿宋_GB2312"/>
              </w:rPr>
            </w:pPr>
            <w:r>
              <w:rPr>
                <w:rFonts w:hint="eastAsia" w:ascii="仿宋_GB2312" w:eastAsia="仿宋_GB2312"/>
              </w:rPr>
              <w:t>（4分）</w:t>
            </w:r>
          </w:p>
        </w:tc>
        <w:tc>
          <w:tcPr>
            <w:tcW w:w="951" w:type="dxa"/>
            <w:tcMar>
              <w:top w:w="10" w:type="dxa"/>
              <w:left w:w="10" w:type="dxa"/>
              <w:bottom w:w="0" w:type="dxa"/>
              <w:right w:w="10" w:type="dxa"/>
            </w:tcMar>
            <w:vAlign w:val="center"/>
          </w:tcPr>
          <w:p w14:paraId="327D7BB4">
            <w:pPr>
              <w:spacing w:line="320" w:lineRule="exact"/>
              <w:jc w:val="center"/>
              <w:rPr>
                <w:rFonts w:ascii="仿宋_GB2312" w:eastAsia="仿宋_GB2312"/>
              </w:rPr>
            </w:pPr>
            <w:r>
              <w:rPr>
                <w:rFonts w:hint="eastAsia" w:ascii="仿宋_GB2312" w:eastAsia="仿宋_GB2312"/>
              </w:rPr>
              <w:t>管理制度</w:t>
            </w:r>
          </w:p>
          <w:p w14:paraId="65AE8A8D">
            <w:pPr>
              <w:spacing w:line="320" w:lineRule="exact"/>
              <w:jc w:val="center"/>
              <w:rPr>
                <w:rFonts w:ascii="仿宋_GB2312" w:eastAsia="仿宋_GB2312"/>
              </w:rPr>
            </w:pPr>
            <w:r>
              <w:rPr>
                <w:rFonts w:hint="eastAsia" w:ascii="仿宋_GB2312" w:eastAsia="仿宋_GB2312"/>
              </w:rPr>
              <w:t>健全性</w:t>
            </w:r>
          </w:p>
          <w:p w14:paraId="55E72DCD">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1FDDAEC3">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部门为加强资产管理、规范资产管理行为而制定的管理制度是否健全完整，用以反映和考核部门资产管理制度对完成主要职责或促进社会发展的保障情况。</w:t>
            </w:r>
          </w:p>
        </w:tc>
        <w:tc>
          <w:tcPr>
            <w:tcW w:w="4238" w:type="dxa"/>
            <w:tcMar>
              <w:top w:w="10" w:type="dxa"/>
              <w:left w:w="10" w:type="dxa"/>
              <w:bottom w:w="0" w:type="dxa"/>
              <w:right w:w="10" w:type="dxa"/>
            </w:tcMar>
            <w:vAlign w:val="center"/>
          </w:tcPr>
          <w:p w14:paraId="69E89457">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5E904270">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 xml:space="preserve">是否已制定或具有资产管理制度；           </w:t>
            </w:r>
            <w:r>
              <w:rPr>
                <w:rFonts w:hint="eastAsia" w:ascii="仿宋_GB2312" w:hAnsi="宋体" w:eastAsia="仿宋_GB2312" w:cs="宋体"/>
              </w:rPr>
              <w:t>②</w:t>
            </w:r>
            <w:r>
              <w:rPr>
                <w:rFonts w:hint="eastAsia" w:ascii="仿宋_GB2312" w:eastAsia="仿宋_GB2312"/>
              </w:rPr>
              <w:t>相关资金管理制度是否合法、合规、完整；</w:t>
            </w:r>
          </w:p>
          <w:p w14:paraId="10C1271C">
            <w:pPr>
              <w:spacing w:line="320" w:lineRule="exact"/>
              <w:ind w:left="105" w:leftChars="50" w:right="105" w:rightChars="50"/>
              <w:rPr>
                <w:rFonts w:ascii="仿宋_GB2312" w:eastAsia="仿宋_GB2312"/>
              </w:rPr>
            </w:pPr>
            <w:r>
              <w:rPr>
                <w:rFonts w:hint="eastAsia" w:ascii="仿宋_GB2312" w:hAnsi="宋体" w:eastAsia="仿宋_GB2312" w:cs="宋体"/>
              </w:rPr>
              <w:t>③</w:t>
            </w:r>
            <w:r>
              <w:rPr>
                <w:rFonts w:hint="eastAsia" w:ascii="仿宋_GB2312" w:eastAsia="仿宋_GB2312"/>
              </w:rPr>
              <w:t>相关资产管理制度是否得到有效执行。</w:t>
            </w:r>
          </w:p>
        </w:tc>
        <w:tc>
          <w:tcPr>
            <w:tcW w:w="577" w:type="dxa"/>
          </w:tcPr>
          <w:p w14:paraId="44E606CC">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14:paraId="044A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7" w:hRule="atLeast"/>
          <w:jc w:val="center"/>
        </w:trPr>
        <w:tc>
          <w:tcPr>
            <w:tcW w:w="666" w:type="dxa"/>
            <w:vMerge w:val="continue"/>
            <w:vAlign w:val="center"/>
          </w:tcPr>
          <w:p w14:paraId="08282B42">
            <w:pPr>
              <w:spacing w:line="320" w:lineRule="exact"/>
              <w:jc w:val="center"/>
              <w:rPr>
                <w:rFonts w:ascii="仿宋_GB2312" w:eastAsia="仿宋_GB2312"/>
              </w:rPr>
            </w:pPr>
          </w:p>
        </w:tc>
        <w:tc>
          <w:tcPr>
            <w:tcW w:w="866" w:type="dxa"/>
            <w:vMerge w:val="continue"/>
            <w:vAlign w:val="center"/>
          </w:tcPr>
          <w:p w14:paraId="07A7EA6E">
            <w:pPr>
              <w:spacing w:line="320" w:lineRule="exact"/>
              <w:jc w:val="center"/>
              <w:rPr>
                <w:rFonts w:ascii="仿宋_GB2312" w:eastAsia="仿宋_GB2312"/>
              </w:rPr>
            </w:pPr>
          </w:p>
        </w:tc>
        <w:tc>
          <w:tcPr>
            <w:tcW w:w="951" w:type="dxa"/>
            <w:tcMar>
              <w:top w:w="10" w:type="dxa"/>
              <w:left w:w="10" w:type="dxa"/>
              <w:bottom w:w="0" w:type="dxa"/>
              <w:right w:w="10" w:type="dxa"/>
            </w:tcMar>
            <w:vAlign w:val="center"/>
          </w:tcPr>
          <w:p w14:paraId="6EBDC15A">
            <w:pPr>
              <w:spacing w:line="320" w:lineRule="exact"/>
              <w:jc w:val="center"/>
              <w:rPr>
                <w:rFonts w:ascii="仿宋_GB2312" w:eastAsia="仿宋_GB2312"/>
              </w:rPr>
            </w:pPr>
            <w:r>
              <w:rPr>
                <w:rFonts w:hint="eastAsia" w:ascii="仿宋_GB2312" w:eastAsia="仿宋_GB2312"/>
              </w:rPr>
              <w:t>资产管理</w:t>
            </w:r>
          </w:p>
          <w:p w14:paraId="1869B67E">
            <w:pPr>
              <w:spacing w:line="320" w:lineRule="exact"/>
              <w:jc w:val="center"/>
              <w:rPr>
                <w:rFonts w:ascii="仿宋_GB2312" w:eastAsia="仿宋_GB2312"/>
              </w:rPr>
            </w:pPr>
            <w:r>
              <w:rPr>
                <w:rFonts w:hint="eastAsia" w:ascii="仿宋_GB2312" w:eastAsia="仿宋_GB2312"/>
              </w:rPr>
              <w:t>安全性</w:t>
            </w:r>
          </w:p>
          <w:p w14:paraId="6F83D111">
            <w:pPr>
              <w:spacing w:line="320" w:lineRule="exact"/>
              <w:jc w:val="center"/>
              <w:rPr>
                <w:rFonts w:ascii="仿宋_GB2312" w:eastAsia="仿宋_GB2312"/>
              </w:rPr>
            </w:pPr>
            <w:r>
              <w:rPr>
                <w:rFonts w:hint="eastAsia" w:ascii="仿宋_GB2312" w:eastAsia="仿宋_GB2312"/>
              </w:rPr>
              <w:t>（1分）</w:t>
            </w:r>
          </w:p>
        </w:tc>
        <w:tc>
          <w:tcPr>
            <w:tcW w:w="2871" w:type="dxa"/>
            <w:tcMar>
              <w:top w:w="10" w:type="dxa"/>
              <w:left w:w="10" w:type="dxa"/>
              <w:bottom w:w="0" w:type="dxa"/>
              <w:right w:w="10" w:type="dxa"/>
            </w:tcMar>
            <w:vAlign w:val="center"/>
          </w:tcPr>
          <w:p w14:paraId="7688A34E">
            <w:pPr>
              <w:tabs>
                <w:tab w:val="left" w:pos="761"/>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部门的资产是否保存完整、使用合规、配置合理、处置规范、收入及时足额上缴，用以反映和考核部门资产安全运行情况。</w:t>
            </w:r>
          </w:p>
        </w:tc>
        <w:tc>
          <w:tcPr>
            <w:tcW w:w="4238" w:type="dxa"/>
            <w:tcMar>
              <w:top w:w="10" w:type="dxa"/>
              <w:left w:w="10" w:type="dxa"/>
              <w:bottom w:w="0" w:type="dxa"/>
              <w:right w:w="10" w:type="dxa"/>
            </w:tcMar>
            <w:vAlign w:val="center"/>
          </w:tcPr>
          <w:p w14:paraId="7743BBC8">
            <w:pPr>
              <w:spacing w:line="320" w:lineRule="exact"/>
              <w:ind w:left="105" w:leftChars="50" w:right="105" w:rightChars="50"/>
              <w:rPr>
                <w:rFonts w:ascii="仿宋_GB2312" w:eastAsia="仿宋_GB2312"/>
                <w:lang w:eastAsia="zh-CN"/>
              </w:rPr>
            </w:pPr>
            <w:r>
              <w:rPr>
                <w:rFonts w:hint="eastAsia" w:ascii="仿宋_GB2312" w:eastAsia="仿宋_GB2312"/>
              </w:rPr>
              <w:t>评价要点：</w:t>
            </w:r>
          </w:p>
          <w:p w14:paraId="42DE91D3">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①</w:t>
            </w:r>
            <w:r>
              <w:rPr>
                <w:rFonts w:hint="eastAsia" w:ascii="仿宋_GB2312" w:eastAsia="仿宋_GB2312"/>
              </w:rPr>
              <w:t>资产保存是否完整；</w:t>
            </w:r>
          </w:p>
          <w:p w14:paraId="45BFEA5F">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②</w:t>
            </w:r>
            <w:r>
              <w:rPr>
                <w:rFonts w:hint="eastAsia" w:ascii="仿宋_GB2312" w:eastAsia="仿宋_GB2312"/>
              </w:rPr>
              <w:t>资产配置是否合理；</w:t>
            </w:r>
          </w:p>
          <w:p w14:paraId="5ECE2E4A">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③</w:t>
            </w:r>
            <w:r>
              <w:rPr>
                <w:rFonts w:hint="eastAsia" w:ascii="仿宋_GB2312" w:eastAsia="仿宋_GB2312"/>
              </w:rPr>
              <w:t>资产处置是否规范；</w:t>
            </w:r>
          </w:p>
          <w:p w14:paraId="765F9AB0">
            <w:pPr>
              <w:spacing w:line="320" w:lineRule="exact"/>
              <w:ind w:left="105" w:leftChars="50" w:right="105" w:rightChars="50"/>
              <w:rPr>
                <w:rFonts w:ascii="仿宋_GB2312" w:eastAsia="仿宋_GB2312"/>
                <w:lang w:eastAsia="zh-CN"/>
              </w:rPr>
            </w:pPr>
            <w:r>
              <w:rPr>
                <w:rFonts w:hint="eastAsia" w:ascii="仿宋_GB2312" w:hAnsi="宋体" w:eastAsia="仿宋_GB2312" w:cs="宋体"/>
              </w:rPr>
              <w:t>④</w:t>
            </w:r>
            <w:r>
              <w:rPr>
                <w:rFonts w:hint="eastAsia" w:ascii="仿宋_GB2312" w:eastAsia="仿宋_GB2312"/>
              </w:rPr>
              <w:t>资产账务管理是否合规，是否</w:t>
            </w:r>
            <w:r>
              <w:rPr>
                <w:rFonts w:hint="eastAsia" w:ascii="仿宋_GB2312" w:eastAsia="仿宋_GB2312"/>
                <w:lang w:eastAsia="zh-CN"/>
              </w:rPr>
              <w:t>账实相符</w:t>
            </w:r>
            <w:r>
              <w:rPr>
                <w:rFonts w:hint="eastAsia" w:ascii="仿宋_GB2312" w:eastAsia="仿宋_GB2312"/>
              </w:rPr>
              <w:t>；</w:t>
            </w:r>
          </w:p>
          <w:p w14:paraId="4721411F">
            <w:pPr>
              <w:spacing w:line="320" w:lineRule="exact"/>
              <w:ind w:left="105" w:leftChars="50" w:right="105" w:rightChars="50"/>
              <w:rPr>
                <w:rFonts w:ascii="仿宋_GB2312" w:eastAsia="仿宋_GB2312"/>
              </w:rPr>
            </w:pPr>
            <w:r>
              <w:rPr>
                <w:rFonts w:hint="eastAsia" w:ascii="仿宋_GB2312" w:hAnsi="宋体" w:eastAsia="仿宋_GB2312" w:cs="宋体"/>
              </w:rPr>
              <w:t>⑤</w:t>
            </w:r>
            <w:r>
              <w:rPr>
                <w:rFonts w:hint="eastAsia" w:ascii="仿宋_GB2312" w:eastAsia="仿宋_GB2312"/>
              </w:rPr>
              <w:t>资产是否有偿使用及处置收入及时足额上缴。</w:t>
            </w:r>
          </w:p>
        </w:tc>
        <w:tc>
          <w:tcPr>
            <w:tcW w:w="577" w:type="dxa"/>
          </w:tcPr>
          <w:p w14:paraId="06A22B38">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1</w:t>
            </w:r>
          </w:p>
        </w:tc>
      </w:tr>
      <w:tr w14:paraId="590A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jc w:val="center"/>
        </w:trPr>
        <w:tc>
          <w:tcPr>
            <w:tcW w:w="666" w:type="dxa"/>
            <w:vMerge w:val="continue"/>
            <w:vAlign w:val="center"/>
          </w:tcPr>
          <w:p w14:paraId="4372A46F">
            <w:pPr>
              <w:spacing w:line="320" w:lineRule="exact"/>
              <w:rPr>
                <w:rFonts w:ascii="仿宋_GB2312" w:eastAsia="仿宋_GB2312"/>
              </w:rPr>
            </w:pPr>
          </w:p>
        </w:tc>
        <w:tc>
          <w:tcPr>
            <w:tcW w:w="866" w:type="dxa"/>
            <w:vMerge w:val="continue"/>
            <w:vAlign w:val="center"/>
          </w:tcPr>
          <w:p w14:paraId="3DD9B051">
            <w:pPr>
              <w:spacing w:line="320" w:lineRule="exact"/>
              <w:rPr>
                <w:rFonts w:ascii="仿宋_GB2312" w:eastAsia="仿宋_GB2312"/>
              </w:rPr>
            </w:pPr>
          </w:p>
        </w:tc>
        <w:tc>
          <w:tcPr>
            <w:tcW w:w="951" w:type="dxa"/>
            <w:tcMar>
              <w:top w:w="10" w:type="dxa"/>
              <w:left w:w="10" w:type="dxa"/>
              <w:bottom w:w="0" w:type="dxa"/>
              <w:right w:w="10" w:type="dxa"/>
            </w:tcMar>
            <w:vAlign w:val="center"/>
          </w:tcPr>
          <w:p w14:paraId="58BC932E">
            <w:pPr>
              <w:spacing w:line="320" w:lineRule="exact"/>
              <w:jc w:val="center"/>
              <w:rPr>
                <w:rFonts w:ascii="仿宋_GB2312" w:eastAsia="仿宋_GB2312"/>
              </w:rPr>
            </w:pPr>
            <w:r>
              <w:rPr>
                <w:rFonts w:hint="eastAsia" w:ascii="仿宋_GB2312" w:eastAsia="仿宋_GB2312"/>
              </w:rPr>
              <w:t>固定资产</w:t>
            </w:r>
          </w:p>
          <w:p w14:paraId="19631D0B">
            <w:pPr>
              <w:spacing w:line="320" w:lineRule="exact"/>
              <w:jc w:val="center"/>
              <w:rPr>
                <w:rFonts w:ascii="仿宋_GB2312" w:eastAsia="仿宋_GB2312"/>
              </w:rPr>
            </w:pPr>
            <w:r>
              <w:rPr>
                <w:rFonts w:hint="eastAsia" w:ascii="仿宋_GB2312" w:eastAsia="仿宋_GB2312"/>
              </w:rPr>
              <w:t>利用率</w:t>
            </w:r>
          </w:p>
          <w:p w14:paraId="6DAC570F">
            <w:pPr>
              <w:spacing w:line="320" w:lineRule="exact"/>
              <w:jc w:val="center"/>
              <w:rPr>
                <w:rFonts w:ascii="仿宋_GB2312" w:eastAsia="仿宋_GB2312"/>
              </w:rPr>
            </w:pPr>
            <w:r>
              <w:rPr>
                <w:rFonts w:hint="eastAsia" w:ascii="仿宋_GB2312" w:eastAsia="仿宋_GB2312"/>
              </w:rPr>
              <w:t>（1分）</w:t>
            </w:r>
          </w:p>
        </w:tc>
        <w:tc>
          <w:tcPr>
            <w:tcW w:w="2871" w:type="dxa"/>
            <w:tcMar>
              <w:top w:w="10" w:type="dxa"/>
              <w:left w:w="10" w:type="dxa"/>
              <w:bottom w:w="0" w:type="dxa"/>
              <w:right w:w="10" w:type="dxa"/>
            </w:tcMar>
            <w:vAlign w:val="center"/>
          </w:tcPr>
          <w:p w14:paraId="29BD5FBF">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部门实际在用固定资产总额与所有固定资产总额的比率，用以反映和考核部门固定资产使用效率程度。</w:t>
            </w:r>
          </w:p>
        </w:tc>
        <w:tc>
          <w:tcPr>
            <w:tcW w:w="4238" w:type="dxa"/>
            <w:tcMar>
              <w:top w:w="10" w:type="dxa"/>
              <w:left w:w="10" w:type="dxa"/>
              <w:bottom w:w="0" w:type="dxa"/>
              <w:right w:w="10" w:type="dxa"/>
            </w:tcMar>
            <w:vAlign w:val="center"/>
          </w:tcPr>
          <w:p w14:paraId="33B54B2A">
            <w:pPr>
              <w:spacing w:line="320" w:lineRule="exact"/>
              <w:ind w:left="105" w:leftChars="50" w:right="105" w:rightChars="50"/>
              <w:rPr>
                <w:rFonts w:ascii="仿宋_GB2312" w:eastAsia="仿宋_GB2312"/>
              </w:rPr>
            </w:pPr>
            <w:r>
              <w:rPr>
                <w:rFonts w:hint="eastAsia" w:ascii="仿宋_GB2312" w:eastAsia="仿宋_GB2312"/>
              </w:rPr>
              <w:t>固定资产利用率=（实际在用固定资产总额/所有固定资产总额）×100%。</w:t>
            </w:r>
          </w:p>
        </w:tc>
        <w:tc>
          <w:tcPr>
            <w:tcW w:w="577" w:type="dxa"/>
          </w:tcPr>
          <w:p w14:paraId="45EBFA5C">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1</w:t>
            </w:r>
          </w:p>
        </w:tc>
      </w:tr>
      <w:tr w14:paraId="5764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9" w:hRule="atLeast"/>
          <w:jc w:val="center"/>
        </w:trPr>
        <w:tc>
          <w:tcPr>
            <w:tcW w:w="666" w:type="dxa"/>
            <w:noWrap/>
            <w:tcMar>
              <w:top w:w="10" w:type="dxa"/>
              <w:left w:w="10" w:type="dxa"/>
              <w:bottom w:w="0" w:type="dxa"/>
              <w:right w:w="10" w:type="dxa"/>
            </w:tcMar>
            <w:vAlign w:val="center"/>
          </w:tcPr>
          <w:p w14:paraId="531D5521">
            <w:pPr>
              <w:spacing w:line="320" w:lineRule="exact"/>
              <w:jc w:val="center"/>
              <w:rPr>
                <w:rFonts w:ascii="仿宋_GB2312" w:eastAsia="仿宋_GB2312"/>
              </w:rPr>
            </w:pPr>
            <w:r>
              <w:rPr>
                <w:rFonts w:hint="eastAsia" w:ascii="仿宋_GB2312" w:eastAsia="仿宋_GB2312"/>
              </w:rPr>
              <w:t>产   出</w:t>
            </w:r>
          </w:p>
          <w:p w14:paraId="5DEA3CE2">
            <w:pPr>
              <w:spacing w:line="320" w:lineRule="exact"/>
              <w:jc w:val="center"/>
              <w:rPr>
                <w:rFonts w:ascii="仿宋_GB2312" w:eastAsia="仿宋_GB2312"/>
              </w:rPr>
            </w:pPr>
            <w:r>
              <w:rPr>
                <w:rFonts w:hint="eastAsia" w:ascii="仿宋_GB2312" w:eastAsia="仿宋_GB2312"/>
              </w:rPr>
              <w:t>（10分）</w:t>
            </w:r>
          </w:p>
        </w:tc>
        <w:tc>
          <w:tcPr>
            <w:tcW w:w="866" w:type="dxa"/>
            <w:tcMar>
              <w:top w:w="10" w:type="dxa"/>
              <w:left w:w="10" w:type="dxa"/>
              <w:bottom w:w="0" w:type="dxa"/>
              <w:right w:w="10" w:type="dxa"/>
            </w:tcMar>
            <w:vAlign w:val="center"/>
          </w:tcPr>
          <w:p w14:paraId="7D9D1682">
            <w:pPr>
              <w:spacing w:line="320" w:lineRule="exact"/>
              <w:jc w:val="center"/>
              <w:rPr>
                <w:rFonts w:ascii="仿宋_GB2312" w:eastAsia="仿宋_GB2312"/>
                <w:lang w:eastAsia="zh-CN"/>
              </w:rPr>
            </w:pPr>
            <w:r>
              <w:rPr>
                <w:rFonts w:hint="eastAsia" w:ascii="仿宋_GB2312" w:eastAsia="仿宋_GB2312"/>
              </w:rPr>
              <w:t>职责</w:t>
            </w:r>
          </w:p>
          <w:p w14:paraId="029DC6E2">
            <w:pPr>
              <w:spacing w:line="320" w:lineRule="exact"/>
              <w:jc w:val="center"/>
              <w:rPr>
                <w:rFonts w:ascii="仿宋_GB2312" w:eastAsia="仿宋_GB2312"/>
              </w:rPr>
            </w:pPr>
            <w:r>
              <w:rPr>
                <w:rFonts w:hint="eastAsia" w:ascii="仿宋_GB2312" w:eastAsia="仿宋_GB2312"/>
              </w:rPr>
              <w:t>履行</w:t>
            </w:r>
          </w:p>
          <w:p w14:paraId="331A983D">
            <w:pPr>
              <w:spacing w:line="320" w:lineRule="exact"/>
              <w:jc w:val="center"/>
              <w:rPr>
                <w:rFonts w:ascii="仿宋_GB2312" w:eastAsia="仿宋_GB2312"/>
              </w:rPr>
            </w:pPr>
            <w:r>
              <w:rPr>
                <w:rFonts w:hint="eastAsia" w:ascii="仿宋_GB2312" w:eastAsia="仿宋_GB2312"/>
              </w:rPr>
              <w:t>（10分</w:t>
            </w:r>
          </w:p>
        </w:tc>
        <w:tc>
          <w:tcPr>
            <w:tcW w:w="951" w:type="dxa"/>
            <w:tcMar>
              <w:top w:w="10" w:type="dxa"/>
              <w:left w:w="10" w:type="dxa"/>
              <w:bottom w:w="0" w:type="dxa"/>
              <w:right w:w="10" w:type="dxa"/>
            </w:tcMar>
            <w:vAlign w:val="center"/>
          </w:tcPr>
          <w:p w14:paraId="478FD45F">
            <w:pPr>
              <w:spacing w:line="320" w:lineRule="exact"/>
              <w:jc w:val="center"/>
              <w:rPr>
                <w:rFonts w:ascii="仿宋_GB2312" w:eastAsia="仿宋_GB2312"/>
              </w:rPr>
            </w:pPr>
            <w:r>
              <w:rPr>
                <w:rFonts w:hint="eastAsia" w:ascii="仿宋_GB2312" w:eastAsia="仿宋_GB2312"/>
              </w:rPr>
              <w:t>实际</w:t>
            </w:r>
          </w:p>
          <w:p w14:paraId="119BCD65">
            <w:pPr>
              <w:spacing w:line="320" w:lineRule="exact"/>
              <w:jc w:val="center"/>
              <w:rPr>
                <w:rFonts w:ascii="仿宋_GB2312" w:eastAsia="仿宋_GB2312"/>
              </w:rPr>
            </w:pPr>
            <w:r>
              <w:rPr>
                <w:rFonts w:hint="eastAsia" w:ascii="仿宋_GB2312" w:eastAsia="仿宋_GB2312"/>
              </w:rPr>
              <w:t>完成率</w:t>
            </w:r>
          </w:p>
          <w:p w14:paraId="1405086B">
            <w:pPr>
              <w:spacing w:line="320" w:lineRule="exact"/>
              <w:jc w:val="center"/>
              <w:rPr>
                <w:rFonts w:ascii="仿宋_GB2312" w:eastAsia="仿宋_GB2312"/>
              </w:rPr>
            </w:pPr>
            <w:r>
              <w:rPr>
                <w:rFonts w:hint="eastAsia" w:ascii="仿宋_GB2312" w:eastAsia="仿宋_GB2312"/>
              </w:rPr>
              <w:t>（3分）</w:t>
            </w:r>
          </w:p>
        </w:tc>
        <w:tc>
          <w:tcPr>
            <w:tcW w:w="2871" w:type="dxa"/>
            <w:tcMar>
              <w:top w:w="10" w:type="dxa"/>
              <w:left w:w="10" w:type="dxa"/>
              <w:bottom w:w="0" w:type="dxa"/>
              <w:right w:w="10" w:type="dxa"/>
            </w:tcMar>
            <w:vAlign w:val="center"/>
          </w:tcPr>
          <w:p w14:paraId="0A9D5844">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部门履行职责而实际完成工作数与计划工作数的比率，用以反映和考核部门履职工作任务目标的实现程度。</w:t>
            </w:r>
          </w:p>
        </w:tc>
        <w:tc>
          <w:tcPr>
            <w:tcW w:w="4238" w:type="dxa"/>
            <w:tcMar>
              <w:top w:w="10" w:type="dxa"/>
              <w:left w:w="10" w:type="dxa"/>
              <w:bottom w:w="0" w:type="dxa"/>
              <w:right w:w="10" w:type="dxa"/>
            </w:tcMar>
            <w:vAlign w:val="center"/>
          </w:tcPr>
          <w:p w14:paraId="62BFE86F">
            <w:pPr>
              <w:spacing w:line="320" w:lineRule="exact"/>
              <w:ind w:left="105" w:leftChars="50" w:right="105" w:rightChars="50"/>
              <w:rPr>
                <w:rFonts w:ascii="仿宋_GB2312" w:eastAsia="仿宋_GB2312"/>
                <w:lang w:eastAsia="zh-CN"/>
              </w:rPr>
            </w:pPr>
            <w:r>
              <w:rPr>
                <w:rFonts w:hint="eastAsia" w:ascii="仿宋_GB2312" w:eastAsia="仿宋_GB2312"/>
              </w:rPr>
              <w:t>实际完成率=（实际完成工作数/计划工作数）×100%。</w:t>
            </w:r>
          </w:p>
          <w:p w14:paraId="48ED7CF5">
            <w:pPr>
              <w:spacing w:line="320" w:lineRule="exact"/>
              <w:ind w:left="105" w:leftChars="50" w:right="105" w:rightChars="50"/>
              <w:rPr>
                <w:rFonts w:ascii="仿宋_GB2312" w:eastAsia="仿宋_GB2312"/>
                <w:lang w:eastAsia="zh-CN"/>
              </w:rPr>
            </w:pPr>
            <w:r>
              <w:rPr>
                <w:rFonts w:hint="eastAsia" w:ascii="仿宋_GB2312" w:eastAsia="仿宋_GB2312"/>
              </w:rPr>
              <w:t>实际完成工作数：一定时期（年度或规划期）内部门实际完成工作任务的数量。</w:t>
            </w:r>
          </w:p>
          <w:p w14:paraId="60A72BF6">
            <w:pPr>
              <w:spacing w:line="320" w:lineRule="exact"/>
              <w:ind w:left="105" w:leftChars="50" w:right="105" w:rightChars="50"/>
              <w:rPr>
                <w:rFonts w:ascii="仿宋_GB2312" w:eastAsia="仿宋_GB2312"/>
              </w:rPr>
            </w:pPr>
            <w:r>
              <w:rPr>
                <w:rFonts w:hint="eastAsia" w:ascii="仿宋_GB2312" w:eastAsia="仿宋_GB2312"/>
              </w:rPr>
              <w:t>计划工作数：部门整体绩效目标确定的一定时期（年度或规划期）内预计完成工作任务的数量。</w:t>
            </w:r>
          </w:p>
        </w:tc>
        <w:tc>
          <w:tcPr>
            <w:tcW w:w="577" w:type="dxa"/>
          </w:tcPr>
          <w:p w14:paraId="40826A4E">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3</w:t>
            </w:r>
          </w:p>
        </w:tc>
      </w:tr>
      <w:tr w14:paraId="00AB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5" w:hRule="atLeast"/>
          <w:jc w:val="center"/>
        </w:trPr>
        <w:tc>
          <w:tcPr>
            <w:tcW w:w="666" w:type="dxa"/>
            <w:vMerge w:val="restart"/>
            <w:textDirection w:val="tbRlV"/>
            <w:vAlign w:val="center"/>
          </w:tcPr>
          <w:p w14:paraId="6F069555">
            <w:pPr>
              <w:spacing w:line="320" w:lineRule="exact"/>
              <w:ind w:left="113"/>
              <w:jc w:val="center"/>
              <w:rPr>
                <w:rFonts w:ascii="仿宋_GB2312" w:eastAsia="仿宋_GB2312"/>
              </w:rPr>
            </w:pPr>
            <w:r>
              <w:rPr>
                <w:rFonts w:hint="eastAsia" w:ascii="仿宋_GB2312" w:eastAsia="仿宋_GB2312"/>
              </w:rPr>
              <w:t>产   出</w:t>
            </w:r>
          </w:p>
        </w:tc>
        <w:tc>
          <w:tcPr>
            <w:tcW w:w="866" w:type="dxa"/>
            <w:vMerge w:val="restart"/>
            <w:vAlign w:val="center"/>
          </w:tcPr>
          <w:p w14:paraId="14141F3B">
            <w:pPr>
              <w:spacing w:line="320" w:lineRule="exact"/>
              <w:jc w:val="center"/>
              <w:rPr>
                <w:rFonts w:ascii="仿宋_GB2312" w:eastAsia="仿宋_GB2312"/>
                <w:lang w:eastAsia="zh-CN"/>
              </w:rPr>
            </w:pPr>
            <w:r>
              <w:rPr>
                <w:rFonts w:hint="eastAsia" w:ascii="仿宋_GB2312" w:eastAsia="仿宋_GB2312"/>
              </w:rPr>
              <w:t>职责</w:t>
            </w:r>
          </w:p>
          <w:p w14:paraId="448F7C91">
            <w:pPr>
              <w:spacing w:line="320" w:lineRule="exact"/>
              <w:jc w:val="center"/>
              <w:rPr>
                <w:rFonts w:ascii="仿宋_GB2312" w:eastAsia="仿宋_GB2312"/>
              </w:rPr>
            </w:pPr>
            <w:r>
              <w:rPr>
                <w:rFonts w:hint="eastAsia" w:ascii="仿宋_GB2312" w:eastAsia="仿宋_GB2312"/>
              </w:rPr>
              <w:t>履行</w:t>
            </w:r>
          </w:p>
        </w:tc>
        <w:tc>
          <w:tcPr>
            <w:tcW w:w="951" w:type="dxa"/>
            <w:tcMar>
              <w:top w:w="10" w:type="dxa"/>
              <w:left w:w="10" w:type="dxa"/>
              <w:bottom w:w="0" w:type="dxa"/>
              <w:right w:w="10" w:type="dxa"/>
            </w:tcMar>
            <w:vAlign w:val="center"/>
          </w:tcPr>
          <w:p w14:paraId="336F7DAB">
            <w:pPr>
              <w:spacing w:line="320" w:lineRule="exact"/>
              <w:jc w:val="center"/>
              <w:rPr>
                <w:rFonts w:ascii="仿宋_GB2312" w:eastAsia="仿宋_GB2312"/>
              </w:rPr>
            </w:pPr>
            <w:r>
              <w:rPr>
                <w:rFonts w:hint="eastAsia" w:ascii="仿宋_GB2312" w:eastAsia="仿宋_GB2312"/>
              </w:rPr>
              <w:t>完成</w:t>
            </w:r>
          </w:p>
          <w:p w14:paraId="0623ECDB">
            <w:pPr>
              <w:spacing w:line="320" w:lineRule="exact"/>
              <w:jc w:val="center"/>
              <w:rPr>
                <w:rFonts w:ascii="仿宋_GB2312" w:eastAsia="仿宋_GB2312"/>
              </w:rPr>
            </w:pPr>
            <w:r>
              <w:rPr>
                <w:rFonts w:hint="eastAsia" w:ascii="仿宋_GB2312" w:eastAsia="仿宋_GB2312"/>
              </w:rPr>
              <w:t>及时率</w:t>
            </w:r>
          </w:p>
          <w:p w14:paraId="7838B70B">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521B6E54">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部门在规定时限内及时完成的实际工作数与计划工作数的比率,用以反映和考核部门履职时效目标的实现程度。</w:t>
            </w:r>
          </w:p>
        </w:tc>
        <w:tc>
          <w:tcPr>
            <w:tcW w:w="4238" w:type="dxa"/>
            <w:tcMar>
              <w:top w:w="10" w:type="dxa"/>
              <w:left w:w="10" w:type="dxa"/>
              <w:bottom w:w="0" w:type="dxa"/>
              <w:right w:w="10" w:type="dxa"/>
            </w:tcMar>
            <w:vAlign w:val="center"/>
          </w:tcPr>
          <w:p w14:paraId="0A1BD8EE">
            <w:pPr>
              <w:spacing w:line="320" w:lineRule="exact"/>
              <w:ind w:left="105" w:leftChars="50" w:right="105" w:rightChars="50"/>
              <w:rPr>
                <w:rFonts w:ascii="仿宋_GB2312" w:eastAsia="仿宋_GB2312"/>
                <w:lang w:eastAsia="zh-CN"/>
              </w:rPr>
            </w:pPr>
            <w:r>
              <w:rPr>
                <w:rFonts w:hint="eastAsia" w:ascii="仿宋_GB2312" w:eastAsia="仿宋_GB2312"/>
              </w:rPr>
              <w:t>完成及时率=（及时完成实际工作数/计划工作数）×100%。</w:t>
            </w:r>
          </w:p>
          <w:p w14:paraId="4B879FB4">
            <w:pPr>
              <w:spacing w:line="320" w:lineRule="exact"/>
              <w:ind w:left="105" w:leftChars="50" w:right="105" w:rightChars="50"/>
              <w:rPr>
                <w:rFonts w:ascii="仿宋_GB2312" w:eastAsia="仿宋_GB2312"/>
              </w:rPr>
            </w:pPr>
            <w:r>
              <w:rPr>
                <w:rFonts w:hint="eastAsia" w:ascii="仿宋_GB2312" w:eastAsia="仿宋_GB2312"/>
              </w:rPr>
              <w:t>及时完成实际工作数：部门按照整体绩效目标确定的时限实际完成的工作任务数量。</w:t>
            </w:r>
          </w:p>
        </w:tc>
        <w:tc>
          <w:tcPr>
            <w:tcW w:w="577" w:type="dxa"/>
          </w:tcPr>
          <w:p w14:paraId="000D6E2F">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14:paraId="7F75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666" w:type="dxa"/>
            <w:vMerge w:val="continue"/>
            <w:vAlign w:val="center"/>
          </w:tcPr>
          <w:p w14:paraId="782B6A89">
            <w:pPr>
              <w:spacing w:line="320" w:lineRule="exact"/>
              <w:rPr>
                <w:rFonts w:ascii="仿宋_GB2312" w:eastAsia="仿宋_GB2312"/>
              </w:rPr>
            </w:pPr>
          </w:p>
        </w:tc>
        <w:tc>
          <w:tcPr>
            <w:tcW w:w="866" w:type="dxa"/>
            <w:vMerge w:val="continue"/>
            <w:vAlign w:val="center"/>
          </w:tcPr>
          <w:p w14:paraId="7D6CDA5B">
            <w:pPr>
              <w:spacing w:line="320" w:lineRule="exact"/>
              <w:rPr>
                <w:rFonts w:ascii="仿宋_GB2312" w:eastAsia="仿宋_GB2312"/>
              </w:rPr>
            </w:pPr>
          </w:p>
        </w:tc>
        <w:tc>
          <w:tcPr>
            <w:tcW w:w="951" w:type="dxa"/>
            <w:tcMar>
              <w:top w:w="10" w:type="dxa"/>
              <w:left w:w="10" w:type="dxa"/>
              <w:bottom w:w="0" w:type="dxa"/>
              <w:right w:w="10" w:type="dxa"/>
            </w:tcMar>
            <w:vAlign w:val="center"/>
          </w:tcPr>
          <w:p w14:paraId="52F7B4C3">
            <w:pPr>
              <w:spacing w:line="320" w:lineRule="exact"/>
              <w:jc w:val="center"/>
              <w:rPr>
                <w:rFonts w:ascii="仿宋_GB2312" w:eastAsia="仿宋_GB2312"/>
              </w:rPr>
            </w:pPr>
            <w:r>
              <w:rPr>
                <w:rFonts w:hint="eastAsia" w:ascii="仿宋_GB2312" w:eastAsia="仿宋_GB2312"/>
              </w:rPr>
              <w:t>质量</w:t>
            </w:r>
          </w:p>
          <w:p w14:paraId="304E0BB8">
            <w:pPr>
              <w:spacing w:line="320" w:lineRule="exact"/>
              <w:jc w:val="center"/>
              <w:rPr>
                <w:rFonts w:ascii="仿宋_GB2312" w:eastAsia="仿宋_GB2312"/>
              </w:rPr>
            </w:pPr>
            <w:r>
              <w:rPr>
                <w:rFonts w:hint="eastAsia" w:ascii="仿宋_GB2312" w:eastAsia="仿宋_GB2312"/>
              </w:rPr>
              <w:t>达标率</w:t>
            </w:r>
          </w:p>
          <w:p w14:paraId="2E898071">
            <w:pPr>
              <w:spacing w:line="320" w:lineRule="exact"/>
              <w:jc w:val="center"/>
              <w:rPr>
                <w:rFonts w:ascii="仿宋_GB2312" w:eastAsia="仿宋_GB2312"/>
              </w:rPr>
            </w:pPr>
            <w:r>
              <w:rPr>
                <w:rFonts w:hint="eastAsia" w:ascii="仿宋_GB2312" w:eastAsia="仿宋_GB2312"/>
              </w:rPr>
              <w:t>（2分）</w:t>
            </w:r>
          </w:p>
        </w:tc>
        <w:tc>
          <w:tcPr>
            <w:tcW w:w="2871" w:type="dxa"/>
            <w:tcMar>
              <w:top w:w="10" w:type="dxa"/>
              <w:left w:w="10" w:type="dxa"/>
              <w:bottom w:w="0" w:type="dxa"/>
              <w:right w:w="10" w:type="dxa"/>
            </w:tcMar>
            <w:vAlign w:val="center"/>
          </w:tcPr>
          <w:p w14:paraId="51AD90D5">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达到质量标准（绩效标准值）的实际工作数与计划工作数的比率,用以反映和考核部门履职质量目标的实现程度。</w:t>
            </w:r>
          </w:p>
        </w:tc>
        <w:tc>
          <w:tcPr>
            <w:tcW w:w="4238" w:type="dxa"/>
            <w:tcMar>
              <w:top w:w="10" w:type="dxa"/>
              <w:left w:w="10" w:type="dxa"/>
              <w:bottom w:w="0" w:type="dxa"/>
              <w:right w:w="10" w:type="dxa"/>
            </w:tcMar>
            <w:vAlign w:val="center"/>
          </w:tcPr>
          <w:p w14:paraId="63BB5043">
            <w:pPr>
              <w:spacing w:line="320" w:lineRule="exact"/>
              <w:ind w:left="105" w:leftChars="50" w:right="105" w:rightChars="50"/>
              <w:rPr>
                <w:rFonts w:ascii="仿宋_GB2312" w:eastAsia="仿宋_GB2312"/>
                <w:lang w:eastAsia="zh-CN"/>
              </w:rPr>
            </w:pPr>
            <w:r>
              <w:rPr>
                <w:rFonts w:hint="eastAsia" w:ascii="仿宋_GB2312" w:eastAsia="仿宋_GB2312"/>
              </w:rPr>
              <w:t>质量达标率=（质量达标实际工作数/计划工作数）×100%。</w:t>
            </w:r>
          </w:p>
          <w:p w14:paraId="789CA8CF">
            <w:pPr>
              <w:spacing w:line="320" w:lineRule="exact"/>
              <w:ind w:left="105" w:leftChars="50" w:right="105" w:rightChars="50"/>
              <w:rPr>
                <w:rFonts w:ascii="仿宋_GB2312" w:eastAsia="仿宋_GB2312"/>
              </w:rPr>
            </w:pPr>
            <w:r>
              <w:rPr>
                <w:rFonts w:hint="eastAsia" w:ascii="仿宋_GB2312" w:eastAsia="仿宋_GB2312"/>
              </w:rPr>
              <w:t>质量达标实际工作数：一定时期（年度或规划期）内部门实际完成工作数中达到部门绩效目标要求（绩效标准值）的工作任务数量。</w:t>
            </w:r>
          </w:p>
        </w:tc>
        <w:tc>
          <w:tcPr>
            <w:tcW w:w="577" w:type="dxa"/>
          </w:tcPr>
          <w:p w14:paraId="7BFAB377">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2</w:t>
            </w:r>
          </w:p>
        </w:tc>
      </w:tr>
      <w:tr w14:paraId="0666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jc w:val="center"/>
        </w:trPr>
        <w:tc>
          <w:tcPr>
            <w:tcW w:w="666" w:type="dxa"/>
            <w:vMerge w:val="continue"/>
            <w:vAlign w:val="center"/>
          </w:tcPr>
          <w:p w14:paraId="18E0D651">
            <w:pPr>
              <w:spacing w:line="320" w:lineRule="exact"/>
              <w:rPr>
                <w:rFonts w:ascii="仿宋_GB2312" w:eastAsia="仿宋_GB2312"/>
              </w:rPr>
            </w:pPr>
          </w:p>
        </w:tc>
        <w:tc>
          <w:tcPr>
            <w:tcW w:w="866" w:type="dxa"/>
            <w:vMerge w:val="continue"/>
            <w:vAlign w:val="center"/>
          </w:tcPr>
          <w:p w14:paraId="3BE6CD7A">
            <w:pPr>
              <w:spacing w:line="320" w:lineRule="exact"/>
              <w:rPr>
                <w:rFonts w:ascii="仿宋_GB2312" w:eastAsia="仿宋_GB2312"/>
              </w:rPr>
            </w:pPr>
          </w:p>
        </w:tc>
        <w:tc>
          <w:tcPr>
            <w:tcW w:w="951" w:type="dxa"/>
            <w:tcMar>
              <w:top w:w="10" w:type="dxa"/>
              <w:left w:w="10" w:type="dxa"/>
              <w:bottom w:w="0" w:type="dxa"/>
              <w:right w:w="10" w:type="dxa"/>
            </w:tcMar>
            <w:vAlign w:val="center"/>
          </w:tcPr>
          <w:p w14:paraId="11622B7B">
            <w:pPr>
              <w:spacing w:line="320" w:lineRule="exact"/>
              <w:jc w:val="center"/>
              <w:rPr>
                <w:rFonts w:ascii="仿宋_GB2312" w:eastAsia="仿宋_GB2312"/>
              </w:rPr>
            </w:pPr>
            <w:r>
              <w:rPr>
                <w:rFonts w:hint="eastAsia" w:ascii="仿宋_GB2312" w:eastAsia="仿宋_GB2312"/>
              </w:rPr>
              <w:t>重点工作</w:t>
            </w:r>
          </w:p>
          <w:p w14:paraId="24DBA811">
            <w:pPr>
              <w:spacing w:line="320" w:lineRule="exact"/>
              <w:jc w:val="center"/>
              <w:rPr>
                <w:rFonts w:ascii="仿宋_GB2312" w:eastAsia="仿宋_GB2312"/>
              </w:rPr>
            </w:pPr>
            <w:r>
              <w:rPr>
                <w:rFonts w:hint="eastAsia" w:ascii="仿宋_GB2312" w:eastAsia="仿宋_GB2312"/>
              </w:rPr>
              <w:t>办结率</w:t>
            </w:r>
          </w:p>
          <w:p w14:paraId="63A7E5FE">
            <w:pPr>
              <w:spacing w:line="320" w:lineRule="exact"/>
              <w:jc w:val="center"/>
              <w:rPr>
                <w:rFonts w:ascii="仿宋_GB2312" w:eastAsia="仿宋_GB2312"/>
              </w:rPr>
            </w:pPr>
            <w:r>
              <w:rPr>
                <w:rFonts w:hint="eastAsia" w:ascii="仿宋_GB2312" w:eastAsia="仿宋_GB2312"/>
              </w:rPr>
              <w:t>（3分）</w:t>
            </w:r>
          </w:p>
        </w:tc>
        <w:tc>
          <w:tcPr>
            <w:tcW w:w="2871" w:type="dxa"/>
            <w:tcMar>
              <w:top w:w="10" w:type="dxa"/>
              <w:left w:w="10" w:type="dxa"/>
              <w:bottom w:w="0" w:type="dxa"/>
              <w:right w:w="10" w:type="dxa"/>
            </w:tcMar>
            <w:vAlign w:val="center"/>
          </w:tcPr>
          <w:p w14:paraId="2096FADA">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部门年度重点工作实际完成数与交办或下达数的比率，用以反映部门对重点工作的办理落实程度。</w:t>
            </w:r>
          </w:p>
        </w:tc>
        <w:tc>
          <w:tcPr>
            <w:tcW w:w="4238" w:type="dxa"/>
            <w:tcMar>
              <w:top w:w="10" w:type="dxa"/>
              <w:left w:w="10" w:type="dxa"/>
              <w:bottom w:w="0" w:type="dxa"/>
              <w:right w:w="10" w:type="dxa"/>
            </w:tcMar>
            <w:vAlign w:val="center"/>
          </w:tcPr>
          <w:p w14:paraId="73B2F9C6">
            <w:pPr>
              <w:spacing w:line="320" w:lineRule="exact"/>
              <w:ind w:left="105" w:leftChars="50" w:right="105" w:rightChars="50"/>
              <w:rPr>
                <w:rFonts w:ascii="仿宋_GB2312" w:eastAsia="仿宋_GB2312"/>
                <w:lang w:eastAsia="zh-CN"/>
              </w:rPr>
            </w:pPr>
            <w:r>
              <w:rPr>
                <w:rFonts w:hint="eastAsia" w:ascii="仿宋_GB2312" w:eastAsia="仿宋_GB2312"/>
              </w:rPr>
              <w:t>重点工作办结率=（重点工作实际完成数/交办或下达数）×100%。</w:t>
            </w:r>
          </w:p>
          <w:p w14:paraId="675C1775">
            <w:pPr>
              <w:spacing w:line="320" w:lineRule="exact"/>
              <w:ind w:left="105" w:leftChars="50" w:right="105" w:rightChars="50"/>
              <w:rPr>
                <w:rFonts w:ascii="仿宋_GB2312" w:eastAsia="仿宋_GB2312"/>
              </w:rPr>
            </w:pPr>
            <w:r>
              <w:rPr>
                <w:rFonts w:hint="eastAsia" w:ascii="仿宋_GB2312" w:eastAsia="仿宋_GB2312"/>
              </w:rPr>
              <w:t>重点工作是指党委、政府、人大、相关部门交办或下达的工作任务。</w:t>
            </w:r>
          </w:p>
        </w:tc>
        <w:tc>
          <w:tcPr>
            <w:tcW w:w="577" w:type="dxa"/>
          </w:tcPr>
          <w:p w14:paraId="5D2DA2FE">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3</w:t>
            </w:r>
          </w:p>
        </w:tc>
      </w:tr>
      <w:tr w14:paraId="50EE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restart"/>
            <w:noWrap/>
            <w:tcMar>
              <w:top w:w="10" w:type="dxa"/>
              <w:left w:w="10" w:type="dxa"/>
              <w:bottom w:w="0" w:type="dxa"/>
              <w:right w:w="10" w:type="dxa"/>
            </w:tcMar>
            <w:vAlign w:val="center"/>
          </w:tcPr>
          <w:p w14:paraId="1CEBEB00">
            <w:pPr>
              <w:spacing w:line="320" w:lineRule="exact"/>
              <w:jc w:val="center"/>
              <w:rPr>
                <w:rFonts w:ascii="仿宋_GB2312" w:eastAsia="仿宋_GB2312"/>
              </w:rPr>
            </w:pPr>
            <w:r>
              <w:rPr>
                <w:rFonts w:hint="eastAsia" w:ascii="仿宋_GB2312" w:eastAsia="仿宋_GB2312"/>
              </w:rPr>
              <w:t>效   果</w:t>
            </w:r>
          </w:p>
          <w:p w14:paraId="58BEE525">
            <w:pPr>
              <w:spacing w:line="320" w:lineRule="exact"/>
              <w:jc w:val="center"/>
              <w:rPr>
                <w:rFonts w:ascii="仿宋_GB2312" w:eastAsia="仿宋_GB2312"/>
              </w:rPr>
            </w:pPr>
            <w:r>
              <w:rPr>
                <w:rFonts w:hint="eastAsia" w:ascii="仿宋_GB2312" w:eastAsia="仿宋_GB2312"/>
              </w:rPr>
              <w:t>（30分）</w:t>
            </w:r>
          </w:p>
        </w:tc>
        <w:tc>
          <w:tcPr>
            <w:tcW w:w="866" w:type="dxa"/>
            <w:vMerge w:val="restart"/>
            <w:tcMar>
              <w:top w:w="10" w:type="dxa"/>
              <w:left w:w="10" w:type="dxa"/>
              <w:bottom w:w="0" w:type="dxa"/>
              <w:right w:w="10" w:type="dxa"/>
            </w:tcMar>
            <w:vAlign w:val="center"/>
          </w:tcPr>
          <w:p w14:paraId="56D87CBB">
            <w:pPr>
              <w:spacing w:line="320" w:lineRule="exact"/>
              <w:jc w:val="center"/>
              <w:rPr>
                <w:rFonts w:ascii="仿宋_GB2312" w:eastAsia="仿宋_GB2312"/>
                <w:lang w:eastAsia="zh-CN"/>
              </w:rPr>
            </w:pPr>
            <w:r>
              <w:rPr>
                <w:rFonts w:hint="eastAsia" w:ascii="仿宋_GB2312" w:eastAsia="仿宋_GB2312"/>
              </w:rPr>
              <w:t>履职</w:t>
            </w:r>
          </w:p>
          <w:p w14:paraId="7D06A7A5">
            <w:pPr>
              <w:spacing w:line="320" w:lineRule="exact"/>
              <w:jc w:val="center"/>
              <w:rPr>
                <w:rFonts w:ascii="仿宋_GB2312" w:eastAsia="仿宋_GB2312"/>
              </w:rPr>
            </w:pPr>
            <w:r>
              <w:rPr>
                <w:rFonts w:hint="eastAsia" w:ascii="仿宋_GB2312" w:eastAsia="仿宋_GB2312"/>
              </w:rPr>
              <w:t>效益</w:t>
            </w:r>
          </w:p>
          <w:p w14:paraId="79A2B5CB">
            <w:pPr>
              <w:spacing w:line="320" w:lineRule="exact"/>
              <w:jc w:val="center"/>
              <w:rPr>
                <w:rFonts w:ascii="仿宋_GB2312" w:eastAsia="仿宋_GB2312"/>
              </w:rPr>
            </w:pPr>
            <w:r>
              <w:rPr>
                <w:rFonts w:hint="eastAsia" w:ascii="仿宋_GB2312" w:eastAsia="仿宋_GB2312"/>
              </w:rPr>
              <w:t>（30分）</w:t>
            </w:r>
          </w:p>
        </w:tc>
        <w:tc>
          <w:tcPr>
            <w:tcW w:w="951" w:type="dxa"/>
            <w:tcMar>
              <w:top w:w="10" w:type="dxa"/>
              <w:left w:w="10" w:type="dxa"/>
              <w:bottom w:w="0" w:type="dxa"/>
              <w:right w:w="10" w:type="dxa"/>
            </w:tcMar>
            <w:vAlign w:val="center"/>
          </w:tcPr>
          <w:p w14:paraId="06E29A94">
            <w:pPr>
              <w:spacing w:line="320" w:lineRule="exact"/>
              <w:jc w:val="center"/>
              <w:rPr>
                <w:rFonts w:ascii="仿宋_GB2312" w:eastAsia="仿宋_GB2312"/>
              </w:rPr>
            </w:pPr>
            <w:r>
              <w:rPr>
                <w:rFonts w:hint="eastAsia" w:ascii="仿宋_GB2312" w:eastAsia="仿宋_GB2312"/>
              </w:rPr>
              <w:t>经济效益（7分）</w:t>
            </w:r>
          </w:p>
        </w:tc>
        <w:tc>
          <w:tcPr>
            <w:tcW w:w="2871" w:type="dxa"/>
            <w:tcMar>
              <w:top w:w="10" w:type="dxa"/>
              <w:left w:w="10" w:type="dxa"/>
              <w:bottom w:w="0" w:type="dxa"/>
              <w:right w:w="10" w:type="dxa"/>
            </w:tcMar>
            <w:vAlign w:val="center"/>
          </w:tcPr>
          <w:p w14:paraId="26667C01">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部门履行职责对经济发展所带来的直接或间接影响。</w:t>
            </w:r>
          </w:p>
        </w:tc>
        <w:tc>
          <w:tcPr>
            <w:tcW w:w="4238" w:type="dxa"/>
            <w:vMerge w:val="restart"/>
            <w:tcMar>
              <w:top w:w="10" w:type="dxa"/>
              <w:left w:w="10" w:type="dxa"/>
              <w:bottom w:w="0" w:type="dxa"/>
              <w:right w:w="10" w:type="dxa"/>
            </w:tcMar>
            <w:vAlign w:val="center"/>
          </w:tcPr>
          <w:p w14:paraId="084BB239">
            <w:pPr>
              <w:spacing w:line="320" w:lineRule="exact"/>
              <w:ind w:left="105" w:leftChars="50" w:right="105" w:rightChars="50"/>
              <w:rPr>
                <w:rFonts w:ascii="仿宋_GB2312" w:eastAsia="仿宋_GB2312"/>
              </w:rPr>
            </w:pPr>
            <w:r>
              <w:rPr>
                <w:rFonts w:hint="eastAsia" w:ascii="仿宋_GB2312" w:eastAsia="仿宋_GB2312"/>
              </w:rPr>
              <w:t>此三项指标为设置部门整体支出绩效评价指标时必须考虑的共性要素，可根据部门实际并结合部门整体支出绩效目标设立情况有选择的进行设置，并将其细化为相应的个性化指标。</w:t>
            </w:r>
          </w:p>
        </w:tc>
        <w:tc>
          <w:tcPr>
            <w:tcW w:w="577" w:type="dxa"/>
          </w:tcPr>
          <w:p w14:paraId="4008AB89">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7</w:t>
            </w:r>
          </w:p>
        </w:tc>
      </w:tr>
      <w:tr w14:paraId="6EC7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continue"/>
            <w:vAlign w:val="center"/>
          </w:tcPr>
          <w:p w14:paraId="04817F62">
            <w:pPr>
              <w:spacing w:line="320" w:lineRule="exact"/>
              <w:rPr>
                <w:rFonts w:ascii="仿宋_GB2312" w:eastAsia="仿宋_GB2312"/>
              </w:rPr>
            </w:pPr>
          </w:p>
        </w:tc>
        <w:tc>
          <w:tcPr>
            <w:tcW w:w="866" w:type="dxa"/>
            <w:vMerge w:val="continue"/>
            <w:vAlign w:val="center"/>
          </w:tcPr>
          <w:p w14:paraId="46D01AA1">
            <w:pPr>
              <w:spacing w:line="320" w:lineRule="exact"/>
              <w:rPr>
                <w:rFonts w:ascii="仿宋_GB2312" w:eastAsia="仿宋_GB2312"/>
              </w:rPr>
            </w:pPr>
          </w:p>
        </w:tc>
        <w:tc>
          <w:tcPr>
            <w:tcW w:w="951" w:type="dxa"/>
            <w:tcMar>
              <w:top w:w="10" w:type="dxa"/>
              <w:left w:w="10" w:type="dxa"/>
              <w:bottom w:w="0" w:type="dxa"/>
              <w:right w:w="10" w:type="dxa"/>
            </w:tcMar>
            <w:vAlign w:val="center"/>
          </w:tcPr>
          <w:p w14:paraId="6E2FD104">
            <w:pPr>
              <w:spacing w:line="320" w:lineRule="exact"/>
              <w:jc w:val="center"/>
              <w:rPr>
                <w:rFonts w:ascii="仿宋_GB2312" w:eastAsia="仿宋_GB2312"/>
              </w:rPr>
            </w:pPr>
            <w:r>
              <w:rPr>
                <w:rFonts w:hint="eastAsia" w:ascii="仿宋_GB2312" w:eastAsia="仿宋_GB2312"/>
              </w:rPr>
              <w:t>社会效益（7分）</w:t>
            </w:r>
          </w:p>
        </w:tc>
        <w:tc>
          <w:tcPr>
            <w:tcW w:w="2871" w:type="dxa"/>
            <w:tcMar>
              <w:top w:w="10" w:type="dxa"/>
              <w:left w:w="10" w:type="dxa"/>
              <w:bottom w:w="0" w:type="dxa"/>
              <w:right w:w="10" w:type="dxa"/>
            </w:tcMar>
            <w:vAlign w:val="center"/>
          </w:tcPr>
          <w:p w14:paraId="511C161C">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部门履行职责对社会发展所带来的直接或间接影响。</w:t>
            </w:r>
          </w:p>
        </w:tc>
        <w:tc>
          <w:tcPr>
            <w:tcW w:w="4238" w:type="dxa"/>
            <w:vMerge w:val="continue"/>
            <w:vAlign w:val="center"/>
          </w:tcPr>
          <w:p w14:paraId="1656ABCA">
            <w:pPr>
              <w:spacing w:line="320" w:lineRule="exact"/>
              <w:ind w:left="105" w:leftChars="50" w:right="105" w:rightChars="50"/>
              <w:rPr>
                <w:rFonts w:ascii="仿宋_GB2312" w:eastAsia="仿宋_GB2312"/>
              </w:rPr>
            </w:pPr>
          </w:p>
        </w:tc>
        <w:tc>
          <w:tcPr>
            <w:tcW w:w="577" w:type="dxa"/>
          </w:tcPr>
          <w:p w14:paraId="084B3D1E">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7</w:t>
            </w:r>
          </w:p>
        </w:tc>
      </w:tr>
      <w:tr w14:paraId="2E06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continue"/>
            <w:vAlign w:val="center"/>
          </w:tcPr>
          <w:p w14:paraId="392D0B1E">
            <w:pPr>
              <w:spacing w:line="320" w:lineRule="exact"/>
              <w:rPr>
                <w:rFonts w:ascii="仿宋_GB2312" w:eastAsia="仿宋_GB2312"/>
              </w:rPr>
            </w:pPr>
          </w:p>
        </w:tc>
        <w:tc>
          <w:tcPr>
            <w:tcW w:w="866" w:type="dxa"/>
            <w:vMerge w:val="continue"/>
            <w:vAlign w:val="center"/>
          </w:tcPr>
          <w:p w14:paraId="76B4A271">
            <w:pPr>
              <w:spacing w:line="320" w:lineRule="exact"/>
              <w:rPr>
                <w:rFonts w:ascii="仿宋_GB2312" w:eastAsia="仿宋_GB2312"/>
              </w:rPr>
            </w:pPr>
          </w:p>
        </w:tc>
        <w:tc>
          <w:tcPr>
            <w:tcW w:w="951" w:type="dxa"/>
            <w:tcMar>
              <w:top w:w="10" w:type="dxa"/>
              <w:left w:w="10" w:type="dxa"/>
              <w:bottom w:w="0" w:type="dxa"/>
              <w:right w:w="10" w:type="dxa"/>
            </w:tcMar>
            <w:vAlign w:val="center"/>
          </w:tcPr>
          <w:p w14:paraId="2E7FC2D7">
            <w:pPr>
              <w:spacing w:line="320" w:lineRule="exact"/>
              <w:jc w:val="center"/>
              <w:rPr>
                <w:rFonts w:ascii="仿宋_GB2312" w:eastAsia="仿宋_GB2312"/>
              </w:rPr>
            </w:pPr>
            <w:r>
              <w:rPr>
                <w:rFonts w:hint="eastAsia" w:ascii="仿宋_GB2312" w:eastAsia="仿宋_GB2312"/>
              </w:rPr>
              <w:t>生态效益（7分）</w:t>
            </w:r>
          </w:p>
        </w:tc>
        <w:tc>
          <w:tcPr>
            <w:tcW w:w="2871" w:type="dxa"/>
            <w:tcMar>
              <w:top w:w="10" w:type="dxa"/>
              <w:left w:w="10" w:type="dxa"/>
              <w:bottom w:w="0" w:type="dxa"/>
              <w:right w:w="10" w:type="dxa"/>
            </w:tcMar>
            <w:vAlign w:val="center"/>
          </w:tcPr>
          <w:p w14:paraId="7E92DC61">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部门履行职责对生态环境所带来的直接或间接影响。</w:t>
            </w:r>
          </w:p>
        </w:tc>
        <w:tc>
          <w:tcPr>
            <w:tcW w:w="4238" w:type="dxa"/>
            <w:vMerge w:val="continue"/>
            <w:vAlign w:val="center"/>
          </w:tcPr>
          <w:p w14:paraId="18485231">
            <w:pPr>
              <w:spacing w:line="320" w:lineRule="exact"/>
              <w:ind w:left="105" w:leftChars="50" w:right="105" w:rightChars="50"/>
              <w:rPr>
                <w:rFonts w:ascii="仿宋_GB2312" w:eastAsia="仿宋_GB2312"/>
              </w:rPr>
            </w:pPr>
          </w:p>
        </w:tc>
        <w:tc>
          <w:tcPr>
            <w:tcW w:w="577" w:type="dxa"/>
          </w:tcPr>
          <w:p w14:paraId="27C498BB">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7</w:t>
            </w:r>
          </w:p>
        </w:tc>
      </w:tr>
      <w:tr w14:paraId="6866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666" w:type="dxa"/>
            <w:vMerge w:val="continue"/>
            <w:vAlign w:val="center"/>
          </w:tcPr>
          <w:p w14:paraId="69327654">
            <w:pPr>
              <w:spacing w:line="320" w:lineRule="exact"/>
              <w:rPr>
                <w:rFonts w:ascii="仿宋_GB2312" w:eastAsia="仿宋_GB2312"/>
              </w:rPr>
            </w:pPr>
          </w:p>
        </w:tc>
        <w:tc>
          <w:tcPr>
            <w:tcW w:w="866" w:type="dxa"/>
            <w:vMerge w:val="continue"/>
            <w:vAlign w:val="center"/>
          </w:tcPr>
          <w:p w14:paraId="4C414E3E">
            <w:pPr>
              <w:spacing w:line="320" w:lineRule="exact"/>
              <w:rPr>
                <w:rFonts w:ascii="仿宋_GB2312" w:eastAsia="仿宋_GB2312"/>
              </w:rPr>
            </w:pPr>
          </w:p>
        </w:tc>
        <w:tc>
          <w:tcPr>
            <w:tcW w:w="951" w:type="dxa"/>
            <w:tcMar>
              <w:top w:w="10" w:type="dxa"/>
              <w:left w:w="10" w:type="dxa"/>
              <w:bottom w:w="0" w:type="dxa"/>
              <w:right w:w="10" w:type="dxa"/>
            </w:tcMar>
            <w:vAlign w:val="center"/>
          </w:tcPr>
          <w:p w14:paraId="1C7E7093">
            <w:pPr>
              <w:spacing w:line="320" w:lineRule="exact"/>
              <w:jc w:val="center"/>
              <w:rPr>
                <w:rFonts w:ascii="仿宋_GB2312" w:eastAsia="仿宋_GB2312"/>
              </w:rPr>
            </w:pPr>
            <w:r>
              <w:rPr>
                <w:rFonts w:hint="eastAsia" w:ascii="仿宋_GB2312" w:eastAsia="仿宋_GB2312"/>
              </w:rPr>
              <w:t>社会公众</w:t>
            </w:r>
          </w:p>
          <w:p w14:paraId="2D3932A5">
            <w:pPr>
              <w:spacing w:line="320" w:lineRule="exact"/>
              <w:jc w:val="center"/>
              <w:rPr>
                <w:rFonts w:ascii="仿宋_GB2312" w:eastAsia="仿宋_GB2312"/>
              </w:rPr>
            </w:pPr>
            <w:r>
              <w:rPr>
                <w:rFonts w:hint="eastAsia" w:ascii="仿宋_GB2312" w:eastAsia="仿宋_GB2312"/>
              </w:rPr>
              <w:t>或服务对</w:t>
            </w:r>
          </w:p>
          <w:p w14:paraId="3C47BC49">
            <w:pPr>
              <w:spacing w:line="320" w:lineRule="exact"/>
              <w:jc w:val="center"/>
              <w:rPr>
                <w:rFonts w:ascii="仿宋_GB2312" w:eastAsia="仿宋_GB2312"/>
              </w:rPr>
            </w:pPr>
            <w:r>
              <w:rPr>
                <w:rFonts w:hint="eastAsia" w:ascii="仿宋_GB2312" w:eastAsia="仿宋_GB2312"/>
              </w:rPr>
              <w:t>象满意度(9分)</w:t>
            </w:r>
          </w:p>
        </w:tc>
        <w:tc>
          <w:tcPr>
            <w:tcW w:w="2871" w:type="dxa"/>
            <w:tcMar>
              <w:top w:w="10" w:type="dxa"/>
              <w:left w:w="10" w:type="dxa"/>
              <w:bottom w:w="0" w:type="dxa"/>
              <w:right w:w="10" w:type="dxa"/>
            </w:tcMar>
            <w:vAlign w:val="center"/>
          </w:tcPr>
          <w:p w14:paraId="2075E7B6">
            <w:pPr>
              <w:tabs>
                <w:tab w:val="left" w:pos="2604"/>
              </w:tabs>
              <w:spacing w:line="320" w:lineRule="exact"/>
              <w:ind w:left="105" w:leftChars="50" w:right="105" w:rightChars="50" w:firstLine="96" w:firstLineChars="46"/>
              <w:rPr>
                <w:rFonts w:ascii="仿宋_GB2312" w:eastAsia="仿宋_GB2312"/>
              </w:rPr>
            </w:pPr>
            <w:r>
              <w:rPr>
                <w:rFonts w:hint="eastAsia" w:ascii="仿宋_GB2312" w:eastAsia="仿宋_GB2312"/>
              </w:rPr>
              <w:t>社会公众或部门的服务对象对部门履职效果的满意程度。</w:t>
            </w:r>
          </w:p>
        </w:tc>
        <w:tc>
          <w:tcPr>
            <w:tcW w:w="4238" w:type="dxa"/>
            <w:tcMar>
              <w:top w:w="10" w:type="dxa"/>
              <w:left w:w="10" w:type="dxa"/>
              <w:bottom w:w="0" w:type="dxa"/>
              <w:right w:w="10" w:type="dxa"/>
            </w:tcMar>
            <w:vAlign w:val="center"/>
          </w:tcPr>
          <w:p w14:paraId="2D7131B5">
            <w:pPr>
              <w:spacing w:line="320" w:lineRule="exact"/>
              <w:ind w:left="105" w:leftChars="50" w:right="105" w:rightChars="50"/>
              <w:rPr>
                <w:rFonts w:ascii="仿宋_GB2312" w:eastAsia="仿宋_GB2312"/>
              </w:rPr>
            </w:pPr>
            <w:r>
              <w:rPr>
                <w:rFonts w:hint="eastAsia" w:ascii="仿宋_GB2312" w:eastAsia="仿宋_GB2312"/>
              </w:rPr>
              <w:t>社会公众或服务对象是指部门履行职责而影响到的部门、群体或个人。一般采取社会调查的方式。</w:t>
            </w:r>
          </w:p>
        </w:tc>
        <w:tc>
          <w:tcPr>
            <w:tcW w:w="577" w:type="dxa"/>
          </w:tcPr>
          <w:p w14:paraId="1AC70C97">
            <w:pPr>
              <w:spacing w:line="320" w:lineRule="exact"/>
              <w:ind w:left="105" w:leftChars="50" w:right="105" w:rightChars="50"/>
              <w:rPr>
                <w:rFonts w:hint="eastAsia" w:ascii="仿宋_GB2312" w:eastAsia="仿宋_GB2312"/>
                <w:lang w:val="en-US" w:eastAsia="zh-CN"/>
              </w:rPr>
            </w:pPr>
            <w:r>
              <w:rPr>
                <w:rFonts w:hint="eastAsia" w:ascii="仿宋_GB2312" w:eastAsia="仿宋_GB2312"/>
                <w:lang w:val="en-US" w:eastAsia="zh-CN"/>
              </w:rPr>
              <w:t>9</w:t>
            </w:r>
          </w:p>
        </w:tc>
      </w:tr>
      <w:tr w14:paraId="1F87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9592" w:type="dxa"/>
            <w:gridSpan w:val="5"/>
            <w:vAlign w:val="center"/>
          </w:tcPr>
          <w:p w14:paraId="5F82F638">
            <w:pPr>
              <w:spacing w:line="320" w:lineRule="exact"/>
              <w:ind w:left="105" w:leftChars="50" w:right="105" w:rightChars="50"/>
              <w:jc w:val="center"/>
              <w:rPr>
                <w:rFonts w:ascii="仿宋_GB2312" w:eastAsia="仿宋_GB2312"/>
                <w:b/>
              </w:rPr>
            </w:pPr>
            <w:r>
              <w:rPr>
                <w:rFonts w:hint="eastAsia" w:ascii="仿宋_GB2312" w:eastAsia="仿宋_GB2312"/>
                <w:b/>
              </w:rPr>
              <w:t>得分</w:t>
            </w:r>
          </w:p>
        </w:tc>
        <w:tc>
          <w:tcPr>
            <w:tcW w:w="577" w:type="dxa"/>
          </w:tcPr>
          <w:p w14:paraId="3795CE3D">
            <w:pPr>
              <w:spacing w:line="320" w:lineRule="exact"/>
              <w:ind w:left="105" w:leftChars="50" w:right="105" w:rightChars="50"/>
              <w:rPr>
                <w:rFonts w:hint="default" w:ascii="仿宋_GB2312" w:eastAsia="仿宋_GB2312"/>
                <w:lang w:val="en-US" w:eastAsia="zh-CN"/>
              </w:rPr>
            </w:pPr>
            <w:r>
              <w:rPr>
                <w:rFonts w:hint="eastAsia" w:ascii="仿宋_GB2312" w:eastAsia="仿宋_GB2312"/>
                <w:lang w:val="en-US" w:eastAsia="zh-CN"/>
              </w:rPr>
              <w:t>100</w:t>
            </w:r>
          </w:p>
        </w:tc>
      </w:tr>
    </w:tbl>
    <w:p w14:paraId="0989879D">
      <w:pPr>
        <w:spacing w:before="69" w:line="224" w:lineRule="auto"/>
        <w:rPr>
          <w:rFonts w:ascii="黑体" w:hAnsi="黑体" w:eastAsia="黑体" w:cs="黑体"/>
          <w:b/>
          <w:bCs/>
          <w:spacing w:val="21"/>
          <w:sz w:val="31"/>
          <w:szCs w:val="31"/>
        </w:rPr>
      </w:pPr>
    </w:p>
    <w:p w14:paraId="55F87942">
      <w:pPr>
        <w:spacing w:before="69" w:line="224" w:lineRule="auto"/>
        <w:rPr>
          <w:rFonts w:ascii="黑体" w:hAnsi="黑体" w:eastAsia="黑体" w:cs="黑体"/>
          <w:b/>
          <w:bCs/>
          <w:spacing w:val="21"/>
          <w:sz w:val="31"/>
          <w:szCs w:val="31"/>
        </w:rPr>
      </w:pPr>
    </w:p>
    <w:p w14:paraId="11947C99">
      <w:pPr>
        <w:spacing w:before="69" w:line="224" w:lineRule="auto"/>
        <w:rPr>
          <w:rFonts w:ascii="黑体" w:hAnsi="黑体" w:eastAsia="黑体" w:cs="黑体"/>
          <w:b/>
          <w:bCs/>
          <w:spacing w:val="21"/>
          <w:sz w:val="31"/>
          <w:szCs w:val="31"/>
        </w:rPr>
      </w:pPr>
    </w:p>
    <w:p w14:paraId="25FCF05D">
      <w:pPr>
        <w:spacing w:before="69" w:line="224" w:lineRule="auto"/>
        <w:rPr>
          <w:rFonts w:ascii="黑体" w:hAnsi="黑体" w:eastAsia="黑体" w:cs="黑体"/>
          <w:b/>
          <w:bCs/>
          <w:spacing w:val="21"/>
          <w:sz w:val="31"/>
          <w:szCs w:val="31"/>
        </w:rPr>
      </w:pPr>
    </w:p>
    <w:p w14:paraId="7382F145">
      <w:pPr>
        <w:spacing w:before="69" w:line="224" w:lineRule="auto"/>
        <w:rPr>
          <w:rFonts w:ascii="黑体" w:hAnsi="黑体" w:eastAsia="黑体" w:cs="黑体"/>
          <w:b/>
          <w:bCs/>
          <w:spacing w:val="21"/>
          <w:sz w:val="31"/>
          <w:szCs w:val="31"/>
        </w:rPr>
      </w:pPr>
    </w:p>
    <w:p w14:paraId="566CADE4">
      <w:pPr>
        <w:spacing w:before="69" w:line="224" w:lineRule="auto"/>
        <w:rPr>
          <w:rFonts w:ascii="黑体" w:hAnsi="黑体" w:eastAsia="黑体" w:cs="黑体"/>
          <w:b/>
          <w:bCs/>
          <w:spacing w:val="21"/>
          <w:sz w:val="31"/>
          <w:szCs w:val="31"/>
        </w:rPr>
      </w:pPr>
    </w:p>
    <w:p w14:paraId="136D4CC9">
      <w:pPr>
        <w:spacing w:before="69" w:line="224" w:lineRule="auto"/>
        <w:rPr>
          <w:rFonts w:ascii="黑体" w:hAnsi="黑体" w:eastAsia="黑体" w:cs="黑体"/>
          <w:b/>
          <w:bCs/>
          <w:spacing w:val="21"/>
          <w:sz w:val="31"/>
          <w:szCs w:val="31"/>
        </w:rPr>
      </w:pPr>
    </w:p>
    <w:p w14:paraId="76436AD1">
      <w:pPr>
        <w:spacing w:before="69" w:line="224" w:lineRule="auto"/>
        <w:rPr>
          <w:rFonts w:ascii="黑体" w:hAnsi="黑体" w:eastAsia="黑体" w:cs="黑体"/>
          <w:b/>
          <w:bCs/>
          <w:spacing w:val="21"/>
          <w:sz w:val="31"/>
          <w:szCs w:val="31"/>
        </w:rPr>
      </w:pPr>
    </w:p>
    <w:p w14:paraId="7649CD8A">
      <w:pPr>
        <w:spacing w:before="69" w:line="224" w:lineRule="auto"/>
        <w:rPr>
          <w:rFonts w:ascii="黑体" w:hAnsi="黑体" w:eastAsia="黑体" w:cs="黑体"/>
          <w:b/>
          <w:bCs/>
          <w:spacing w:val="21"/>
          <w:sz w:val="31"/>
          <w:szCs w:val="31"/>
        </w:rPr>
      </w:pPr>
    </w:p>
    <w:p w14:paraId="47EDF937">
      <w:pPr>
        <w:spacing w:before="69" w:line="224" w:lineRule="auto"/>
        <w:rPr>
          <w:rFonts w:ascii="黑体" w:hAnsi="黑体" w:eastAsia="黑体" w:cs="黑体"/>
          <w:sz w:val="31"/>
          <w:szCs w:val="31"/>
          <w:lang w:eastAsia="zh-CN"/>
        </w:rPr>
      </w:pPr>
      <w:r>
        <w:rPr>
          <w:rFonts w:ascii="黑体" w:hAnsi="黑体" w:eastAsia="黑体" w:cs="黑体"/>
          <w:b/>
          <w:bCs/>
          <w:spacing w:val="21"/>
          <w:sz w:val="31"/>
          <w:szCs w:val="31"/>
        </w:rPr>
        <w:t>附件</w:t>
      </w:r>
      <w:r>
        <w:rPr>
          <w:rFonts w:hint="eastAsia" w:ascii="黑体" w:hAnsi="黑体" w:eastAsia="黑体" w:cs="黑体"/>
          <w:b/>
          <w:bCs/>
          <w:spacing w:val="21"/>
          <w:sz w:val="31"/>
          <w:szCs w:val="31"/>
          <w:lang w:eastAsia="zh-CN"/>
        </w:rPr>
        <w:t>6：</w:t>
      </w:r>
    </w:p>
    <w:p w14:paraId="540DD40C">
      <w:pPr>
        <w:spacing w:before="163" w:line="787" w:lineRule="exact"/>
        <w:jc w:val="both"/>
        <w:rPr>
          <w:rFonts w:hint="eastAsia" w:ascii="仿宋" w:hAnsi="仿宋" w:eastAsia="仿宋" w:cs="仿宋"/>
          <w:b/>
          <w:bCs/>
          <w:spacing w:val="15"/>
          <w:position w:val="20"/>
          <w:sz w:val="50"/>
          <w:szCs w:val="50"/>
        </w:rPr>
      </w:pPr>
    </w:p>
    <w:p w14:paraId="5DE2DF55">
      <w:pPr>
        <w:spacing w:before="163" w:line="787" w:lineRule="exact"/>
        <w:jc w:val="center"/>
        <w:rPr>
          <w:rFonts w:hint="eastAsia" w:ascii="仿宋" w:hAnsi="仿宋" w:eastAsia="仿宋" w:cs="仿宋"/>
          <w:b/>
          <w:bCs/>
          <w:spacing w:val="15"/>
          <w:position w:val="20"/>
          <w:sz w:val="50"/>
          <w:szCs w:val="50"/>
        </w:rPr>
      </w:pPr>
      <w:r>
        <w:rPr>
          <w:rFonts w:hint="eastAsia" w:ascii="仿宋" w:hAnsi="仿宋" w:eastAsia="仿宋" w:cs="仿宋"/>
          <w:b/>
          <w:bCs/>
          <w:spacing w:val="15"/>
          <w:position w:val="20"/>
          <w:sz w:val="50"/>
          <w:szCs w:val="50"/>
          <w:lang w:eastAsia="zh-CN"/>
        </w:rPr>
        <w:t>2024</w:t>
      </w:r>
      <w:r>
        <w:rPr>
          <w:rFonts w:hint="eastAsia" w:ascii="仿宋" w:hAnsi="仿宋" w:eastAsia="仿宋" w:cs="仿宋"/>
          <w:b/>
          <w:bCs/>
          <w:spacing w:val="15"/>
          <w:position w:val="20"/>
          <w:sz w:val="50"/>
          <w:szCs w:val="50"/>
        </w:rPr>
        <w:t>年度</w:t>
      </w:r>
      <w:r>
        <w:rPr>
          <w:rFonts w:hint="eastAsia" w:ascii="仿宋" w:hAnsi="仿宋" w:eastAsia="仿宋" w:cs="仿宋"/>
          <w:b/>
          <w:bCs/>
          <w:spacing w:val="15"/>
          <w:position w:val="20"/>
          <w:sz w:val="50"/>
          <w:szCs w:val="50"/>
          <w:lang w:val="en-US" w:eastAsia="zh-CN"/>
        </w:rPr>
        <w:t>临武县特殊教育学校</w:t>
      </w:r>
      <w:r>
        <w:rPr>
          <w:rFonts w:hint="eastAsia" w:ascii="仿宋" w:hAnsi="仿宋" w:eastAsia="仿宋" w:cs="仿宋"/>
          <w:b/>
          <w:bCs/>
          <w:spacing w:val="15"/>
          <w:position w:val="20"/>
          <w:sz w:val="50"/>
          <w:szCs w:val="50"/>
        </w:rPr>
        <w:t>整体</w:t>
      </w:r>
    </w:p>
    <w:p w14:paraId="2A332A35">
      <w:pPr>
        <w:spacing w:before="163" w:line="787" w:lineRule="exact"/>
        <w:jc w:val="center"/>
        <w:rPr>
          <w:rFonts w:hint="eastAsia" w:ascii="仿宋" w:hAnsi="仿宋" w:eastAsia="仿宋" w:cs="仿宋"/>
          <w:b/>
          <w:bCs/>
          <w:spacing w:val="15"/>
          <w:position w:val="20"/>
          <w:sz w:val="50"/>
          <w:szCs w:val="50"/>
        </w:rPr>
      </w:pPr>
      <w:r>
        <w:rPr>
          <w:rFonts w:hint="eastAsia" w:ascii="仿宋" w:hAnsi="仿宋" w:eastAsia="仿宋" w:cs="仿宋"/>
          <w:b/>
          <w:bCs/>
          <w:spacing w:val="15"/>
          <w:position w:val="20"/>
          <w:sz w:val="50"/>
          <w:szCs w:val="50"/>
        </w:rPr>
        <w:t>支出绩效自评报告</w:t>
      </w:r>
    </w:p>
    <w:p w14:paraId="4C84FA38">
      <w:pPr>
        <w:spacing w:before="163" w:line="787" w:lineRule="exact"/>
        <w:ind w:left="1362"/>
        <w:jc w:val="center"/>
        <w:rPr>
          <w:rFonts w:hint="eastAsia" w:ascii="仿宋" w:hAnsi="仿宋" w:eastAsia="仿宋" w:cs="仿宋"/>
          <w:b/>
          <w:bCs/>
          <w:spacing w:val="15"/>
          <w:position w:val="20"/>
          <w:sz w:val="50"/>
          <w:szCs w:val="50"/>
        </w:rPr>
      </w:pPr>
    </w:p>
    <w:p w14:paraId="7F1ED814">
      <w:pPr>
        <w:spacing w:line="246" w:lineRule="auto"/>
      </w:pPr>
    </w:p>
    <w:p w14:paraId="5CDC7E05">
      <w:pPr>
        <w:spacing w:line="246" w:lineRule="auto"/>
      </w:pPr>
    </w:p>
    <w:p w14:paraId="1E03852A">
      <w:pPr>
        <w:spacing w:line="246" w:lineRule="auto"/>
      </w:pPr>
    </w:p>
    <w:p w14:paraId="66375AF4">
      <w:pPr>
        <w:spacing w:line="246" w:lineRule="auto"/>
      </w:pPr>
    </w:p>
    <w:p w14:paraId="0673354F">
      <w:pPr>
        <w:spacing w:line="246" w:lineRule="auto"/>
      </w:pPr>
    </w:p>
    <w:p w14:paraId="6D05D9F8">
      <w:pPr>
        <w:spacing w:line="246" w:lineRule="auto"/>
      </w:pPr>
    </w:p>
    <w:p w14:paraId="64D2B992">
      <w:pPr>
        <w:spacing w:line="246" w:lineRule="auto"/>
      </w:pPr>
    </w:p>
    <w:p w14:paraId="55309834">
      <w:pPr>
        <w:spacing w:line="246" w:lineRule="auto"/>
      </w:pPr>
    </w:p>
    <w:p w14:paraId="7D386D5D">
      <w:pPr>
        <w:spacing w:line="246" w:lineRule="auto"/>
      </w:pPr>
    </w:p>
    <w:p w14:paraId="331E06E7">
      <w:pPr>
        <w:spacing w:line="246" w:lineRule="auto"/>
      </w:pPr>
    </w:p>
    <w:p w14:paraId="63CAA086">
      <w:pPr>
        <w:spacing w:line="247" w:lineRule="auto"/>
      </w:pPr>
    </w:p>
    <w:p w14:paraId="0F96FA6A">
      <w:pPr>
        <w:spacing w:line="247" w:lineRule="auto"/>
      </w:pPr>
    </w:p>
    <w:p w14:paraId="07378097">
      <w:pPr>
        <w:spacing w:line="247" w:lineRule="auto"/>
      </w:pPr>
    </w:p>
    <w:p w14:paraId="27C7DF6E">
      <w:pPr>
        <w:spacing w:line="247" w:lineRule="auto"/>
      </w:pPr>
    </w:p>
    <w:p w14:paraId="7781F4FF">
      <w:pPr>
        <w:spacing w:line="247" w:lineRule="auto"/>
      </w:pPr>
    </w:p>
    <w:p w14:paraId="2A03EB44">
      <w:pPr>
        <w:spacing w:line="247" w:lineRule="auto"/>
      </w:pPr>
    </w:p>
    <w:p w14:paraId="09F7E24F">
      <w:pPr>
        <w:spacing w:line="247" w:lineRule="auto"/>
      </w:pPr>
    </w:p>
    <w:p w14:paraId="224437C7">
      <w:pPr>
        <w:spacing w:line="247" w:lineRule="auto"/>
      </w:pPr>
    </w:p>
    <w:p w14:paraId="2BC9E612">
      <w:pPr>
        <w:spacing w:line="247" w:lineRule="auto"/>
      </w:pPr>
    </w:p>
    <w:p w14:paraId="30ABE80D">
      <w:pPr>
        <w:spacing w:line="247" w:lineRule="auto"/>
      </w:pPr>
    </w:p>
    <w:p w14:paraId="0D05B0BF">
      <w:pPr>
        <w:spacing w:line="247" w:lineRule="auto"/>
      </w:pPr>
    </w:p>
    <w:p w14:paraId="6C252366">
      <w:pPr>
        <w:pStyle w:val="2"/>
        <w:spacing w:before="87" w:line="221" w:lineRule="auto"/>
        <w:ind w:left="1825"/>
        <w:rPr>
          <w:sz w:val="27"/>
          <w:szCs w:val="27"/>
        </w:rPr>
      </w:pPr>
      <w:r>
        <w:rPr>
          <w:spacing w:val="-21"/>
          <w:sz w:val="27"/>
          <w:szCs w:val="27"/>
        </w:rPr>
        <w:t>部 门</w:t>
      </w:r>
      <w:r>
        <w:rPr>
          <w:spacing w:val="8"/>
          <w:sz w:val="27"/>
          <w:szCs w:val="27"/>
        </w:rPr>
        <w:t xml:space="preserve"> </w:t>
      </w:r>
      <w:r>
        <w:rPr>
          <w:spacing w:val="-21"/>
          <w:sz w:val="27"/>
          <w:szCs w:val="27"/>
        </w:rPr>
        <w:t>( 单</w:t>
      </w:r>
      <w:r>
        <w:rPr>
          <w:spacing w:val="-29"/>
          <w:sz w:val="27"/>
          <w:szCs w:val="27"/>
        </w:rPr>
        <w:t xml:space="preserve"> </w:t>
      </w:r>
      <w:r>
        <w:rPr>
          <w:spacing w:val="-21"/>
          <w:sz w:val="27"/>
          <w:szCs w:val="27"/>
        </w:rPr>
        <w:t>位</w:t>
      </w:r>
      <w:r>
        <w:rPr>
          <w:spacing w:val="-38"/>
          <w:sz w:val="27"/>
          <w:szCs w:val="27"/>
        </w:rPr>
        <w:t xml:space="preserve"> </w:t>
      </w:r>
      <w:r>
        <w:rPr>
          <w:spacing w:val="-21"/>
          <w:sz w:val="27"/>
          <w:szCs w:val="27"/>
        </w:rPr>
        <w:t>)</w:t>
      </w:r>
      <w:r>
        <w:rPr>
          <w:spacing w:val="-29"/>
          <w:sz w:val="27"/>
          <w:szCs w:val="27"/>
        </w:rPr>
        <w:t xml:space="preserve"> </w:t>
      </w:r>
      <w:r>
        <w:rPr>
          <w:spacing w:val="-21"/>
          <w:sz w:val="27"/>
          <w:szCs w:val="27"/>
        </w:rPr>
        <w:t>名</w:t>
      </w:r>
      <w:r>
        <w:rPr>
          <w:spacing w:val="-31"/>
          <w:sz w:val="27"/>
          <w:szCs w:val="27"/>
        </w:rPr>
        <w:t xml:space="preserve"> </w:t>
      </w:r>
      <w:r>
        <w:rPr>
          <w:spacing w:val="-21"/>
          <w:sz w:val="27"/>
          <w:szCs w:val="27"/>
        </w:rPr>
        <w:t>称</w:t>
      </w:r>
      <w:r>
        <w:rPr>
          <w:spacing w:val="-48"/>
          <w:sz w:val="27"/>
          <w:szCs w:val="27"/>
        </w:rPr>
        <w:t xml:space="preserve"> </w:t>
      </w:r>
      <w:r>
        <w:rPr>
          <w:spacing w:val="-21"/>
          <w:sz w:val="27"/>
          <w:szCs w:val="27"/>
        </w:rPr>
        <w:t>：</w:t>
      </w:r>
      <w:r>
        <w:rPr>
          <w:spacing w:val="-21"/>
          <w:sz w:val="27"/>
          <w:szCs w:val="27"/>
          <w:u w:val="single"/>
        </w:rPr>
        <w:t xml:space="preserve">   </w:t>
      </w:r>
      <w:r>
        <w:rPr>
          <w:rFonts w:hint="eastAsia"/>
          <w:spacing w:val="-21"/>
          <w:sz w:val="27"/>
          <w:szCs w:val="27"/>
          <w:u w:val="single"/>
          <w:lang w:val="en-US" w:eastAsia="zh-CN"/>
        </w:rPr>
        <w:t>临武县特殊教育学校</w:t>
      </w:r>
      <w:r>
        <w:rPr>
          <w:spacing w:val="-21"/>
          <w:sz w:val="27"/>
          <w:szCs w:val="27"/>
          <w:u w:val="single"/>
        </w:rPr>
        <w:t xml:space="preserve">       </w:t>
      </w:r>
    </w:p>
    <w:p w14:paraId="6DBF70B2">
      <w:pPr>
        <w:spacing w:before="308" w:line="225" w:lineRule="auto"/>
        <w:ind w:left="3065" w:firstLine="246" w:firstLineChars="100"/>
        <w:rPr>
          <w:rFonts w:ascii="楷体" w:hAnsi="楷体" w:eastAsia="楷体" w:cs="楷体"/>
          <w:sz w:val="27"/>
          <w:szCs w:val="27"/>
        </w:rPr>
      </w:pPr>
      <w:r>
        <w:rPr>
          <w:rFonts w:hint="eastAsia" w:ascii="楷体" w:hAnsi="楷体" w:eastAsia="楷体" w:cs="楷体"/>
          <w:spacing w:val="-12"/>
          <w:sz w:val="27"/>
          <w:szCs w:val="27"/>
          <w:lang w:val="en-US" w:eastAsia="zh-CN"/>
        </w:rPr>
        <w:t>2024</w:t>
      </w:r>
      <w:r>
        <w:rPr>
          <w:rFonts w:ascii="楷体" w:hAnsi="楷体" w:eastAsia="楷体" w:cs="楷体"/>
          <w:spacing w:val="-12"/>
          <w:sz w:val="27"/>
          <w:szCs w:val="27"/>
        </w:rPr>
        <w:t>年</w:t>
      </w:r>
      <w:r>
        <w:rPr>
          <w:rFonts w:hint="eastAsia" w:ascii="楷体" w:hAnsi="楷体" w:eastAsia="楷体" w:cs="楷体"/>
          <w:spacing w:val="2"/>
          <w:sz w:val="27"/>
          <w:szCs w:val="27"/>
          <w:lang w:val="en-US" w:eastAsia="zh-CN"/>
        </w:rPr>
        <w:t>5</w:t>
      </w:r>
      <w:r>
        <w:rPr>
          <w:rFonts w:ascii="楷体" w:hAnsi="楷体" w:eastAsia="楷体" w:cs="楷体"/>
          <w:spacing w:val="-12"/>
          <w:sz w:val="27"/>
          <w:szCs w:val="27"/>
        </w:rPr>
        <w:t>月</w:t>
      </w:r>
      <w:r>
        <w:rPr>
          <w:rFonts w:hint="eastAsia" w:ascii="楷体" w:hAnsi="楷体" w:eastAsia="楷体" w:cs="楷体"/>
          <w:spacing w:val="6"/>
          <w:sz w:val="27"/>
          <w:szCs w:val="27"/>
          <w:lang w:val="en-US" w:eastAsia="zh-CN"/>
        </w:rPr>
        <w:t>30</w:t>
      </w:r>
      <w:r>
        <w:rPr>
          <w:rFonts w:ascii="楷体" w:hAnsi="楷体" w:eastAsia="楷体" w:cs="楷体"/>
          <w:spacing w:val="-12"/>
          <w:sz w:val="27"/>
          <w:szCs w:val="27"/>
        </w:rPr>
        <w:t>日</w:t>
      </w:r>
    </w:p>
    <w:p w14:paraId="148C3653">
      <w:pPr>
        <w:spacing w:line="361" w:lineRule="auto"/>
      </w:pPr>
    </w:p>
    <w:p w14:paraId="3BC618C1">
      <w:pPr>
        <w:spacing w:line="224" w:lineRule="auto"/>
        <w:rPr>
          <w:sz w:val="31"/>
          <w:szCs w:val="31"/>
        </w:rPr>
        <w:sectPr>
          <w:footerReference r:id="rId4" w:type="default"/>
          <w:pgSz w:w="12130" w:h="16980"/>
          <w:pgMar w:top="1443" w:right="1812" w:bottom="1538" w:left="1744" w:header="0" w:footer="1229" w:gutter="0"/>
          <w:cols w:space="720" w:num="1"/>
        </w:sectPr>
      </w:pPr>
    </w:p>
    <w:p w14:paraId="10FFDE08">
      <w:pPr>
        <w:spacing w:line="268" w:lineRule="auto"/>
      </w:pPr>
    </w:p>
    <w:p w14:paraId="0A6D7178">
      <w:pPr>
        <w:spacing w:before="140" w:line="667" w:lineRule="exact"/>
        <w:jc w:val="center"/>
        <w:rPr>
          <w:rFonts w:ascii="宋体" w:hAnsi="宋体" w:eastAsia="宋体" w:cs="宋体"/>
          <w:b/>
          <w:bCs/>
          <w:spacing w:val="-18"/>
          <w:position w:val="16"/>
          <w:sz w:val="43"/>
          <w:szCs w:val="43"/>
        </w:rPr>
      </w:pPr>
      <w:r>
        <w:rPr>
          <w:rFonts w:hint="eastAsia" w:ascii="宋体" w:hAnsi="宋体" w:eastAsia="宋体" w:cs="宋体"/>
          <w:b/>
          <w:bCs/>
          <w:spacing w:val="-18"/>
          <w:position w:val="16"/>
          <w:sz w:val="43"/>
          <w:szCs w:val="43"/>
          <w:lang w:eastAsia="zh-CN"/>
        </w:rPr>
        <w:t>2024</w:t>
      </w:r>
      <w:r>
        <w:rPr>
          <w:rFonts w:ascii="宋体" w:hAnsi="宋体" w:eastAsia="宋体" w:cs="宋体"/>
          <w:b/>
          <w:bCs/>
          <w:spacing w:val="-18"/>
          <w:position w:val="16"/>
          <w:sz w:val="43"/>
          <w:szCs w:val="43"/>
        </w:rPr>
        <w:t>年度</w:t>
      </w:r>
      <w:r>
        <w:rPr>
          <w:rFonts w:hint="eastAsia" w:ascii="宋体" w:hAnsi="宋体" w:eastAsia="宋体" w:cs="宋体"/>
          <w:b/>
          <w:bCs/>
          <w:spacing w:val="-18"/>
          <w:position w:val="16"/>
          <w:sz w:val="43"/>
          <w:szCs w:val="43"/>
          <w:lang w:val="en-US" w:eastAsia="zh-CN"/>
        </w:rPr>
        <w:t>临武县特殊教育学校</w:t>
      </w:r>
      <w:r>
        <w:rPr>
          <w:rFonts w:ascii="宋体" w:hAnsi="宋体" w:eastAsia="宋体" w:cs="宋体"/>
          <w:b/>
          <w:bCs/>
          <w:spacing w:val="-18"/>
          <w:position w:val="16"/>
          <w:sz w:val="43"/>
          <w:szCs w:val="43"/>
        </w:rPr>
        <w:t>整体支出</w:t>
      </w:r>
    </w:p>
    <w:p w14:paraId="517C97FD">
      <w:pPr>
        <w:spacing w:before="140" w:line="667" w:lineRule="exact"/>
        <w:jc w:val="center"/>
        <w:rPr>
          <w:rFonts w:ascii="宋体" w:hAnsi="宋体" w:eastAsia="宋体" w:cs="宋体"/>
          <w:b/>
          <w:bCs/>
          <w:spacing w:val="-18"/>
          <w:position w:val="16"/>
          <w:sz w:val="43"/>
          <w:szCs w:val="43"/>
        </w:rPr>
      </w:pPr>
      <w:r>
        <w:rPr>
          <w:rFonts w:ascii="宋体" w:hAnsi="宋体" w:eastAsia="宋体" w:cs="宋体"/>
          <w:b/>
          <w:bCs/>
          <w:spacing w:val="-18"/>
          <w:position w:val="16"/>
          <w:sz w:val="43"/>
          <w:szCs w:val="43"/>
        </w:rPr>
        <w:t>绩效自评报告</w:t>
      </w:r>
    </w:p>
    <w:p w14:paraId="40328524">
      <w:pPr>
        <w:spacing w:before="140" w:line="667" w:lineRule="exact"/>
        <w:jc w:val="center"/>
        <w:rPr>
          <w:rFonts w:ascii="宋体" w:hAnsi="宋体" w:eastAsia="宋体" w:cs="宋体"/>
          <w:b/>
          <w:bCs/>
          <w:spacing w:val="-18"/>
          <w:position w:val="16"/>
          <w:sz w:val="43"/>
          <w:szCs w:val="43"/>
        </w:rPr>
      </w:pPr>
    </w:p>
    <w:p w14:paraId="3D6284CF">
      <w:pPr>
        <w:numPr>
          <w:ilvl w:val="0"/>
          <w:numId w:val="0"/>
        </w:numPr>
        <w:spacing w:before="101" w:line="223" w:lineRule="auto"/>
        <w:ind w:left="680" w:leftChars="0"/>
        <w:rPr>
          <w:rFonts w:ascii="黑体" w:hAnsi="黑体" w:eastAsia="黑体" w:cs="黑体"/>
          <w:spacing w:val="4"/>
          <w:sz w:val="31"/>
          <w:szCs w:val="31"/>
        </w:rPr>
      </w:pPr>
      <w:r>
        <w:rPr>
          <w:rFonts w:hint="eastAsia" w:ascii="黑体" w:hAnsi="黑体" w:eastAsia="黑体" w:cs="黑体"/>
          <w:snapToGrid w:val="0"/>
          <w:color w:val="000000"/>
          <w:spacing w:val="4"/>
          <w:sz w:val="31"/>
          <w:szCs w:val="31"/>
          <w:lang w:val="en-US" w:eastAsia="en-US" w:bidi="ar-SA"/>
        </w:rPr>
        <w:t>一、</w:t>
      </w:r>
      <w:r>
        <w:rPr>
          <w:rFonts w:ascii="黑体" w:hAnsi="黑体" w:eastAsia="黑体" w:cs="黑体"/>
          <w:spacing w:val="4"/>
          <w:sz w:val="31"/>
          <w:szCs w:val="31"/>
        </w:rPr>
        <w:t>基本情况</w:t>
      </w:r>
    </w:p>
    <w:p w14:paraId="37FD84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360" w:beforeAutospacing="0" w:after="360" w:afterAutospacing="0" w:line="600" w:lineRule="exact"/>
        <w:ind w:left="0" w:leftChars="0" w:right="0" w:rightChars="0" w:firstLine="640" w:firstLineChars="200"/>
        <w:jc w:val="left"/>
        <w:textAlignment w:val="auto"/>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（一）职能职责</w:t>
      </w:r>
    </w:p>
    <w:p w14:paraId="049ED4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360" w:beforeAutospacing="0" w:after="360" w:afterAutospacing="0" w:line="600" w:lineRule="exact"/>
        <w:ind w:left="0" w:leftChars="0" w:right="0" w:rightChars="0" w:firstLine="640" w:firstLineChars="200"/>
        <w:jc w:val="left"/>
        <w:textAlignment w:val="auto"/>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承担全县听障和智障两类适龄残疾儿童少年接受十五年一贯制教育任务。贯彻国家教育方针，根据学生身心特点和需要实施教育，让学生掌握一定的日常生活、劳动、生产的知识和技能；初步掌握补偿自身缺陷的基本方法，身心缺陷得到一定程度的康复；初步树立自尊、自信、自强、自立的精神和维护自身合法权益的意识，形成适应社会的基本能力。</w:t>
      </w:r>
    </w:p>
    <w:p w14:paraId="3C803D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360" w:beforeAutospacing="0" w:after="360" w:afterAutospacing="0" w:line="600" w:lineRule="exact"/>
        <w:ind w:left="0" w:leftChars="0" w:right="0" w:rightChars="0" w:firstLine="640" w:firstLineChars="200"/>
        <w:jc w:val="left"/>
        <w:textAlignment w:val="auto"/>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（二）人员情况</w:t>
      </w:r>
    </w:p>
    <w:p w14:paraId="5BEA29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360" w:beforeAutospacing="0" w:after="360" w:afterAutospacing="0" w:line="600" w:lineRule="exact"/>
        <w:ind w:left="0" w:leftChars="0" w:right="0" w:rightChars="0" w:firstLine="640" w:firstLineChars="200"/>
        <w:jc w:val="left"/>
        <w:textAlignment w:val="auto"/>
        <w:rPr>
          <w:rFonts w:ascii="黑体" w:hAnsi="黑体" w:eastAsia="黑体" w:cs="黑体"/>
          <w:spacing w:val="4"/>
          <w:sz w:val="24"/>
          <w:szCs w:val="24"/>
        </w:rPr>
      </w:pPr>
      <w:r>
        <w:rPr>
          <w:rFonts w:hint="eastAsia" w:ascii="仿宋" w:hAnsi="仿宋" w:eastAsia="仿宋" w:cs="仿宋"/>
          <w:color w:val="000000"/>
          <w:kern w:val="0"/>
          <w:sz w:val="32"/>
          <w:szCs w:val="32"/>
          <w:shd w:val="clear" w:fill="FFFFFF"/>
          <w:lang w:val="en-US" w:eastAsia="zh-CN" w:bidi="ar"/>
        </w:rPr>
        <w:t>现有编制数33个，在编教师33人，在校学生197名。</w:t>
      </w:r>
    </w:p>
    <w:p w14:paraId="60F920BC">
      <w:pPr>
        <w:spacing w:before="211" w:line="221" w:lineRule="auto"/>
        <w:ind w:left="680"/>
        <w:rPr>
          <w:rFonts w:ascii="黑体" w:hAnsi="黑体" w:eastAsia="黑体" w:cs="黑体"/>
          <w:sz w:val="31"/>
          <w:szCs w:val="31"/>
        </w:rPr>
      </w:pPr>
      <w:r>
        <w:rPr>
          <w:rFonts w:ascii="黑体" w:hAnsi="黑体" w:eastAsia="黑体" w:cs="黑体"/>
          <w:sz w:val="31"/>
          <w:szCs w:val="31"/>
        </w:rPr>
        <w:t>二、</w:t>
      </w:r>
      <w:r>
        <w:rPr>
          <w:rFonts w:ascii="黑体" w:hAnsi="黑体" w:eastAsia="黑体" w:cs="黑体"/>
          <w:spacing w:val="-75"/>
          <w:sz w:val="31"/>
          <w:szCs w:val="31"/>
        </w:rPr>
        <w:t xml:space="preserve"> </w:t>
      </w:r>
      <w:r>
        <w:rPr>
          <w:rFonts w:ascii="黑体" w:hAnsi="黑体" w:eastAsia="黑体" w:cs="黑体"/>
          <w:sz w:val="31"/>
          <w:szCs w:val="31"/>
        </w:rPr>
        <w:t>一般公共预算支出情况</w:t>
      </w:r>
    </w:p>
    <w:p w14:paraId="696EED8B">
      <w:pPr>
        <w:spacing w:before="233" w:line="583" w:lineRule="exact"/>
        <w:ind w:left="844"/>
        <w:rPr>
          <w:rFonts w:ascii="楷体" w:hAnsi="楷体" w:eastAsia="楷体" w:cs="楷体"/>
          <w:b/>
          <w:bCs/>
          <w:spacing w:val="21"/>
          <w:position w:val="19"/>
          <w:sz w:val="31"/>
          <w:szCs w:val="31"/>
        </w:rPr>
      </w:pPr>
      <w:r>
        <w:rPr>
          <w:rFonts w:ascii="楷体" w:hAnsi="楷体" w:eastAsia="楷体" w:cs="楷体"/>
          <w:b/>
          <w:bCs/>
          <w:spacing w:val="21"/>
          <w:position w:val="19"/>
          <w:sz w:val="31"/>
          <w:szCs w:val="31"/>
        </w:rPr>
        <w:t>(一)基本支出情况</w:t>
      </w:r>
    </w:p>
    <w:p w14:paraId="49A99A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360" w:beforeAutospacing="0" w:after="360" w:afterAutospacing="0" w:line="600" w:lineRule="exact"/>
        <w:ind w:left="0" w:leftChars="0" w:right="0" w:rightChars="0" w:firstLine="640" w:firstLineChars="200"/>
        <w:jc w:val="left"/>
        <w:textAlignment w:val="auto"/>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2024年度支出合计701.26万元，其中：基本支出701.26万元。</w:t>
      </w:r>
    </w:p>
    <w:p w14:paraId="50677B34">
      <w:pPr>
        <w:numPr>
          <w:ilvl w:val="0"/>
          <w:numId w:val="2"/>
        </w:numPr>
        <w:spacing w:line="226" w:lineRule="auto"/>
        <w:ind w:left="834"/>
        <w:rPr>
          <w:rFonts w:ascii="楷体" w:hAnsi="楷体" w:eastAsia="楷体" w:cs="楷体"/>
          <w:b/>
          <w:bCs/>
          <w:spacing w:val="17"/>
          <w:sz w:val="31"/>
          <w:szCs w:val="31"/>
        </w:rPr>
      </w:pPr>
      <w:r>
        <w:rPr>
          <w:rFonts w:ascii="楷体" w:hAnsi="楷体" w:eastAsia="楷体" w:cs="楷体"/>
          <w:b/>
          <w:bCs/>
          <w:spacing w:val="17"/>
          <w:sz w:val="31"/>
          <w:szCs w:val="31"/>
        </w:rPr>
        <w:t>项目支出情况</w:t>
      </w:r>
    </w:p>
    <w:p w14:paraId="5C3D4061">
      <w:pPr>
        <w:numPr>
          <w:ilvl w:val="0"/>
          <w:numId w:val="0"/>
        </w:numPr>
        <w:kinsoku w:val="0"/>
        <w:autoSpaceDE w:val="0"/>
        <w:autoSpaceDN w:val="0"/>
        <w:adjustRightInd w:val="0"/>
        <w:snapToGrid w:val="0"/>
        <w:spacing w:line="226" w:lineRule="auto"/>
        <w:ind w:firstLine="690" w:firstLineChars="200"/>
        <w:textAlignment w:val="baseline"/>
        <w:rPr>
          <w:rFonts w:hint="eastAsia" w:ascii="黑体" w:hAnsi="黑体" w:eastAsia="黑体" w:cs="黑体"/>
          <w:b/>
          <w:bCs/>
          <w:spacing w:val="-4"/>
          <w:sz w:val="31"/>
          <w:szCs w:val="31"/>
          <w:lang w:eastAsia="zh-CN"/>
        </w:rPr>
      </w:pPr>
      <w:r>
        <w:rPr>
          <w:rFonts w:hint="eastAsia" w:ascii="楷体" w:hAnsi="楷体" w:eastAsia="楷体" w:cs="楷体"/>
          <w:b/>
          <w:bCs/>
          <w:spacing w:val="17"/>
          <w:sz w:val="31"/>
          <w:szCs w:val="31"/>
          <w:lang w:eastAsia="zh-CN"/>
        </w:rPr>
        <w:t>无</w:t>
      </w:r>
    </w:p>
    <w:p w14:paraId="022B3EEC">
      <w:pPr>
        <w:numPr>
          <w:ilvl w:val="0"/>
          <w:numId w:val="0"/>
        </w:numPr>
        <w:spacing w:before="239" w:line="222" w:lineRule="auto"/>
        <w:ind w:left="680" w:leftChars="0" w:firstLine="0" w:firstLineChars="0"/>
        <w:rPr>
          <w:rFonts w:ascii="黑体" w:hAnsi="黑体" w:eastAsia="黑体" w:cs="黑体"/>
          <w:b/>
          <w:bCs/>
          <w:spacing w:val="-4"/>
          <w:sz w:val="31"/>
          <w:szCs w:val="31"/>
        </w:rPr>
      </w:pPr>
      <w:r>
        <w:rPr>
          <w:rFonts w:hint="eastAsia" w:ascii="黑体" w:hAnsi="黑体" w:eastAsia="黑体" w:cs="黑体"/>
          <w:b/>
          <w:bCs/>
          <w:snapToGrid w:val="0"/>
          <w:color w:val="000000"/>
          <w:spacing w:val="-4"/>
          <w:sz w:val="31"/>
          <w:szCs w:val="31"/>
          <w:lang w:val="en-US" w:eastAsia="zh-CN" w:bidi="ar-SA"/>
        </w:rPr>
        <w:t>三</w:t>
      </w:r>
      <w:r>
        <w:rPr>
          <w:rFonts w:hint="eastAsia" w:ascii="黑体" w:hAnsi="黑体" w:eastAsia="黑体" w:cs="黑体"/>
          <w:b/>
          <w:bCs/>
          <w:snapToGrid w:val="0"/>
          <w:color w:val="000000"/>
          <w:spacing w:val="-4"/>
          <w:sz w:val="31"/>
          <w:szCs w:val="31"/>
          <w:lang w:val="en-US" w:eastAsia="en-US" w:bidi="ar-SA"/>
        </w:rPr>
        <w:t>、</w:t>
      </w:r>
      <w:r>
        <w:rPr>
          <w:rFonts w:ascii="黑体" w:hAnsi="黑体" w:eastAsia="黑体" w:cs="黑体"/>
          <w:b/>
          <w:bCs/>
          <w:spacing w:val="-4"/>
          <w:sz w:val="31"/>
          <w:szCs w:val="31"/>
        </w:rPr>
        <w:t>政府性基金预算支出情况</w:t>
      </w:r>
    </w:p>
    <w:p w14:paraId="5928B43C">
      <w:pPr>
        <w:numPr>
          <w:ilvl w:val="0"/>
          <w:numId w:val="0"/>
        </w:numPr>
        <w:kinsoku w:val="0"/>
        <w:autoSpaceDE w:val="0"/>
        <w:autoSpaceDN w:val="0"/>
        <w:adjustRightInd w:val="0"/>
        <w:snapToGrid w:val="0"/>
        <w:spacing w:line="226" w:lineRule="auto"/>
        <w:ind w:firstLine="690" w:firstLineChars="200"/>
        <w:textAlignment w:val="baseline"/>
        <w:rPr>
          <w:rFonts w:hint="eastAsia" w:ascii="黑体" w:hAnsi="黑体" w:eastAsia="黑体" w:cs="黑体"/>
          <w:b/>
          <w:bCs/>
          <w:spacing w:val="-4"/>
          <w:sz w:val="31"/>
          <w:szCs w:val="31"/>
          <w:lang w:eastAsia="zh-CN"/>
        </w:rPr>
      </w:pPr>
      <w:r>
        <w:rPr>
          <w:rFonts w:hint="eastAsia" w:ascii="楷体" w:hAnsi="楷体" w:eastAsia="楷体" w:cs="楷体"/>
          <w:b/>
          <w:bCs/>
          <w:spacing w:val="17"/>
          <w:sz w:val="31"/>
          <w:szCs w:val="31"/>
          <w:lang w:eastAsia="zh-CN"/>
        </w:rPr>
        <w:t>无</w:t>
      </w:r>
    </w:p>
    <w:p w14:paraId="63AC6CCB">
      <w:pPr>
        <w:numPr>
          <w:ilvl w:val="0"/>
          <w:numId w:val="3"/>
        </w:numPr>
        <w:spacing w:before="218" w:line="600" w:lineRule="exact"/>
        <w:ind w:left="684"/>
        <w:rPr>
          <w:rFonts w:ascii="黑体" w:hAnsi="黑体" w:eastAsia="黑体" w:cs="黑体"/>
          <w:b/>
          <w:bCs/>
          <w:spacing w:val="-5"/>
          <w:position w:val="21"/>
          <w:sz w:val="31"/>
          <w:szCs w:val="31"/>
        </w:rPr>
      </w:pPr>
      <w:r>
        <w:rPr>
          <w:rFonts w:ascii="黑体" w:hAnsi="黑体" w:eastAsia="黑体" w:cs="黑体"/>
          <w:b/>
          <w:bCs/>
          <w:spacing w:val="-5"/>
          <w:position w:val="21"/>
          <w:sz w:val="31"/>
          <w:szCs w:val="31"/>
        </w:rPr>
        <w:t>国有资本经营预算支出情况</w:t>
      </w:r>
    </w:p>
    <w:p w14:paraId="1BD5DB82">
      <w:pPr>
        <w:numPr>
          <w:ilvl w:val="0"/>
          <w:numId w:val="0"/>
        </w:numPr>
        <w:kinsoku w:val="0"/>
        <w:autoSpaceDE w:val="0"/>
        <w:autoSpaceDN w:val="0"/>
        <w:adjustRightInd w:val="0"/>
        <w:snapToGrid w:val="0"/>
        <w:spacing w:line="226" w:lineRule="auto"/>
        <w:ind w:firstLine="690" w:firstLineChars="200"/>
        <w:textAlignment w:val="baseline"/>
        <w:rPr>
          <w:rFonts w:hint="eastAsia" w:ascii="黑体" w:hAnsi="黑体" w:eastAsia="黑体" w:cs="黑体"/>
          <w:b/>
          <w:bCs/>
          <w:spacing w:val="-4"/>
          <w:sz w:val="31"/>
          <w:szCs w:val="31"/>
          <w:lang w:eastAsia="zh-CN"/>
        </w:rPr>
      </w:pPr>
      <w:r>
        <w:rPr>
          <w:rFonts w:hint="eastAsia" w:ascii="楷体" w:hAnsi="楷体" w:eastAsia="楷体" w:cs="楷体"/>
          <w:b/>
          <w:bCs/>
          <w:spacing w:val="17"/>
          <w:sz w:val="31"/>
          <w:szCs w:val="31"/>
          <w:lang w:eastAsia="zh-CN"/>
        </w:rPr>
        <w:t>无</w:t>
      </w:r>
    </w:p>
    <w:p w14:paraId="2EF1CF2A">
      <w:pPr>
        <w:numPr>
          <w:ilvl w:val="0"/>
          <w:numId w:val="3"/>
        </w:numPr>
        <w:spacing w:before="1" w:line="221" w:lineRule="auto"/>
        <w:ind w:left="684" w:leftChars="0" w:firstLine="0" w:firstLineChars="0"/>
        <w:rPr>
          <w:rFonts w:ascii="黑体" w:hAnsi="黑体" w:eastAsia="黑体" w:cs="黑体"/>
          <w:b/>
          <w:bCs/>
          <w:spacing w:val="-1"/>
          <w:sz w:val="31"/>
          <w:szCs w:val="31"/>
        </w:rPr>
      </w:pPr>
      <w:r>
        <w:rPr>
          <w:rFonts w:ascii="黑体" w:hAnsi="黑体" w:eastAsia="黑体" w:cs="黑体"/>
          <w:b/>
          <w:bCs/>
          <w:spacing w:val="-1"/>
          <w:sz w:val="31"/>
          <w:szCs w:val="31"/>
        </w:rPr>
        <w:t>社会保险基金预算支出情况</w:t>
      </w:r>
    </w:p>
    <w:p w14:paraId="4D83E3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360" w:beforeAutospacing="0" w:after="360" w:afterAutospacing="0" w:line="600" w:lineRule="exact"/>
        <w:ind w:left="0" w:leftChars="0" w:right="0" w:rightChars="0" w:firstLine="640" w:firstLineChars="200"/>
        <w:jc w:val="left"/>
        <w:textAlignment w:val="auto"/>
        <w:rPr>
          <w:rFonts w:hint="default" w:ascii="仿宋" w:hAnsi="仿宋" w:eastAsia="仿宋" w:cs="仿宋"/>
          <w:color w:val="000000"/>
          <w:kern w:val="0"/>
          <w:sz w:val="32"/>
          <w:szCs w:val="32"/>
          <w:shd w:val="clear" w:fill="FFFFFF"/>
          <w:lang w:val="en-US" w:eastAsia="zh-CN" w:bidi="ar"/>
        </w:rPr>
      </w:pPr>
      <w:r>
        <w:rPr>
          <w:rFonts w:hint="eastAsia" w:ascii="Times New Roman" w:hAnsi="Times New Roman" w:eastAsia="仿宋" w:cs="Times New Roman"/>
          <w:color w:val="000000"/>
          <w:sz w:val="32"/>
          <w:szCs w:val="32"/>
          <w:lang w:val="en-US" w:eastAsia="zh-CN"/>
        </w:rPr>
        <w:t>2024年度社会保险基金预算数109.99万元，决算数118.8万元（其中机关事业单位基本养老保险缴费支出47.52万元，机关事业单位职业年金缴费支出0.59万元，其他残疾人事业支出4.65万元，事业单位医疗支出25.17万元，财政对工伤保险基金的补助2.13万元，住房公积金支出38.74万元）。</w:t>
      </w:r>
    </w:p>
    <w:p w14:paraId="74298E8B">
      <w:pPr>
        <w:numPr>
          <w:ilvl w:val="0"/>
          <w:numId w:val="3"/>
        </w:numPr>
        <w:spacing w:before="226" w:line="221" w:lineRule="auto"/>
        <w:ind w:left="684" w:leftChars="0" w:firstLine="0" w:firstLineChars="0"/>
        <w:rPr>
          <w:rFonts w:ascii="黑体" w:hAnsi="黑体" w:eastAsia="黑体" w:cs="黑体"/>
          <w:b/>
          <w:bCs/>
          <w:spacing w:val="-8"/>
          <w:sz w:val="31"/>
          <w:szCs w:val="31"/>
        </w:rPr>
      </w:pPr>
      <w:r>
        <w:rPr>
          <w:rFonts w:ascii="黑体" w:hAnsi="黑体" w:eastAsia="黑体" w:cs="黑体"/>
          <w:b/>
          <w:bCs/>
          <w:spacing w:val="-8"/>
          <w:sz w:val="31"/>
          <w:szCs w:val="31"/>
        </w:rPr>
        <w:t>整体支出绩效情况</w:t>
      </w:r>
    </w:p>
    <w:p w14:paraId="03B2B23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360" w:beforeAutospacing="0" w:after="360" w:afterAutospacing="0" w:line="600" w:lineRule="exact"/>
        <w:ind w:left="0" w:leftChars="0" w:right="0" w:rightChars="0" w:firstLine="640" w:firstLineChars="200"/>
        <w:jc w:val="left"/>
        <w:textAlignment w:val="auto"/>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snapToGrid w:val="0"/>
          <w:color w:val="000000"/>
          <w:kern w:val="0"/>
          <w:sz w:val="32"/>
          <w:szCs w:val="32"/>
          <w:shd w:val="clear" w:fill="FFFFFF"/>
          <w:lang w:val="en-US" w:eastAsia="zh-CN" w:bidi="ar"/>
        </w:rPr>
        <w:t>（一）</w:t>
      </w:r>
      <w:r>
        <w:rPr>
          <w:rFonts w:hint="eastAsia" w:ascii="仿宋" w:hAnsi="仿宋" w:eastAsia="仿宋" w:cs="仿宋"/>
          <w:color w:val="000000"/>
          <w:kern w:val="0"/>
          <w:sz w:val="32"/>
          <w:szCs w:val="32"/>
          <w:shd w:val="clear" w:fill="FFFFFF"/>
          <w:lang w:val="en-US" w:eastAsia="zh-CN" w:bidi="ar"/>
        </w:rPr>
        <w:t>预决算公开：按照上级的要求，我单位在临武县政府门户网站上进行了预决算公开。</w:t>
      </w:r>
    </w:p>
    <w:p w14:paraId="0DC9393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snapToGrid w:val="0"/>
          <w:color w:val="000000"/>
          <w:kern w:val="0"/>
          <w:sz w:val="32"/>
          <w:szCs w:val="32"/>
          <w:shd w:val="clear" w:fill="FFFFFF"/>
          <w:lang w:val="en-US" w:eastAsia="zh-CN" w:bidi="ar"/>
        </w:rPr>
        <w:t>（二）</w:t>
      </w:r>
      <w:r>
        <w:rPr>
          <w:rFonts w:hint="eastAsia" w:ascii="仿宋" w:hAnsi="仿宋" w:eastAsia="仿宋" w:cs="仿宋"/>
          <w:color w:val="000000"/>
          <w:kern w:val="0"/>
          <w:sz w:val="32"/>
          <w:szCs w:val="32"/>
          <w:shd w:val="clear" w:fill="FFFFFF"/>
          <w:lang w:val="en-US" w:eastAsia="zh-CN" w:bidi="ar"/>
        </w:rPr>
        <w:t>“三公经费”控制情况：贯彻落实上级有关精神，严格控制“三公经费”支出，取得了良好效果。2024年度“三公经费”0万元。</w:t>
      </w:r>
    </w:p>
    <w:p w14:paraId="1A9B54A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0" w:leftChars="0" w:right="0" w:rightChars="0" w:firstLine="640" w:firstLineChars="200"/>
        <w:jc w:val="left"/>
        <w:textAlignment w:val="auto"/>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snapToGrid w:val="0"/>
          <w:color w:val="000000"/>
          <w:kern w:val="0"/>
          <w:sz w:val="32"/>
          <w:szCs w:val="32"/>
          <w:shd w:val="clear" w:fill="FFFFFF"/>
          <w:lang w:val="en-US" w:eastAsia="zh-CN" w:bidi="ar"/>
        </w:rPr>
        <w:t>（三）</w:t>
      </w:r>
      <w:r>
        <w:rPr>
          <w:rFonts w:hint="eastAsia" w:ascii="仿宋" w:hAnsi="仿宋" w:eastAsia="仿宋" w:cs="仿宋"/>
          <w:color w:val="000000"/>
          <w:kern w:val="0"/>
          <w:sz w:val="32"/>
          <w:szCs w:val="32"/>
          <w:shd w:val="clear" w:fill="FFFFFF"/>
          <w:lang w:val="en-US" w:eastAsia="zh-CN" w:bidi="ar"/>
        </w:rPr>
        <w:t>本年度教育教学工作顺利完成，现有学生197人，教师33人，共执行资金701.26万元，充分保障了教师、学生的合法权益。</w:t>
      </w:r>
    </w:p>
    <w:p w14:paraId="1EAA528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Chars="0" w:right="0" w:rightChars="0" w:firstLine="640" w:firstLineChars="200"/>
        <w:jc w:val="left"/>
        <w:textAlignment w:val="auto"/>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（四）主要绩效及评价结论</w:t>
      </w:r>
    </w:p>
    <w:p w14:paraId="1F6E279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leftChars="0" w:right="0" w:rightChars="0" w:firstLine="640" w:firstLineChars="200"/>
        <w:jc w:val="left"/>
        <w:textAlignment w:val="auto"/>
        <w:rPr>
          <w:rFonts w:ascii="黑体" w:hAnsi="黑体" w:eastAsia="黑体" w:cs="黑体"/>
          <w:b/>
          <w:bCs/>
          <w:spacing w:val="-8"/>
          <w:sz w:val="31"/>
          <w:szCs w:val="31"/>
        </w:rPr>
      </w:pPr>
      <w:r>
        <w:rPr>
          <w:rFonts w:hint="eastAsia" w:ascii="仿宋" w:hAnsi="仿宋" w:eastAsia="仿宋" w:cs="仿宋"/>
          <w:color w:val="000000"/>
          <w:kern w:val="0"/>
          <w:sz w:val="32"/>
          <w:szCs w:val="32"/>
          <w:shd w:val="clear" w:fill="FFFFFF"/>
          <w:lang w:val="en-US" w:eastAsia="zh-CN" w:bidi="ar"/>
        </w:rPr>
        <w:t>一年来在上级教育部门的正确领导下，全面贯彻执行党的教育方针，坚持以教育教学质量为中心，强化教育教学研究和常规管理，深入实行改革，执行教育行政的各种准则、理论、规章和制度，加强教师队伍建设，调动全体教师、学生的积极性和高度热情，发扬光大优良的校风、教风、学风，上下一致，团结协作，以认真务实的工作作风，加强教学研究，不断解决教学中的新问题，全面提高教学质量。</w:t>
      </w:r>
    </w:p>
    <w:p w14:paraId="21EC0B67">
      <w:pPr>
        <w:numPr>
          <w:ilvl w:val="0"/>
          <w:numId w:val="3"/>
        </w:numPr>
        <w:spacing w:before="241" w:line="580" w:lineRule="exact"/>
        <w:ind w:left="684" w:leftChars="0" w:firstLine="0" w:firstLineChars="0"/>
        <w:rPr>
          <w:rFonts w:ascii="黑体" w:hAnsi="黑体" w:eastAsia="黑体" w:cs="黑体"/>
          <w:b/>
          <w:bCs/>
          <w:position w:val="20"/>
          <w:sz w:val="31"/>
          <w:szCs w:val="31"/>
        </w:rPr>
      </w:pPr>
      <w:r>
        <w:rPr>
          <w:rFonts w:ascii="黑体" w:hAnsi="黑体" w:eastAsia="黑体" w:cs="黑体"/>
          <w:b/>
          <w:bCs/>
          <w:position w:val="20"/>
          <w:sz w:val="31"/>
          <w:szCs w:val="31"/>
        </w:rPr>
        <w:t>存在的问题及原因分析</w:t>
      </w:r>
    </w:p>
    <w:p w14:paraId="4253FA57">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（一）预算编制工作有待细化。预算编制不够明确和细化，预算编制的合理性需要提高，预算执行力度还要进一步加强。</w:t>
      </w:r>
    </w:p>
    <w:p w14:paraId="17C7981C">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（二）公用经费控制有一定难度，基本为刚性支出。</w:t>
      </w:r>
    </w:p>
    <w:p w14:paraId="708EA6C8">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仿宋" w:cs="Times New Roman"/>
          <w:color w:val="000000"/>
          <w:sz w:val="32"/>
          <w:szCs w:val="32"/>
          <w:lang w:val="en-US" w:eastAsia="zh-CN"/>
        </w:rPr>
      </w:pPr>
    </w:p>
    <w:p w14:paraId="13A2724C">
      <w:pPr>
        <w:numPr>
          <w:ilvl w:val="0"/>
          <w:numId w:val="3"/>
        </w:numPr>
        <w:spacing w:before="1" w:line="221" w:lineRule="auto"/>
        <w:ind w:left="684" w:leftChars="0" w:firstLine="0" w:firstLineChars="0"/>
        <w:rPr>
          <w:rFonts w:ascii="黑体" w:hAnsi="黑体" w:eastAsia="黑体" w:cs="黑体"/>
          <w:b/>
          <w:bCs/>
          <w:spacing w:val="-1"/>
          <w:sz w:val="31"/>
          <w:szCs w:val="31"/>
        </w:rPr>
      </w:pPr>
      <w:r>
        <w:rPr>
          <w:rFonts w:ascii="黑体" w:hAnsi="黑体" w:eastAsia="黑体" w:cs="黑体"/>
          <w:b/>
          <w:bCs/>
          <w:spacing w:val="-1"/>
          <w:sz w:val="31"/>
          <w:szCs w:val="31"/>
        </w:rPr>
        <w:t>下一步改进措施</w:t>
      </w:r>
    </w:p>
    <w:p w14:paraId="5C9B79E2">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仿宋" w:cs="Times New Roman"/>
          <w:color w:val="000000"/>
          <w:sz w:val="32"/>
          <w:szCs w:val="32"/>
          <w:lang w:val="en-US" w:eastAsia="zh-CN"/>
        </w:rPr>
      </w:pPr>
      <w:r>
        <w:rPr>
          <w:rFonts w:hint="eastAsia" w:ascii="仿宋" w:hAnsi="仿宋" w:eastAsia="仿宋" w:cs="仿宋"/>
          <w:color w:val="000000"/>
          <w:kern w:val="0"/>
          <w:sz w:val="32"/>
          <w:szCs w:val="32"/>
          <w:shd w:val="clear" w:fill="FFFFFF"/>
          <w:lang w:val="en-US" w:eastAsia="zh-CN" w:bidi="ar"/>
        </w:rPr>
        <w:t>针</w:t>
      </w:r>
      <w:r>
        <w:rPr>
          <w:rFonts w:hint="eastAsia" w:ascii="Times New Roman" w:hAnsi="Times New Roman" w:eastAsia="仿宋" w:cs="Times New Roman"/>
          <w:color w:val="000000"/>
          <w:sz w:val="32"/>
          <w:szCs w:val="32"/>
          <w:lang w:val="en-US" w:eastAsia="zh-CN"/>
        </w:rPr>
        <w:t>对上述存在的问题及对外整体支出管理工作的需要，拟实施的改进措施如下：</w:t>
      </w:r>
    </w:p>
    <w:p w14:paraId="4AF87B05">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一）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14:paraId="7F38DB46">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二）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1AACB65C">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三）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6942D0F0">
      <w:pPr>
        <w:numPr>
          <w:ilvl w:val="0"/>
          <w:numId w:val="0"/>
        </w:numPr>
        <w:kinsoku w:val="0"/>
        <w:autoSpaceDE w:val="0"/>
        <w:autoSpaceDN w:val="0"/>
        <w:adjustRightInd w:val="0"/>
        <w:snapToGrid w:val="0"/>
        <w:spacing w:before="1" w:line="221" w:lineRule="auto"/>
        <w:textAlignment w:val="baseline"/>
        <w:rPr>
          <w:rFonts w:ascii="黑体" w:hAnsi="黑体" w:eastAsia="黑体" w:cs="黑体"/>
          <w:b/>
          <w:bCs/>
          <w:spacing w:val="-1"/>
          <w:sz w:val="31"/>
          <w:szCs w:val="31"/>
        </w:rPr>
      </w:pPr>
    </w:p>
    <w:p w14:paraId="1294D118">
      <w:pPr>
        <w:numPr>
          <w:ilvl w:val="0"/>
          <w:numId w:val="3"/>
        </w:numPr>
        <w:spacing w:before="246" w:line="580" w:lineRule="exact"/>
        <w:ind w:left="684" w:leftChars="0" w:firstLine="0" w:firstLineChars="0"/>
        <w:rPr>
          <w:rFonts w:ascii="黑体" w:hAnsi="黑体" w:eastAsia="黑体" w:cs="黑体"/>
          <w:b/>
          <w:bCs/>
          <w:position w:val="20"/>
          <w:sz w:val="31"/>
          <w:szCs w:val="31"/>
        </w:rPr>
      </w:pPr>
      <w:r>
        <w:rPr>
          <w:rFonts w:ascii="黑体" w:hAnsi="黑体" w:eastAsia="黑体" w:cs="黑体"/>
          <w:b/>
          <w:bCs/>
          <w:position w:val="20"/>
          <w:sz w:val="31"/>
          <w:szCs w:val="31"/>
        </w:rPr>
        <w:t>部门整体支出绩效自评结果拟应用和公开情况</w:t>
      </w:r>
    </w:p>
    <w:p w14:paraId="719334A4">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一）我单位逐步建立绩效评价与部门预算相结合的结果应用机制，采取项目预期绩效目标申报制度，强化评价结果在部门预算编制和执行中的应用，实现绩效评价结果在部门预算编制和执行中的应用，促进财政资金的合理分配与有效使用。</w:t>
      </w:r>
    </w:p>
    <w:p w14:paraId="3A7A5859">
      <w:pPr>
        <w:numPr>
          <w:ilvl w:val="0"/>
          <w:numId w:val="0"/>
        </w:numPr>
        <w:kinsoku w:val="0"/>
        <w:autoSpaceDE w:val="0"/>
        <w:autoSpaceDN w:val="0"/>
        <w:adjustRightInd w:val="0"/>
        <w:snapToGrid w:val="0"/>
        <w:spacing w:before="246" w:line="580" w:lineRule="exact"/>
        <w:textAlignment w:val="baseline"/>
        <w:rPr>
          <w:rFonts w:ascii="黑体" w:hAnsi="黑体" w:eastAsia="黑体" w:cs="黑体"/>
          <w:b/>
          <w:bCs/>
          <w:position w:val="20"/>
          <w:sz w:val="31"/>
          <w:szCs w:val="31"/>
        </w:rPr>
      </w:pPr>
      <w:r>
        <w:rPr>
          <w:rFonts w:hint="eastAsia" w:ascii="Times New Roman" w:hAnsi="Times New Roman" w:eastAsia="仿宋" w:cs="Times New Roman"/>
          <w:color w:val="000000"/>
          <w:sz w:val="32"/>
          <w:szCs w:val="32"/>
          <w:lang w:val="en-US" w:eastAsia="zh-CN"/>
        </w:rPr>
        <w:t>（二）我单位按规定在政府门户网站公开了绩效自评的相关信息，数据真实、完整、准确。</w:t>
      </w:r>
    </w:p>
    <w:p w14:paraId="1C78DACF">
      <w:pPr>
        <w:numPr>
          <w:ilvl w:val="0"/>
          <w:numId w:val="3"/>
        </w:numPr>
        <w:spacing w:before="2" w:line="220" w:lineRule="auto"/>
        <w:ind w:left="684" w:leftChars="0" w:firstLine="0" w:firstLineChars="0"/>
        <w:rPr>
          <w:rFonts w:ascii="黑体" w:hAnsi="黑体" w:eastAsia="黑体" w:cs="黑体"/>
          <w:b/>
          <w:bCs/>
          <w:spacing w:val="-1"/>
          <w:sz w:val="31"/>
          <w:szCs w:val="31"/>
        </w:rPr>
      </w:pPr>
      <w:r>
        <w:rPr>
          <w:rFonts w:ascii="黑体" w:hAnsi="黑体" w:eastAsia="黑体" w:cs="黑体"/>
          <w:b/>
          <w:bCs/>
          <w:spacing w:val="-1"/>
          <w:sz w:val="31"/>
          <w:szCs w:val="31"/>
        </w:rPr>
        <w:t>其他需要说明的情况</w:t>
      </w:r>
    </w:p>
    <w:p w14:paraId="295A2873">
      <w:pPr>
        <w:numPr>
          <w:ilvl w:val="0"/>
          <w:numId w:val="0"/>
        </w:numPr>
        <w:kinsoku w:val="0"/>
        <w:autoSpaceDE w:val="0"/>
        <w:autoSpaceDN w:val="0"/>
        <w:adjustRightInd w:val="0"/>
        <w:snapToGrid w:val="0"/>
        <w:spacing w:line="226" w:lineRule="auto"/>
        <w:textAlignment w:val="baseline"/>
        <w:rPr>
          <w:sz w:val="31"/>
          <w:szCs w:val="31"/>
        </w:rPr>
      </w:pPr>
    </w:p>
    <w:p w14:paraId="5958A43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val="0"/>
        <w:spacing w:before="0" w:beforeAutospacing="0" w:after="0" w:afterAutospacing="0" w:line="600" w:lineRule="exact"/>
        <w:ind w:right="0" w:rightChars="0" w:firstLine="640" w:firstLineChars="200"/>
        <w:jc w:val="left"/>
        <w:textAlignment w:val="auto"/>
        <w:rPr>
          <w:sz w:val="31"/>
          <w:szCs w:val="31"/>
        </w:rPr>
        <w:sectPr>
          <w:footerReference r:id="rId5" w:type="default"/>
          <w:pgSz w:w="11906" w:h="16838"/>
          <w:pgMar w:top="1450" w:right="1839" w:bottom="1698" w:left="1819" w:header="0" w:footer="1389" w:gutter="0"/>
          <w:cols w:space="720" w:num="1"/>
        </w:sectPr>
      </w:pPr>
      <w:r>
        <w:rPr>
          <w:rFonts w:hint="eastAsia" w:ascii="仿宋" w:hAnsi="仿宋" w:eastAsia="仿宋" w:cs="仿宋"/>
          <w:color w:val="000000"/>
          <w:kern w:val="0"/>
          <w:sz w:val="32"/>
          <w:szCs w:val="32"/>
          <w:shd w:val="clear" w:fill="FFFFFF"/>
          <w:lang w:val="en-US" w:eastAsia="zh-CN" w:bidi="ar"/>
        </w:rPr>
        <w:t>没有其他需要说明的情况</w:t>
      </w:r>
    </w:p>
    <w:p w14:paraId="1B437FDD">
      <w:pPr>
        <w:spacing w:line="242" w:lineRule="auto"/>
        <w:rPr>
          <w:lang w:eastAsia="zh-CN"/>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695DA">
    <w:pPr>
      <w:spacing w:line="14" w:lineRule="auto"/>
      <w:rPr>
        <w:sz w:val="2"/>
      </w:rPr>
    </w:pPr>
    <w:r>
      <w:rPr>
        <w:sz w:val="2"/>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C655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2C655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2EE6">
    <w:pPr>
      <w:spacing w:before="1" w:line="177" w:lineRule="auto"/>
      <w:jc w:val="right"/>
      <w:rPr>
        <w:rFonts w:ascii="宋体" w:hAnsi="宋体" w:eastAsia="宋体" w:cs="宋体"/>
        <w:sz w:val="31"/>
        <w:szCs w:val="31"/>
      </w:rPr>
    </w:pPr>
    <w:r>
      <w:rPr>
        <w:sz w:val="31"/>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B78A8">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C5B78A8">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3E4B">
    <w:pPr>
      <w:spacing w:before="1" w:line="177" w:lineRule="auto"/>
      <w:rPr>
        <w:rFonts w:ascii="黑体" w:hAnsi="黑体" w:eastAsia="黑体" w:cs="黑体"/>
        <w:sz w:val="31"/>
        <w:szCs w:val="31"/>
      </w:rPr>
    </w:pPr>
    <w:r>
      <w:rPr>
        <w:sz w:val="31"/>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5F495">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DF5F495">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C13F2">
    <w:pPr>
      <w:spacing w:before="1" w:line="177" w:lineRule="auto"/>
      <w:ind w:left="7940"/>
      <w:rPr>
        <w:rFonts w:ascii="宋体" w:hAnsi="宋体" w:eastAsia="宋体" w:cs="宋体"/>
        <w:sz w:val="32"/>
        <w:szCs w:val="32"/>
      </w:rPr>
    </w:pPr>
    <w:r>
      <w:rPr>
        <w:sz w:val="32"/>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B99B6">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4B99B6">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004C4"/>
    <w:multiLevelType w:val="singleLevel"/>
    <w:tmpl w:val="D88004C4"/>
    <w:lvl w:ilvl="0" w:tentative="0">
      <w:start w:val="2"/>
      <w:numFmt w:val="chineseCounting"/>
      <w:lvlText w:val="(%1)"/>
      <w:lvlJc w:val="left"/>
      <w:pPr>
        <w:tabs>
          <w:tab w:val="left" w:pos="312"/>
        </w:tabs>
      </w:pPr>
      <w:rPr>
        <w:rFonts w:hint="eastAsia"/>
      </w:rPr>
    </w:lvl>
  </w:abstractNum>
  <w:abstractNum w:abstractNumId="1">
    <w:nsid w:val="22AB8265"/>
    <w:multiLevelType w:val="singleLevel"/>
    <w:tmpl w:val="22AB8265"/>
    <w:lvl w:ilvl="0" w:tentative="0">
      <w:start w:val="4"/>
      <w:numFmt w:val="chineseCounting"/>
      <w:suff w:val="space"/>
      <w:lvlText w:val="%1、"/>
      <w:lvlJc w:val="left"/>
      <w:rPr>
        <w:rFonts w:hint="eastAsia"/>
      </w:rPr>
    </w:lvl>
  </w:abstractNum>
  <w:abstractNum w:abstractNumId="2">
    <w:nsid w:val="6F7DCD78"/>
    <w:multiLevelType w:val="singleLevel"/>
    <w:tmpl w:val="6F7DCD78"/>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NjNjYzNhNDRhOGVkNDNiNjFhMDM0NDk3ZWFmMDIifQ=="/>
  </w:docVars>
  <w:rsids>
    <w:rsidRoot w:val="51940CB2"/>
    <w:rsid w:val="003B353F"/>
    <w:rsid w:val="004330E2"/>
    <w:rsid w:val="05E45479"/>
    <w:rsid w:val="08340A49"/>
    <w:rsid w:val="0A343A97"/>
    <w:rsid w:val="19BA25A0"/>
    <w:rsid w:val="1CAA48A7"/>
    <w:rsid w:val="265B4D2F"/>
    <w:rsid w:val="28810842"/>
    <w:rsid w:val="3AD42C9B"/>
    <w:rsid w:val="3EC31690"/>
    <w:rsid w:val="46053443"/>
    <w:rsid w:val="46F34C53"/>
    <w:rsid w:val="47A6185F"/>
    <w:rsid w:val="48D55830"/>
    <w:rsid w:val="4AAC764D"/>
    <w:rsid w:val="4B0709C0"/>
    <w:rsid w:val="51940CB2"/>
    <w:rsid w:val="5E247CFA"/>
    <w:rsid w:val="60954EA6"/>
    <w:rsid w:val="61334EF7"/>
    <w:rsid w:val="6431513C"/>
    <w:rsid w:val="69851D08"/>
    <w:rsid w:val="69CC4E56"/>
    <w:rsid w:val="6C532E82"/>
    <w:rsid w:val="7029347D"/>
    <w:rsid w:val="70D624AE"/>
    <w:rsid w:val="713B36A5"/>
    <w:rsid w:val="7375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5"/>
      <w:szCs w:val="35"/>
    </w:rPr>
  </w:style>
  <w:style w:type="paragraph" w:styleId="3">
    <w:name w:val="Balloon Text"/>
    <w:basedOn w:val="1"/>
    <w:link w:val="12"/>
    <w:qFormat/>
    <w:uiPriority w:val="0"/>
    <w:rPr>
      <w:sz w:val="18"/>
      <w:szCs w:val="18"/>
    </w:rPr>
  </w:style>
  <w:style w:type="paragraph" w:styleId="4">
    <w:name w:val="footer"/>
    <w:basedOn w:val="1"/>
    <w:autoRedefine/>
    <w:qFormat/>
    <w:uiPriority w:val="0"/>
    <w:pPr>
      <w:tabs>
        <w:tab w:val="center" w:pos="4153"/>
        <w:tab w:val="right" w:pos="8306"/>
      </w:tabs>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Table Text"/>
    <w:basedOn w:val="1"/>
    <w:autoRedefine/>
    <w:semiHidden/>
    <w:qFormat/>
    <w:uiPriority w:val="0"/>
    <w:rPr>
      <w:rFonts w:ascii="宋体" w:hAnsi="宋体" w:eastAsia="宋体" w:cs="宋体"/>
      <w:sz w:val="23"/>
      <w:szCs w:val="23"/>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批注框文本 Char"/>
    <w:basedOn w:val="9"/>
    <w:link w:val="3"/>
    <w:autoRedefine/>
    <w:qFormat/>
    <w:uiPriority w:val="0"/>
    <w:rPr>
      <w:rFonts w:ascii="Arial" w:hAnsi="Arial" w:eastAsia="Arial" w:cs="Arial"/>
      <w:snapToGrid w:val="0"/>
      <w:color w:val="000000"/>
      <w:sz w:val="18"/>
      <w:szCs w:val="18"/>
      <w:lang w:eastAsia="en-US"/>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1656</Words>
  <Characters>1858</Characters>
  <Lines>16</Lines>
  <Paragraphs>20</Paragraphs>
  <TotalTime>4</TotalTime>
  <ScaleCrop>false</ScaleCrop>
  <LinksUpToDate>false</LinksUpToDate>
  <CharactersWithSpaces>1885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2024-03-29T03:44:00Z</dcterms:created>
  <dc:creator>Administrator</dc:creator>
  <cp:lastModifiedBy>空城旧梦</cp:lastModifiedBy>
  <cp:lastPrinted>2024-04-30T00:52:00Z</cp:lastPrinted>
  <dcterms:modified xsi:type="dcterms:W3CDTF">2025-11-06T02:51:54Z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577AE6786C1944ACBED4EE18CF1E2033_13</vt:lpwstr>
  </property>
  <property fmtid="{D5CDD505-2E9C-101B-9397-08002B2CF9AE}" pid="4" name="KSOTemplateDocerSaveRecord">
    <vt:lpwstr>eyJoZGlkIjoiZDE4NzZkYTJhOGQ4Y2Q5NDIwZmU2NmU5NWZjMDI2ZDkiLCJ1c2VySWQiOiI0Nzk1NDYxNTEifQ==</vt:lpwstr>
  </property>
</Properties>
</file>