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98DED">
      <w:pPr>
        <w:jc w:val="center"/>
        <w:rPr>
          <w:rFonts w:hint="eastAsia" w:asciiTheme="majorEastAsia" w:hAnsiTheme="majorEastAsia" w:eastAsiaTheme="majorEastAsia"/>
          <w:b/>
          <w:bCs w:val="0"/>
          <w:sz w:val="36"/>
          <w:szCs w:val="36"/>
        </w:rPr>
      </w:pPr>
      <w:r>
        <w:rPr>
          <w:rFonts w:hint="eastAsia" w:asciiTheme="majorEastAsia" w:hAnsiTheme="majorEastAsia" w:eastAsiaTheme="majorEastAsia"/>
          <w:b/>
          <w:bCs w:val="0"/>
          <w:sz w:val="36"/>
          <w:szCs w:val="36"/>
          <w:lang w:eastAsia="zh-CN"/>
        </w:rPr>
        <w:t>临武县发展和改革</w:t>
      </w:r>
      <w:r>
        <w:rPr>
          <w:rFonts w:hint="eastAsia" w:asciiTheme="majorEastAsia" w:hAnsiTheme="majorEastAsia" w:eastAsiaTheme="majorEastAsia"/>
          <w:b/>
          <w:bCs w:val="0"/>
          <w:sz w:val="36"/>
          <w:szCs w:val="36"/>
        </w:rPr>
        <w:t>局</w:t>
      </w:r>
      <w:r>
        <w:rPr>
          <w:rFonts w:hint="eastAsia" w:asciiTheme="majorEastAsia" w:hAnsiTheme="majorEastAsia" w:eastAsiaTheme="majorEastAsia"/>
          <w:b/>
          <w:bCs w:val="0"/>
          <w:sz w:val="36"/>
          <w:szCs w:val="36"/>
          <w:lang w:eastAsia="zh-CN"/>
        </w:rPr>
        <w:t>202</w:t>
      </w:r>
      <w:r>
        <w:rPr>
          <w:rFonts w:hint="eastAsia" w:asciiTheme="majorEastAsia" w:hAnsiTheme="majorEastAsia" w:eastAsiaTheme="majorEastAsia"/>
          <w:b/>
          <w:bCs w:val="0"/>
          <w:sz w:val="36"/>
          <w:szCs w:val="36"/>
          <w:lang w:val="en-US" w:eastAsia="zh-CN"/>
        </w:rPr>
        <w:t>4</w:t>
      </w:r>
      <w:r>
        <w:rPr>
          <w:rFonts w:hint="eastAsia" w:asciiTheme="majorEastAsia" w:hAnsiTheme="majorEastAsia" w:eastAsiaTheme="majorEastAsia"/>
          <w:b/>
          <w:bCs w:val="0"/>
          <w:sz w:val="36"/>
          <w:szCs w:val="36"/>
        </w:rPr>
        <w:t>年度部门整体支出绩效</w:t>
      </w:r>
    </w:p>
    <w:p w14:paraId="0C43BD0B">
      <w:pPr>
        <w:jc w:val="center"/>
        <w:rPr>
          <w:rFonts w:hint="eastAsia" w:ascii="仿宋_GB2312" w:eastAsiaTheme="majorEastAsia"/>
          <w:b/>
          <w:bCs w:val="0"/>
          <w:sz w:val="32"/>
          <w:szCs w:val="32"/>
          <w:lang w:val="en-US" w:eastAsia="zh-CN"/>
        </w:rPr>
      </w:pPr>
      <w:r>
        <w:rPr>
          <w:rFonts w:hint="eastAsia" w:asciiTheme="majorEastAsia" w:hAnsiTheme="majorEastAsia" w:eastAsiaTheme="majorEastAsia"/>
          <w:b/>
          <w:bCs w:val="0"/>
          <w:sz w:val="36"/>
          <w:szCs w:val="36"/>
          <w:lang w:eastAsia="zh-CN"/>
        </w:rPr>
        <w:t>自评</w:t>
      </w:r>
      <w:r>
        <w:rPr>
          <w:rFonts w:hint="eastAsia" w:asciiTheme="majorEastAsia" w:hAnsiTheme="majorEastAsia" w:eastAsiaTheme="majorEastAsia"/>
          <w:b/>
          <w:bCs w:val="0"/>
          <w:sz w:val="36"/>
          <w:szCs w:val="36"/>
        </w:rPr>
        <w:t>报告</w:t>
      </w:r>
    </w:p>
    <w:p w14:paraId="1A9DC00E">
      <w:pPr>
        <w:ind w:firstLine="640" w:firstLineChars="200"/>
        <w:rPr>
          <w:rFonts w:ascii="仿宋_GB2312" w:eastAsia="仿宋_GB2312"/>
          <w:sz w:val="32"/>
          <w:szCs w:val="32"/>
        </w:rPr>
      </w:pPr>
      <w:r>
        <w:rPr>
          <w:rFonts w:hint="eastAsia" w:ascii="仿宋" w:hAnsi="仿宋" w:eastAsia="仿宋" w:cs="仿宋"/>
          <w:i w:val="0"/>
          <w:iCs w:val="0"/>
          <w:caps w:val="0"/>
          <w:color w:val="000000"/>
          <w:spacing w:val="0"/>
          <w:sz w:val="32"/>
          <w:szCs w:val="32"/>
        </w:rPr>
        <w:t>为全面实施预算绩效管理，进一步加强财政支出管理，强化部门支出责任，切实提高财政资金使用效益和管理水平，根据《中华人民共和国预算法》《中华人民共和国预算法实施条例》《中共中央 国务院关于全面实施预算绩效管理的意见》（中发〔2018〕34号）、《中共湖南省委办公厅 湖南省人民政府办公厅关于全面实施预算绩效管理的实施意见》（湘办发〔2019〕10号）及《关于做好202</w:t>
      </w:r>
      <w:r>
        <w:rPr>
          <w:rFonts w:hint="eastAsia" w:ascii="仿宋" w:hAnsi="仿宋" w:eastAsia="仿宋" w:cs="仿宋"/>
          <w:i w:val="0"/>
          <w:iCs w:val="0"/>
          <w:caps w:val="0"/>
          <w:color w:val="000000"/>
          <w:spacing w:val="0"/>
          <w:sz w:val="32"/>
          <w:szCs w:val="32"/>
          <w:lang w:val="en-US" w:eastAsia="zh-CN"/>
        </w:rPr>
        <w:t>4</w:t>
      </w:r>
      <w:r>
        <w:rPr>
          <w:rFonts w:hint="eastAsia" w:ascii="仿宋" w:hAnsi="仿宋" w:eastAsia="仿宋" w:cs="仿宋"/>
          <w:i w:val="0"/>
          <w:iCs w:val="0"/>
          <w:caps w:val="0"/>
          <w:color w:val="000000"/>
          <w:spacing w:val="0"/>
          <w:sz w:val="32"/>
          <w:szCs w:val="32"/>
        </w:rPr>
        <w:t>年预算绩效管理工作的通知》等文件精神，我单位对202</w:t>
      </w:r>
      <w:r>
        <w:rPr>
          <w:rFonts w:hint="eastAsia" w:ascii="仿宋" w:hAnsi="仿宋" w:eastAsia="仿宋" w:cs="仿宋"/>
          <w:i w:val="0"/>
          <w:iCs w:val="0"/>
          <w:caps w:val="0"/>
          <w:color w:val="000000"/>
          <w:spacing w:val="0"/>
          <w:sz w:val="32"/>
          <w:szCs w:val="32"/>
          <w:lang w:val="en-US" w:eastAsia="zh-CN"/>
        </w:rPr>
        <w:t>4</w:t>
      </w:r>
      <w:r>
        <w:rPr>
          <w:rFonts w:hint="eastAsia" w:ascii="仿宋" w:hAnsi="仿宋" w:eastAsia="仿宋" w:cs="仿宋"/>
          <w:i w:val="0"/>
          <w:iCs w:val="0"/>
          <w:caps w:val="0"/>
          <w:color w:val="000000"/>
          <w:spacing w:val="0"/>
          <w:sz w:val="32"/>
          <w:szCs w:val="32"/>
        </w:rPr>
        <w:t>年部门整体支出进行了绩效自评，现将绩效自评情况报告如下：</w:t>
      </w:r>
    </w:p>
    <w:p w14:paraId="40D8C5BA">
      <w:pPr>
        <w:ind w:firstLine="640" w:firstLineChars="200"/>
        <w:rPr>
          <w:rFonts w:ascii="黑体" w:hAnsi="黑体" w:eastAsia="黑体"/>
          <w:sz w:val="32"/>
          <w:szCs w:val="32"/>
        </w:rPr>
      </w:pPr>
      <w:r>
        <w:rPr>
          <w:rFonts w:hint="eastAsia" w:ascii="黑体" w:hAnsi="黑体" w:eastAsia="黑体"/>
          <w:sz w:val="32"/>
          <w:szCs w:val="32"/>
        </w:rPr>
        <w:t>一、</w:t>
      </w:r>
      <w:r>
        <w:rPr>
          <w:rFonts w:hint="eastAsia" w:ascii="黑体" w:hAnsi="黑体" w:eastAsia="黑体"/>
          <w:bCs/>
          <w:sz w:val="32"/>
          <w:szCs w:val="32"/>
        </w:rPr>
        <w:t>部门概况</w:t>
      </w:r>
    </w:p>
    <w:p w14:paraId="1A495B29">
      <w:pPr>
        <w:ind w:firstLine="643" w:firstLineChars="200"/>
        <w:rPr>
          <w:rFonts w:hint="eastAsia" w:ascii="仿宋_GB2312" w:eastAsia="仿宋_GB2312"/>
          <w:b/>
          <w:sz w:val="32"/>
          <w:szCs w:val="32"/>
        </w:rPr>
      </w:pPr>
      <w:r>
        <w:rPr>
          <w:rFonts w:hint="eastAsia" w:ascii="仿宋_GB2312" w:eastAsia="仿宋_GB2312"/>
          <w:b/>
          <w:sz w:val="32"/>
          <w:szCs w:val="32"/>
        </w:rPr>
        <w:t>（一）机构设置、人员构成情况</w:t>
      </w:r>
    </w:p>
    <w:p w14:paraId="0B1CDD0E">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eastAsia="仿宋_GB2312" w:cs="仿宋_GB2312"/>
          <w:sz w:val="32"/>
          <w:szCs w:val="32"/>
          <w:lang w:eastAsia="zh-CN"/>
        </w:rPr>
      </w:pPr>
      <w:r>
        <w:rPr>
          <w:rFonts w:hint="eastAsia" w:ascii="仿宋" w:hAnsi="仿宋" w:eastAsia="仿宋" w:cs="仿宋"/>
          <w:sz w:val="30"/>
          <w:szCs w:val="30"/>
          <w:shd w:val="clear" w:fill="FFFFFF"/>
        </w:rPr>
        <w:t>临武县发展和改革局设有</w:t>
      </w:r>
      <w:r>
        <w:rPr>
          <w:rFonts w:hint="eastAsia" w:ascii="仿宋" w:hAnsi="仿宋" w:eastAsia="仿宋" w:cs="仿宋"/>
          <w:sz w:val="30"/>
          <w:szCs w:val="30"/>
          <w:shd w:val="clear" w:fill="FFFFFF"/>
          <w:lang w:val="en-US" w:eastAsia="zh-CN"/>
        </w:rPr>
        <w:t>12</w:t>
      </w:r>
      <w:r>
        <w:rPr>
          <w:rFonts w:hint="eastAsia" w:ascii="仿宋" w:hAnsi="仿宋" w:eastAsia="仿宋" w:cs="仿宋"/>
          <w:sz w:val="30"/>
          <w:szCs w:val="30"/>
          <w:shd w:val="clear" w:fill="FFFFFF"/>
        </w:rPr>
        <w:t>个</w:t>
      </w:r>
      <w:r>
        <w:rPr>
          <w:rFonts w:hint="eastAsia" w:ascii="仿宋" w:hAnsi="仿宋" w:eastAsia="仿宋" w:cs="仿宋"/>
          <w:sz w:val="30"/>
          <w:szCs w:val="30"/>
          <w:shd w:val="clear" w:fill="FFFFFF"/>
          <w:lang w:val="en-US" w:eastAsia="zh-CN"/>
        </w:rPr>
        <w:t>内设</w:t>
      </w:r>
      <w:r>
        <w:rPr>
          <w:rFonts w:hint="eastAsia" w:ascii="仿宋" w:hAnsi="仿宋" w:eastAsia="仿宋" w:cs="仿宋"/>
          <w:sz w:val="30"/>
          <w:szCs w:val="30"/>
          <w:shd w:val="clear" w:fill="FFFFFF"/>
        </w:rPr>
        <w:t>机构，包括办公室、</w:t>
      </w:r>
      <w:r>
        <w:rPr>
          <w:rFonts w:hint="eastAsia" w:eastAsia="仿宋_GB2312" w:cs="仿宋_GB2312"/>
          <w:sz w:val="32"/>
          <w:szCs w:val="32"/>
        </w:rPr>
        <w:t>综合股（县国民经济动员办公室）</w:t>
      </w:r>
      <w:r>
        <w:rPr>
          <w:rFonts w:hint="eastAsia" w:ascii="仿宋" w:hAnsi="仿宋" w:eastAsia="仿宋" w:cs="仿宋"/>
          <w:sz w:val="30"/>
          <w:szCs w:val="30"/>
          <w:shd w:val="clear" w:fill="FFFFFF"/>
        </w:rPr>
        <w:t>、</w:t>
      </w:r>
      <w:r>
        <w:rPr>
          <w:rFonts w:hint="eastAsia" w:ascii="Times New Roman" w:hAnsi="Times New Roman" w:eastAsia="仿宋_GB2312" w:cs="仿宋_GB2312"/>
          <w:sz w:val="32"/>
          <w:szCs w:val="32"/>
        </w:rPr>
        <w:t>优化经济发展环境股（法规股、招投标办）</w:t>
      </w:r>
      <w:r>
        <w:rPr>
          <w:rFonts w:hint="eastAsia" w:ascii="仿宋" w:hAnsi="仿宋" w:eastAsia="仿宋" w:cs="仿宋"/>
          <w:sz w:val="30"/>
          <w:szCs w:val="30"/>
          <w:shd w:val="clear" w:fill="FFFFFF"/>
        </w:rPr>
        <w:t>、</w:t>
      </w:r>
      <w:r>
        <w:rPr>
          <w:rFonts w:hint="eastAsia" w:eastAsia="仿宋_GB2312" w:cs="仿宋_GB2312"/>
          <w:sz w:val="32"/>
          <w:szCs w:val="32"/>
        </w:rPr>
        <w:t>投资管理和评估督导股</w:t>
      </w:r>
      <w:r>
        <w:rPr>
          <w:rFonts w:hint="eastAsia" w:eastAsia="仿宋_GB2312" w:cs="仿宋_GB2312"/>
          <w:sz w:val="32"/>
          <w:szCs w:val="32"/>
          <w:lang w:eastAsia="zh-CN"/>
        </w:rPr>
        <w:t>、</w:t>
      </w:r>
      <w:r>
        <w:rPr>
          <w:rFonts w:hint="eastAsia" w:ascii="仿宋_GB2312" w:eastAsia="仿宋_GB2312"/>
          <w:sz w:val="32"/>
          <w:szCs w:val="32"/>
        </w:rPr>
        <w:t>行政审批股（互联网+监督）</w:t>
      </w:r>
      <w:r>
        <w:rPr>
          <w:rFonts w:hint="eastAsia" w:ascii="仿宋" w:hAnsi="仿宋" w:eastAsia="仿宋" w:cs="仿宋"/>
          <w:sz w:val="30"/>
          <w:szCs w:val="30"/>
          <w:shd w:val="clear" w:fill="FFFFFF"/>
        </w:rPr>
        <w:t>、</w:t>
      </w:r>
      <w:r>
        <w:rPr>
          <w:rFonts w:hint="eastAsia" w:eastAsia="仿宋_GB2312" w:cs="仿宋_GB2312"/>
          <w:sz w:val="32"/>
          <w:szCs w:val="32"/>
        </w:rPr>
        <w:t>农村经济股（易地搬迁、以工代赈办、指导粮食行业发展股）</w:t>
      </w:r>
      <w:r>
        <w:rPr>
          <w:rFonts w:hint="eastAsia" w:eastAsia="仿宋_GB2312" w:cs="仿宋_GB2312"/>
          <w:sz w:val="32"/>
          <w:szCs w:val="32"/>
          <w:lang w:eastAsia="zh-CN"/>
        </w:rPr>
        <w:t>、</w:t>
      </w:r>
      <w:r>
        <w:rPr>
          <w:rFonts w:hint="eastAsia" w:ascii="Times New Roman" w:hAnsi="Times New Roman" w:eastAsia="仿宋_GB2312" w:cs="Times New Roman"/>
          <w:spacing w:val="-4"/>
          <w:sz w:val="32"/>
          <w:szCs w:val="32"/>
        </w:rPr>
        <w:t>服务业和基础产业股（工业和高技术产业股）</w:t>
      </w:r>
      <w:r>
        <w:rPr>
          <w:rFonts w:hint="eastAsia" w:ascii="Times New Roman" w:hAnsi="Times New Roman" w:eastAsia="仿宋_GB2312" w:cs="Times New Roman"/>
          <w:spacing w:val="-4"/>
          <w:sz w:val="32"/>
          <w:szCs w:val="32"/>
          <w:lang w:eastAsia="zh-CN"/>
        </w:rPr>
        <w:t>、</w:t>
      </w:r>
      <w:r>
        <w:rPr>
          <w:rFonts w:hint="eastAsia" w:ascii="Times New Roman" w:hAnsi="Times New Roman" w:eastAsia="仿宋_GB2312" w:cs="仿宋_GB2312"/>
          <w:sz w:val="32"/>
          <w:szCs w:val="32"/>
        </w:rPr>
        <w:t>社会发展和地区经济股</w:t>
      </w:r>
      <w:r>
        <w:rPr>
          <w:rFonts w:hint="eastAsia" w:ascii="Times New Roman" w:hAnsi="Times New Roman" w:eastAsia="仿宋_GB2312" w:cs="仿宋_GB2312"/>
          <w:sz w:val="32"/>
          <w:szCs w:val="32"/>
          <w:lang w:eastAsia="zh-CN"/>
        </w:rPr>
        <w:t>、</w:t>
      </w:r>
      <w:r>
        <w:rPr>
          <w:rFonts w:hint="eastAsia" w:eastAsia="仿宋_GB2312" w:cs="仿宋_GB2312"/>
          <w:sz w:val="32"/>
          <w:szCs w:val="32"/>
        </w:rPr>
        <w:t>资源环境股（能源股）</w:t>
      </w:r>
      <w:r>
        <w:rPr>
          <w:rFonts w:hint="eastAsia" w:eastAsia="仿宋_GB2312" w:cs="仿宋_GB2312"/>
          <w:sz w:val="32"/>
          <w:szCs w:val="32"/>
          <w:lang w:eastAsia="zh-CN"/>
        </w:rPr>
        <w:t>、</w:t>
      </w:r>
      <w:r>
        <w:rPr>
          <w:rFonts w:hint="eastAsia" w:eastAsia="仿宋_GB2312" w:cs="仿宋_GB2312"/>
          <w:sz w:val="32"/>
          <w:szCs w:val="32"/>
        </w:rPr>
        <w:t>物价和行政事业收费管理股</w:t>
      </w:r>
      <w:r>
        <w:rPr>
          <w:rFonts w:hint="eastAsia" w:eastAsia="仿宋_GB2312" w:cs="仿宋_GB2312"/>
          <w:sz w:val="32"/>
          <w:szCs w:val="32"/>
          <w:lang w:eastAsia="zh-CN"/>
        </w:rPr>
        <w:t>、</w:t>
      </w:r>
      <w:r>
        <w:rPr>
          <w:rFonts w:eastAsia="仿宋_GB2312" w:cs="仿宋_GB2312"/>
          <w:sz w:val="32"/>
          <w:szCs w:val="32"/>
        </w:rPr>
        <w:t>粮</w:t>
      </w:r>
      <w:r>
        <w:rPr>
          <w:rFonts w:hint="eastAsia" w:eastAsia="仿宋_GB2312" w:cs="仿宋_GB2312"/>
          <w:sz w:val="32"/>
          <w:szCs w:val="32"/>
        </w:rPr>
        <w:t>食和</w:t>
      </w:r>
      <w:r>
        <w:rPr>
          <w:rFonts w:eastAsia="仿宋_GB2312" w:cs="仿宋_GB2312"/>
          <w:sz w:val="32"/>
          <w:szCs w:val="32"/>
        </w:rPr>
        <w:t>物资储备</w:t>
      </w:r>
      <w:r>
        <w:rPr>
          <w:rFonts w:hint="eastAsia" w:eastAsia="仿宋_GB2312" w:cs="仿宋_GB2312"/>
          <w:sz w:val="32"/>
          <w:szCs w:val="32"/>
        </w:rPr>
        <w:t>管理股</w:t>
      </w:r>
      <w:r>
        <w:rPr>
          <w:rFonts w:hint="eastAsia" w:eastAsia="仿宋_GB2312" w:cs="仿宋_GB2312"/>
          <w:sz w:val="32"/>
          <w:szCs w:val="32"/>
          <w:lang w:eastAsia="zh-CN"/>
        </w:rPr>
        <w:t>、国防动员股。</w:t>
      </w:r>
    </w:p>
    <w:p w14:paraId="676BE215">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right="0" w:firstLine="640" w:firstLineChars="200"/>
        <w:jc w:val="both"/>
        <w:textAlignment w:val="auto"/>
        <w:rPr>
          <w:rFonts w:hint="eastAsia" w:ascii="黑体" w:hAnsi="黑体" w:eastAsia="黑体" w:cs="黑体"/>
          <w:b/>
          <w:bCs/>
          <w:sz w:val="30"/>
          <w:szCs w:val="30"/>
          <w:shd w:val="clear" w:fill="FFFFFF"/>
        </w:rPr>
      </w:pPr>
      <w:r>
        <w:rPr>
          <w:rFonts w:hint="eastAsia" w:eastAsia="仿宋_GB2312" w:cs="仿宋_GB2312"/>
          <w:sz w:val="32"/>
          <w:szCs w:val="32"/>
          <w:lang w:val="en-US" w:eastAsia="zh-CN"/>
        </w:rPr>
        <w:t>临武县发展和改革局现实有编制59个，其中行政编制11个，事业编制48个。实有在职人数51人，其中行政编制11人，事业编制40人。退休人员73人，应急巡逻中队劳务派遣人员12人，局机关劳务派遣人员2人。</w:t>
      </w:r>
    </w:p>
    <w:p w14:paraId="29FA23BD">
      <w:pPr>
        <w:numPr>
          <w:ilvl w:val="0"/>
          <w:numId w:val="1"/>
        </w:numPr>
        <w:ind w:firstLine="643" w:firstLineChars="200"/>
        <w:rPr>
          <w:rFonts w:hint="eastAsia" w:ascii="仿宋_GB2312" w:eastAsia="仿宋_GB2312"/>
          <w:b/>
          <w:sz w:val="32"/>
          <w:szCs w:val="32"/>
        </w:rPr>
      </w:pPr>
      <w:r>
        <w:rPr>
          <w:rFonts w:hint="eastAsia" w:ascii="仿宋_GB2312" w:eastAsia="仿宋_GB2312"/>
          <w:b/>
          <w:sz w:val="32"/>
          <w:szCs w:val="32"/>
        </w:rPr>
        <w:t>部门主要工作职责</w:t>
      </w:r>
    </w:p>
    <w:p w14:paraId="3919AA74">
      <w:pPr>
        <w:ind w:firstLine="640" w:firstLineChars="200"/>
        <w:rPr>
          <w:rFonts w:hint="eastAsia" w:eastAsia="仿宋_GB2312" w:cs="仿宋_GB2312" w:asciiTheme="minorHAnsi" w:hAnsiTheme="minorHAnsi"/>
          <w:kern w:val="0"/>
          <w:sz w:val="32"/>
          <w:szCs w:val="32"/>
          <w:lang w:val="en-US" w:eastAsia="zh-CN" w:bidi="ar"/>
        </w:rPr>
      </w:pPr>
      <w:r>
        <w:rPr>
          <w:rFonts w:hint="eastAsia" w:eastAsia="仿宋_GB2312" w:cs="仿宋_GB2312"/>
          <w:kern w:val="0"/>
          <w:sz w:val="32"/>
          <w:szCs w:val="32"/>
          <w:lang w:val="en-US" w:eastAsia="zh-CN" w:bidi="ar"/>
        </w:rPr>
        <w:t>1、</w:t>
      </w:r>
      <w:r>
        <w:rPr>
          <w:rFonts w:hint="eastAsia" w:eastAsia="仿宋_GB2312" w:cs="仿宋_GB2312" w:asciiTheme="minorHAnsi" w:hAnsiTheme="minorHAnsi"/>
          <w:kern w:val="0"/>
          <w:sz w:val="32"/>
          <w:szCs w:val="32"/>
          <w:lang w:val="en-US" w:eastAsia="zh-CN" w:bidi="ar"/>
        </w:rPr>
        <w:t>研究全县国民经济与社会发展的战略目标和提出贯彻执行国家方针政策的实施意见，组织编制全县国民经济和社会发展的长期规划、中期计划和年度计划，以及基础产业、支柱产业等专项发展规划、计划；全县有价证券发行计划和关系国计民生的重要农产品、生产资料的专项储备计划；做好社会总需求和总供给以及全社会资金等重要经济总量的综合平衡和重大比例关系的协调。</w:t>
      </w:r>
    </w:p>
    <w:p w14:paraId="69E03538">
      <w:pPr>
        <w:ind w:firstLine="640" w:firstLineChars="200"/>
        <w:rPr>
          <w:rFonts w:hint="eastAsia" w:eastAsia="仿宋_GB2312" w:cs="仿宋_GB2312" w:asciiTheme="minorHAnsi" w:hAnsiTheme="minorHAnsi"/>
          <w:kern w:val="0"/>
          <w:sz w:val="32"/>
          <w:szCs w:val="32"/>
          <w:lang w:val="en-US" w:eastAsia="zh-CN" w:bidi="ar"/>
        </w:rPr>
      </w:pPr>
      <w:r>
        <w:rPr>
          <w:rFonts w:hint="eastAsia" w:eastAsia="仿宋_GB2312" w:cs="仿宋_GB2312"/>
          <w:kern w:val="0"/>
          <w:sz w:val="32"/>
          <w:szCs w:val="32"/>
          <w:lang w:val="en-US" w:eastAsia="zh-CN" w:bidi="ar"/>
        </w:rPr>
        <w:t>2、</w:t>
      </w:r>
      <w:r>
        <w:rPr>
          <w:rFonts w:hint="eastAsia" w:eastAsia="仿宋_GB2312" w:cs="仿宋_GB2312" w:asciiTheme="minorHAnsi" w:hAnsiTheme="minorHAnsi"/>
          <w:kern w:val="0"/>
          <w:sz w:val="32"/>
          <w:szCs w:val="32"/>
          <w:lang w:val="en-US" w:eastAsia="zh-CN" w:bidi="ar"/>
        </w:rPr>
        <w:t>研究宏观经济发展问题，会同有关部门贯彻执行国家产业政策，并协调和监督其实施，引导和促进产业结构的优化。</w:t>
      </w:r>
    </w:p>
    <w:p w14:paraId="595C2C95">
      <w:pPr>
        <w:ind w:firstLine="640" w:firstLineChars="200"/>
        <w:rPr>
          <w:rFonts w:hint="eastAsia" w:eastAsia="仿宋_GB2312" w:cs="仿宋_GB2312" w:asciiTheme="minorHAnsi" w:hAnsiTheme="minorHAnsi"/>
          <w:kern w:val="0"/>
          <w:sz w:val="32"/>
          <w:szCs w:val="32"/>
          <w:lang w:val="en-US" w:eastAsia="zh-CN" w:bidi="ar"/>
        </w:rPr>
      </w:pPr>
      <w:r>
        <w:rPr>
          <w:rFonts w:hint="eastAsia" w:eastAsia="仿宋_GB2312" w:cs="仿宋_GB2312"/>
          <w:kern w:val="0"/>
          <w:sz w:val="32"/>
          <w:szCs w:val="32"/>
          <w:lang w:val="en-US" w:eastAsia="zh-CN" w:bidi="ar"/>
        </w:rPr>
        <w:t>3、</w:t>
      </w:r>
      <w:r>
        <w:rPr>
          <w:rFonts w:hint="eastAsia" w:eastAsia="仿宋_GB2312" w:cs="仿宋_GB2312" w:asciiTheme="minorHAnsi" w:hAnsiTheme="minorHAnsi"/>
          <w:kern w:val="0"/>
          <w:sz w:val="32"/>
          <w:szCs w:val="32"/>
          <w:lang w:val="en-US" w:eastAsia="zh-CN" w:bidi="ar"/>
        </w:rPr>
        <w:t>组织制订全县国土开发、整治、保护的总体规划，以及区域经济横向联合发展的规划、资源节约与综合利用规划，搞好全县生产力的合理布局。</w:t>
      </w:r>
    </w:p>
    <w:p w14:paraId="64423009">
      <w:pPr>
        <w:ind w:firstLine="640" w:firstLineChars="200"/>
        <w:rPr>
          <w:rFonts w:hint="eastAsia" w:eastAsia="仿宋_GB2312" w:cs="仿宋_GB2312" w:asciiTheme="minorHAnsi" w:hAnsiTheme="minorHAnsi"/>
          <w:kern w:val="0"/>
          <w:sz w:val="32"/>
          <w:szCs w:val="32"/>
          <w:lang w:val="en-US" w:eastAsia="zh-CN" w:bidi="ar"/>
        </w:rPr>
      </w:pPr>
      <w:r>
        <w:rPr>
          <w:rFonts w:hint="eastAsia" w:eastAsia="仿宋_GB2312" w:cs="仿宋_GB2312"/>
          <w:kern w:val="0"/>
          <w:sz w:val="32"/>
          <w:szCs w:val="32"/>
          <w:lang w:val="en-US" w:eastAsia="zh-CN" w:bidi="ar"/>
        </w:rPr>
        <w:t>4、</w:t>
      </w:r>
      <w:r>
        <w:rPr>
          <w:rFonts w:hint="eastAsia" w:eastAsia="仿宋_GB2312" w:cs="仿宋_GB2312" w:asciiTheme="minorHAnsi" w:hAnsiTheme="minorHAnsi"/>
          <w:kern w:val="0"/>
          <w:sz w:val="32"/>
          <w:szCs w:val="32"/>
          <w:lang w:val="en-US" w:eastAsia="zh-CN" w:bidi="ar"/>
        </w:rPr>
        <w:t>指导、促进全县市场体系的建立，组织制定全县性、重点区域性的批发市场、要素市场的发展规划，搞好社会商品供求总量的平衡、总体布局。指导、监督重要商品物资的订货、储备和投放。</w:t>
      </w:r>
    </w:p>
    <w:p w14:paraId="51D31CB3">
      <w:pPr>
        <w:ind w:firstLine="640" w:firstLineChars="200"/>
        <w:rPr>
          <w:rFonts w:hint="eastAsia" w:eastAsia="仿宋_GB2312" w:cs="仿宋_GB2312" w:asciiTheme="minorHAnsi" w:hAnsiTheme="minorHAnsi"/>
          <w:kern w:val="0"/>
          <w:sz w:val="32"/>
          <w:szCs w:val="32"/>
          <w:lang w:val="en-US" w:eastAsia="zh-CN" w:bidi="ar"/>
        </w:rPr>
      </w:pPr>
      <w:r>
        <w:rPr>
          <w:rFonts w:hint="eastAsia" w:eastAsia="仿宋_GB2312" w:cs="仿宋_GB2312"/>
          <w:kern w:val="0"/>
          <w:sz w:val="32"/>
          <w:szCs w:val="32"/>
          <w:lang w:val="en-US" w:eastAsia="zh-CN" w:bidi="ar"/>
        </w:rPr>
        <w:t>5、</w:t>
      </w:r>
      <w:r>
        <w:rPr>
          <w:rFonts w:hint="eastAsia" w:eastAsia="仿宋_GB2312" w:cs="仿宋_GB2312" w:asciiTheme="minorHAnsi" w:hAnsiTheme="minorHAnsi"/>
          <w:kern w:val="0"/>
          <w:sz w:val="32"/>
          <w:szCs w:val="32"/>
          <w:lang w:val="en-US" w:eastAsia="zh-CN" w:bidi="ar"/>
        </w:rPr>
        <w:t>合理控制固定资产投资规模及资金投向；根据国家有关政策，审批基本建设项目；会同有关部门做好检查基本建设年度计划实施情况及做好重点项目的组织协调工作，做好项目储备和前期工作。</w:t>
      </w:r>
    </w:p>
    <w:p w14:paraId="5EE7F266">
      <w:pPr>
        <w:ind w:firstLine="640" w:firstLineChars="200"/>
        <w:rPr>
          <w:rFonts w:hint="eastAsia" w:eastAsia="仿宋_GB2312" w:cs="仿宋_GB2312" w:asciiTheme="minorHAnsi" w:hAnsiTheme="minorHAnsi"/>
          <w:kern w:val="0"/>
          <w:sz w:val="32"/>
          <w:szCs w:val="32"/>
          <w:lang w:val="en-US" w:eastAsia="zh-CN" w:bidi="ar"/>
        </w:rPr>
      </w:pPr>
      <w:r>
        <w:rPr>
          <w:rFonts w:hint="eastAsia" w:eastAsia="仿宋_GB2312" w:cs="仿宋_GB2312"/>
          <w:kern w:val="0"/>
          <w:sz w:val="32"/>
          <w:szCs w:val="32"/>
          <w:lang w:val="en-US" w:eastAsia="zh-CN" w:bidi="ar"/>
        </w:rPr>
        <w:t>6、</w:t>
      </w:r>
      <w:r>
        <w:rPr>
          <w:rFonts w:hint="eastAsia" w:eastAsia="仿宋_GB2312" w:cs="仿宋_GB2312" w:asciiTheme="minorHAnsi" w:hAnsiTheme="minorHAnsi"/>
          <w:kern w:val="0"/>
          <w:sz w:val="32"/>
          <w:szCs w:val="32"/>
          <w:lang w:val="en-US" w:eastAsia="zh-CN" w:bidi="ar"/>
        </w:rPr>
        <w:t>会同有关部门组织研究制订中长期和年度科技发展计划，提出科技发展的方向、重点及相应的政策措施；组织制订重大科技项目攻关计划和重大科研基础设施建设计划，推动科技成果商品化并转化为生产力。</w:t>
      </w:r>
    </w:p>
    <w:p w14:paraId="6943FA8C">
      <w:pPr>
        <w:ind w:firstLine="640" w:firstLineChars="200"/>
        <w:rPr>
          <w:rFonts w:hint="eastAsia" w:eastAsia="仿宋_GB2312" w:cs="仿宋_GB2312" w:asciiTheme="minorHAnsi" w:hAnsiTheme="minorHAnsi"/>
          <w:kern w:val="0"/>
          <w:sz w:val="32"/>
          <w:szCs w:val="32"/>
          <w:lang w:val="en-US" w:eastAsia="zh-CN" w:bidi="ar"/>
        </w:rPr>
      </w:pPr>
      <w:r>
        <w:rPr>
          <w:rFonts w:hint="eastAsia" w:eastAsia="仿宋_GB2312" w:cs="仿宋_GB2312"/>
          <w:kern w:val="0"/>
          <w:sz w:val="32"/>
          <w:szCs w:val="32"/>
          <w:lang w:val="en-US" w:eastAsia="zh-CN" w:bidi="ar"/>
        </w:rPr>
        <w:t>7、</w:t>
      </w:r>
      <w:r>
        <w:rPr>
          <w:rFonts w:hint="eastAsia" w:eastAsia="仿宋_GB2312" w:cs="仿宋_GB2312" w:asciiTheme="minorHAnsi" w:hAnsiTheme="minorHAnsi"/>
          <w:kern w:val="0"/>
          <w:sz w:val="32"/>
          <w:szCs w:val="32"/>
          <w:lang w:val="en-US" w:eastAsia="zh-CN" w:bidi="ar"/>
        </w:rPr>
        <w:t>搞好国民经济运行的预测、监测和分析研究，综合协调各种经济杠杆、手段的运用，以及通过各种途径，促进规划、计划和产业政策的实施。</w:t>
      </w:r>
    </w:p>
    <w:p w14:paraId="26CBF7AC">
      <w:pPr>
        <w:ind w:firstLine="640" w:firstLineChars="200"/>
        <w:rPr>
          <w:rFonts w:hint="eastAsia" w:eastAsia="仿宋_GB2312" w:cs="仿宋_GB2312" w:asciiTheme="minorHAnsi" w:hAnsiTheme="minorHAnsi"/>
          <w:kern w:val="0"/>
          <w:sz w:val="32"/>
          <w:szCs w:val="32"/>
          <w:lang w:val="en-US" w:eastAsia="zh-CN" w:bidi="ar"/>
        </w:rPr>
      </w:pPr>
      <w:r>
        <w:rPr>
          <w:rFonts w:hint="eastAsia" w:eastAsia="仿宋_GB2312" w:cs="仿宋_GB2312"/>
          <w:kern w:val="0"/>
          <w:sz w:val="32"/>
          <w:szCs w:val="32"/>
          <w:lang w:val="en-US" w:eastAsia="zh-CN" w:bidi="ar"/>
        </w:rPr>
        <w:t>8、</w:t>
      </w:r>
      <w:r>
        <w:rPr>
          <w:rFonts w:hint="eastAsia" w:eastAsia="仿宋_GB2312" w:cs="仿宋_GB2312" w:asciiTheme="minorHAnsi" w:hAnsiTheme="minorHAnsi"/>
          <w:kern w:val="0"/>
          <w:sz w:val="32"/>
          <w:szCs w:val="32"/>
          <w:lang w:val="en-US" w:eastAsia="zh-CN" w:bidi="ar"/>
        </w:rPr>
        <w:t>研究拟定全县对外贸易、经济合作和利用国外资金及内联资金的战略、政策，提出我县利用外资的总规模和投向；审批限额以下的外商投资项目。负责本县横向经济技术协作的中长期计划，并组织实施。</w:t>
      </w:r>
    </w:p>
    <w:p w14:paraId="2CACAE13">
      <w:pPr>
        <w:ind w:firstLine="640" w:firstLineChars="200"/>
        <w:rPr>
          <w:rFonts w:hint="eastAsia" w:eastAsia="仿宋_GB2312" w:cs="仿宋_GB2312" w:asciiTheme="minorHAnsi" w:hAnsiTheme="minorHAnsi"/>
          <w:kern w:val="0"/>
          <w:sz w:val="32"/>
          <w:szCs w:val="32"/>
          <w:lang w:val="en-US" w:eastAsia="zh-CN" w:bidi="ar"/>
        </w:rPr>
      </w:pPr>
      <w:r>
        <w:rPr>
          <w:rFonts w:hint="eastAsia" w:eastAsia="仿宋_GB2312" w:cs="仿宋_GB2312"/>
          <w:kern w:val="0"/>
          <w:sz w:val="32"/>
          <w:szCs w:val="32"/>
          <w:lang w:val="en-US" w:eastAsia="zh-CN" w:bidi="ar"/>
        </w:rPr>
        <w:t>9、</w:t>
      </w:r>
      <w:r>
        <w:rPr>
          <w:rFonts w:hint="eastAsia" w:eastAsia="仿宋_GB2312" w:cs="仿宋_GB2312" w:asciiTheme="minorHAnsi" w:hAnsiTheme="minorHAnsi"/>
          <w:kern w:val="0"/>
          <w:sz w:val="32"/>
          <w:szCs w:val="32"/>
          <w:lang w:val="en-US" w:eastAsia="zh-CN" w:bidi="ar"/>
        </w:rPr>
        <w:t>研究社会事业（包括教育、文化、卫生、体育、广播电视、档案、旅游、人口、社会保障等）发展中的重大问题，并协调好它们同经济发展的相互促进关系。</w:t>
      </w:r>
    </w:p>
    <w:p w14:paraId="52E5399D">
      <w:pPr>
        <w:ind w:firstLine="640" w:firstLineChars="200"/>
        <w:rPr>
          <w:rFonts w:hint="eastAsia" w:eastAsia="仿宋_GB2312" w:cs="仿宋_GB2312" w:asciiTheme="minorHAnsi" w:hAnsiTheme="minorHAnsi"/>
          <w:kern w:val="0"/>
          <w:sz w:val="32"/>
          <w:szCs w:val="32"/>
          <w:lang w:val="en-US" w:eastAsia="zh-CN" w:bidi="ar"/>
        </w:rPr>
      </w:pPr>
      <w:r>
        <w:rPr>
          <w:rFonts w:hint="eastAsia" w:eastAsia="仿宋_GB2312" w:cs="仿宋_GB2312"/>
          <w:kern w:val="0"/>
          <w:sz w:val="32"/>
          <w:szCs w:val="32"/>
          <w:lang w:val="en-US" w:eastAsia="zh-CN" w:bidi="ar"/>
        </w:rPr>
        <w:t>10、</w:t>
      </w:r>
      <w:r>
        <w:rPr>
          <w:rFonts w:hint="eastAsia" w:eastAsia="仿宋_GB2312" w:cs="仿宋_GB2312" w:asciiTheme="minorHAnsi" w:hAnsiTheme="minorHAnsi"/>
          <w:kern w:val="0"/>
          <w:sz w:val="32"/>
          <w:szCs w:val="32"/>
          <w:lang w:val="en-US" w:eastAsia="zh-CN" w:bidi="ar"/>
        </w:rPr>
        <w:t>负责对所属企事业单位贯彻执行上级有关方针、政策、法规、规章的检查监督，按干部管理权限负责对本委人员的管理和业务培训。</w:t>
      </w:r>
    </w:p>
    <w:p w14:paraId="16A05A7D">
      <w:pPr>
        <w:ind w:firstLine="640" w:firstLineChars="200"/>
        <w:rPr>
          <w:rFonts w:hint="eastAsia" w:eastAsia="仿宋_GB2312" w:cs="仿宋_GB2312" w:asciiTheme="minorHAnsi" w:hAnsiTheme="minorHAnsi"/>
          <w:kern w:val="0"/>
          <w:sz w:val="32"/>
          <w:szCs w:val="32"/>
          <w:lang w:val="en-US" w:eastAsia="zh-CN" w:bidi="ar"/>
        </w:rPr>
      </w:pPr>
      <w:r>
        <w:rPr>
          <w:rFonts w:hint="eastAsia" w:eastAsia="仿宋_GB2312" w:cs="仿宋_GB2312"/>
          <w:kern w:val="0"/>
          <w:sz w:val="32"/>
          <w:szCs w:val="32"/>
          <w:lang w:val="en-US" w:eastAsia="zh-CN" w:bidi="ar"/>
        </w:rPr>
        <w:t>11、承担原县人民防空办公室全部机构职责；承担全县国防动员综合协调、政策法规、规划计划、动员准备、潜力资源、新域新质、网信数据、训练演练、组织实施、督导落实等工作；组织指导协调均是实施保护工作；承担县国防动员委员会交办的其他工作</w:t>
      </w:r>
      <w:r>
        <w:rPr>
          <w:rFonts w:hint="eastAsia" w:eastAsia="仿宋_GB2312" w:cs="仿宋_GB2312" w:asciiTheme="minorHAnsi" w:hAnsiTheme="minorHAnsi"/>
          <w:kern w:val="0"/>
          <w:sz w:val="32"/>
          <w:szCs w:val="32"/>
          <w:lang w:val="en-US" w:eastAsia="zh-CN" w:bidi="ar"/>
        </w:rPr>
        <w:t>。</w:t>
      </w:r>
    </w:p>
    <w:p w14:paraId="233F5CD8">
      <w:pPr>
        <w:spacing w:line="552" w:lineRule="exact"/>
        <w:ind w:firstLine="641"/>
        <w:rPr>
          <w:rFonts w:hint="eastAsia" w:ascii="仿宋" w:hAnsi="仿宋" w:eastAsia="仿宋" w:cs="仿宋"/>
          <w:sz w:val="30"/>
          <w:szCs w:val="30"/>
        </w:rPr>
      </w:pPr>
      <w:r>
        <w:rPr>
          <w:rFonts w:hint="eastAsia" w:eastAsia="仿宋_GB2312" w:cs="仿宋_GB2312"/>
          <w:kern w:val="0"/>
          <w:sz w:val="32"/>
          <w:szCs w:val="32"/>
          <w:lang w:val="en-US" w:eastAsia="zh-CN" w:bidi="ar"/>
        </w:rPr>
        <w:t>12、</w:t>
      </w:r>
      <w:r>
        <w:rPr>
          <w:rFonts w:hint="eastAsia" w:eastAsia="仿宋_GB2312" w:cs="仿宋_GB2312" w:asciiTheme="minorHAnsi" w:hAnsiTheme="minorHAnsi"/>
          <w:kern w:val="0"/>
          <w:sz w:val="32"/>
          <w:szCs w:val="32"/>
          <w:lang w:val="en-US" w:eastAsia="zh-CN" w:bidi="ar"/>
        </w:rPr>
        <w:t xml:space="preserve">当好县委、县政府经济工作的参谋和助手；为各级、各部门和企事业提供服务。  </w:t>
      </w:r>
    </w:p>
    <w:p w14:paraId="47EDDE7A">
      <w:pPr>
        <w:spacing w:before="211" w:line="221" w:lineRule="auto"/>
        <w:ind w:left="680"/>
        <w:rPr>
          <w:rFonts w:ascii="黑体" w:hAnsi="黑体" w:eastAsia="黑体" w:cs="黑体"/>
          <w:sz w:val="31"/>
          <w:szCs w:val="31"/>
        </w:rPr>
      </w:pPr>
      <w:r>
        <w:rPr>
          <w:rFonts w:ascii="黑体" w:hAnsi="黑体" w:eastAsia="黑体" w:cs="黑体"/>
          <w:sz w:val="31"/>
          <w:szCs w:val="31"/>
        </w:rPr>
        <w:t>二、</w:t>
      </w:r>
      <w:r>
        <w:rPr>
          <w:rFonts w:ascii="黑体" w:hAnsi="黑体" w:eastAsia="黑体" w:cs="黑体"/>
          <w:spacing w:val="-75"/>
          <w:sz w:val="31"/>
          <w:szCs w:val="31"/>
        </w:rPr>
        <w:t xml:space="preserve"> </w:t>
      </w:r>
      <w:r>
        <w:rPr>
          <w:rFonts w:ascii="黑体" w:hAnsi="黑体" w:eastAsia="黑体" w:cs="黑体"/>
          <w:sz w:val="31"/>
          <w:szCs w:val="31"/>
        </w:rPr>
        <w:t>一般公共预算支出情况</w:t>
      </w:r>
    </w:p>
    <w:p w14:paraId="64D07E1D">
      <w:pPr>
        <w:spacing w:before="233" w:line="583" w:lineRule="exact"/>
        <w:ind w:left="844"/>
        <w:rPr>
          <w:rFonts w:ascii="楷体" w:hAnsi="楷体" w:eastAsia="楷体" w:cs="楷体"/>
          <w:b/>
          <w:bCs/>
          <w:spacing w:val="21"/>
          <w:position w:val="19"/>
          <w:sz w:val="31"/>
          <w:szCs w:val="31"/>
        </w:rPr>
      </w:pPr>
      <w:r>
        <w:rPr>
          <w:rFonts w:ascii="楷体" w:hAnsi="楷体" w:eastAsia="楷体" w:cs="楷体"/>
          <w:b/>
          <w:bCs/>
          <w:spacing w:val="21"/>
          <w:position w:val="19"/>
          <w:sz w:val="31"/>
          <w:szCs w:val="31"/>
        </w:rPr>
        <w:t>(一)基本支出情况</w:t>
      </w:r>
    </w:p>
    <w:p w14:paraId="74AB0F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napToGrid w:val="0"/>
          <w:color w:val="000000"/>
          <w:kern w:val="2"/>
          <w:sz w:val="32"/>
          <w:szCs w:val="32"/>
          <w:lang w:val="en-US" w:eastAsia="zh-CN" w:bidi="ar-SA"/>
        </w:rPr>
      </w:pPr>
      <w:r>
        <w:rPr>
          <w:rFonts w:hint="eastAsia" w:ascii="仿宋_GB2312" w:hAnsi="仿宋_GB2312" w:eastAsia="仿宋_GB2312" w:cs="仿宋_GB2312"/>
          <w:snapToGrid w:val="0"/>
          <w:color w:val="000000"/>
          <w:kern w:val="2"/>
          <w:sz w:val="32"/>
          <w:szCs w:val="32"/>
          <w:lang w:val="en-US" w:eastAsia="zh-CN" w:bidi="ar-SA"/>
        </w:rPr>
        <w:t>2024年年初预算数为828.10万元，全年预算数825.09万元，决算数825.09万元。包括用于基本工资、津贴补贴等人员经费以及办公费、邮电费、公务接待费费、公务用车运行维护费等日常公用经费。其中工资福利支出663.70万元，一般商品和服务支出77.39万元，对个人和家庭的补助支出84.00万元。工资福利支出包含基本工资支出252.11万元，津贴补贴支出40.40万元，奖金18.66万元，伙食补助费17.34万元绩效工资支出71.23万元，其他工资福利支出120.75万元，医疗保险支出29.18万元，机关事业单位基本养老保险缴费支出54.71万元，其他社会保障缴费4.77万元，职业年金缴费4.84万元，住房公积金支出49.72万元；一般商品和服务支出包含办公费支出6.89万元，邮电费支出0.24万元，差旅费支出3.46万元，会议费支出0.31万元，培训费支出0.12万元，公务接待费支出1.19万元，工会经费支出24.03万元，福利费支出3.55万元，公务用车运行维护费支出3.95万元，其他交通费支出32.06万元，其他商品和服务支出1.44万元。对个人和家庭的补助支出为伤残人员抚恤金、粮食改制企业下岗职工两节慰问以及退休人员慰问支出。</w:t>
      </w:r>
    </w:p>
    <w:p w14:paraId="12FCE19B">
      <w:pPr>
        <w:keepNext w:val="0"/>
        <w:keepLines w:val="0"/>
        <w:pageBreakBefore w:val="0"/>
        <w:widowControl/>
        <w:numPr>
          <w:ilvl w:val="0"/>
          <w:numId w:val="0"/>
        </w:numPr>
        <w:wordWrap/>
        <w:overflowPunct/>
        <w:topLinePunct w:val="0"/>
        <w:bidi w:val="0"/>
        <w:spacing w:line="560" w:lineRule="exact"/>
        <w:ind w:leftChars="200"/>
        <w:rPr>
          <w:rFonts w:ascii="楷体" w:hAnsi="楷体" w:eastAsia="楷体" w:cs="楷体"/>
          <w:b/>
          <w:bCs/>
          <w:spacing w:val="17"/>
          <w:sz w:val="31"/>
          <w:szCs w:val="31"/>
        </w:rPr>
      </w:pPr>
      <w:r>
        <w:rPr>
          <w:rFonts w:hint="eastAsia" w:ascii="楷体" w:hAnsi="楷体" w:eastAsia="楷体" w:cs="楷体"/>
          <w:b/>
          <w:bCs/>
          <w:spacing w:val="17"/>
          <w:sz w:val="31"/>
          <w:szCs w:val="31"/>
          <w:lang w:eastAsia="zh-CN"/>
        </w:rPr>
        <w:t>（</w:t>
      </w:r>
      <w:r>
        <w:rPr>
          <w:rFonts w:hint="eastAsia" w:ascii="楷体" w:hAnsi="楷体" w:eastAsia="楷体" w:cs="楷体"/>
          <w:b/>
          <w:bCs/>
          <w:spacing w:val="17"/>
          <w:sz w:val="31"/>
          <w:szCs w:val="31"/>
          <w:lang w:val="en-US" w:eastAsia="zh-CN"/>
        </w:rPr>
        <w:t>二</w:t>
      </w:r>
      <w:r>
        <w:rPr>
          <w:rFonts w:hint="eastAsia" w:ascii="楷体" w:hAnsi="楷体" w:eastAsia="楷体" w:cs="楷体"/>
          <w:b/>
          <w:bCs/>
          <w:spacing w:val="17"/>
          <w:sz w:val="31"/>
          <w:szCs w:val="31"/>
          <w:lang w:eastAsia="zh-CN"/>
        </w:rPr>
        <w:t>）</w:t>
      </w:r>
      <w:r>
        <w:rPr>
          <w:rFonts w:ascii="楷体" w:hAnsi="楷体" w:eastAsia="楷体" w:cs="楷体"/>
          <w:b/>
          <w:bCs/>
          <w:spacing w:val="17"/>
          <w:sz w:val="31"/>
          <w:szCs w:val="31"/>
        </w:rPr>
        <w:t>项目支出情况</w:t>
      </w:r>
    </w:p>
    <w:p w14:paraId="42E768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snapToGrid w:val="0"/>
          <w:color w:val="000000"/>
          <w:kern w:val="2"/>
          <w:sz w:val="32"/>
          <w:szCs w:val="32"/>
          <w:lang w:val="en-US" w:eastAsia="zh-CN" w:bidi="ar-SA"/>
        </w:rPr>
      </w:pPr>
      <w:r>
        <w:rPr>
          <w:rFonts w:hint="eastAsia" w:ascii="仿宋_GB2312" w:hAnsi="仿宋_GB2312" w:eastAsia="仿宋_GB2312" w:cs="仿宋_GB2312"/>
          <w:snapToGrid w:val="0"/>
          <w:color w:val="000000"/>
          <w:kern w:val="2"/>
          <w:sz w:val="32"/>
          <w:szCs w:val="32"/>
          <w:lang w:val="en-US" w:eastAsia="zh-CN" w:bidi="ar-SA"/>
        </w:rPr>
        <w:t>2024年年初预算数为463.10万元，全年预算数241.97万元，决算数241.97万元。</w:t>
      </w:r>
      <w:r>
        <w:rPr>
          <w:rFonts w:hint="eastAsia" w:ascii="仿宋" w:hAnsi="仿宋" w:eastAsia="仿宋" w:cs="仿宋"/>
          <w:sz w:val="30"/>
          <w:szCs w:val="30"/>
          <w:shd w:val="clear" w:fill="FFFFFF"/>
        </w:rPr>
        <w:t>项目管理的商品和福利支出</w:t>
      </w:r>
      <w:r>
        <w:rPr>
          <w:rFonts w:hint="eastAsia" w:ascii="仿宋" w:hAnsi="仿宋" w:eastAsia="仿宋" w:cs="仿宋"/>
          <w:sz w:val="30"/>
          <w:szCs w:val="30"/>
          <w:shd w:val="clear" w:fill="FFFFFF"/>
          <w:lang w:val="en-US" w:eastAsia="zh-CN"/>
        </w:rPr>
        <w:t>23.87</w:t>
      </w:r>
      <w:r>
        <w:rPr>
          <w:rFonts w:hint="eastAsia" w:ascii="仿宋" w:hAnsi="仿宋" w:eastAsia="仿宋" w:cs="仿宋"/>
          <w:sz w:val="30"/>
          <w:szCs w:val="30"/>
          <w:shd w:val="clear" w:fill="FFFFFF"/>
        </w:rPr>
        <w:t>万元。包括用于</w:t>
      </w:r>
      <w:r>
        <w:rPr>
          <w:rFonts w:hint="eastAsia" w:ascii="仿宋" w:hAnsi="仿宋" w:eastAsia="仿宋" w:cs="仿宋"/>
          <w:sz w:val="30"/>
          <w:szCs w:val="30"/>
          <w:shd w:val="clear" w:fill="FFFFFF"/>
          <w:lang w:val="en-US" w:eastAsia="zh-CN"/>
        </w:rPr>
        <w:t>发改局专项业务</w:t>
      </w:r>
      <w:r>
        <w:rPr>
          <w:rFonts w:hint="eastAsia" w:ascii="仿宋" w:hAnsi="仿宋" w:eastAsia="仿宋" w:cs="仿宋"/>
          <w:sz w:val="30"/>
          <w:szCs w:val="30"/>
          <w:shd w:val="clear" w:fill="FFFFFF"/>
        </w:rPr>
        <w:t>经费</w:t>
      </w:r>
      <w:r>
        <w:rPr>
          <w:rFonts w:hint="eastAsia" w:ascii="仿宋" w:hAnsi="仿宋" w:eastAsia="仿宋" w:cs="仿宋"/>
          <w:sz w:val="30"/>
          <w:szCs w:val="30"/>
          <w:shd w:val="clear" w:fill="FFFFFF"/>
          <w:lang w:val="en-US" w:eastAsia="zh-CN"/>
        </w:rPr>
        <w:t>34.00</w:t>
      </w:r>
      <w:r>
        <w:rPr>
          <w:rFonts w:hint="eastAsia" w:ascii="仿宋" w:hAnsi="仿宋" w:eastAsia="仿宋" w:cs="仿宋"/>
          <w:sz w:val="30"/>
          <w:szCs w:val="30"/>
          <w:shd w:val="clear" w:fill="FFFFFF"/>
        </w:rPr>
        <w:t>万元、</w:t>
      </w:r>
      <w:r>
        <w:rPr>
          <w:rFonts w:hint="eastAsia" w:ascii="仿宋" w:hAnsi="仿宋" w:eastAsia="仿宋" w:cs="仿宋"/>
          <w:sz w:val="30"/>
          <w:szCs w:val="30"/>
          <w:shd w:val="clear" w:fill="FFFFFF"/>
          <w:lang w:val="en-US" w:eastAsia="zh-CN"/>
        </w:rPr>
        <w:t>发改局产业活动专项经费6.50万元、改制人员补贴资金4.80万元、伤残人员补助资金5.80万元、智能粮库系统升级和运行维护费21.00万元、县级储备粮费用及利息95.00万元，</w:t>
      </w:r>
      <w:r>
        <w:rPr>
          <w:rFonts w:hint="eastAsia" w:ascii="仿宋" w:hAnsi="仿宋" w:eastAsia="仿宋" w:cs="仿宋"/>
          <w:kern w:val="2"/>
          <w:sz w:val="30"/>
          <w:szCs w:val="30"/>
          <w:shd w:val="clear" w:fill="FFFFFF"/>
          <w:lang w:val="en-US" w:eastAsia="zh-CN" w:bidi="ar-SA"/>
        </w:rPr>
        <w:t>人防专项经费12.00</w:t>
      </w:r>
      <w:r>
        <w:rPr>
          <w:rFonts w:hint="eastAsia" w:ascii="仿宋" w:hAnsi="仿宋" w:eastAsia="仿宋" w:cs="仿宋"/>
          <w:sz w:val="30"/>
          <w:szCs w:val="30"/>
          <w:shd w:val="clear" w:fill="FFFFFF"/>
          <w:lang w:val="en-US" w:eastAsia="zh-CN"/>
        </w:rPr>
        <w:t>万元、</w:t>
      </w:r>
      <w:r>
        <w:rPr>
          <w:rFonts w:hint="eastAsia" w:ascii="仿宋" w:hAnsi="仿宋" w:eastAsia="仿宋" w:cs="仿宋"/>
          <w:kern w:val="2"/>
          <w:sz w:val="30"/>
          <w:szCs w:val="30"/>
          <w:shd w:val="clear" w:fill="FFFFFF"/>
          <w:lang w:val="en-US" w:eastAsia="zh-CN" w:bidi="ar-SA"/>
        </w:rPr>
        <w:t>应急巡逻中队专项经费39.00万元</w:t>
      </w:r>
      <w:r>
        <w:rPr>
          <w:rFonts w:hint="eastAsia" w:ascii="仿宋" w:hAnsi="仿宋" w:eastAsia="仿宋" w:cs="仿宋"/>
          <w:sz w:val="30"/>
          <w:szCs w:val="30"/>
          <w:shd w:val="clear" w:fill="FFFFFF"/>
          <w:lang w:val="en-US" w:eastAsia="zh-CN"/>
        </w:rPr>
        <w:t>。</w:t>
      </w:r>
    </w:p>
    <w:p w14:paraId="4D5A888D">
      <w:pPr>
        <w:keepNext w:val="0"/>
        <w:keepLines w:val="0"/>
        <w:pageBreakBefore w:val="0"/>
        <w:widowControl/>
        <w:numPr>
          <w:ilvl w:val="0"/>
          <w:numId w:val="0"/>
        </w:numPr>
        <w:wordWrap/>
        <w:overflowPunct/>
        <w:topLinePunct w:val="0"/>
        <w:bidi w:val="0"/>
        <w:spacing w:line="560" w:lineRule="exact"/>
        <w:ind w:leftChars="200"/>
        <w:rPr>
          <w:rFonts w:ascii="楷体" w:hAnsi="楷体" w:eastAsia="楷体" w:cs="楷体"/>
          <w:b/>
          <w:bCs/>
          <w:spacing w:val="17"/>
          <w:sz w:val="31"/>
          <w:szCs w:val="31"/>
        </w:rPr>
      </w:pPr>
      <w:r>
        <w:rPr>
          <w:rFonts w:hint="eastAsia" w:ascii="黑体" w:hAnsi="黑体" w:eastAsia="黑体" w:cs="黑体"/>
          <w:b/>
          <w:bCs/>
          <w:spacing w:val="-4"/>
          <w:sz w:val="31"/>
          <w:szCs w:val="31"/>
          <w:lang w:val="en-US" w:eastAsia="zh-CN"/>
        </w:rPr>
        <w:t>三、</w:t>
      </w:r>
      <w:r>
        <w:rPr>
          <w:rFonts w:ascii="楷体" w:hAnsi="楷体" w:eastAsia="楷体" w:cs="楷体"/>
          <w:b/>
          <w:bCs/>
          <w:spacing w:val="17"/>
          <w:sz w:val="31"/>
          <w:szCs w:val="31"/>
        </w:rPr>
        <w:t>政府性基金预算支出情况</w:t>
      </w:r>
    </w:p>
    <w:p w14:paraId="2DF66E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00" w:firstLineChars="200"/>
        <w:jc w:val="both"/>
        <w:textAlignment w:val="auto"/>
        <w:rPr>
          <w:rFonts w:hint="eastAsia" w:ascii="仿宋" w:hAnsi="仿宋" w:eastAsia="仿宋" w:cs="仿宋"/>
          <w:sz w:val="30"/>
          <w:szCs w:val="30"/>
          <w:shd w:val="clear" w:fill="FFFFFF"/>
          <w:lang w:val="en-US" w:eastAsia="zh-CN"/>
        </w:rPr>
      </w:pPr>
      <w:r>
        <w:rPr>
          <w:rFonts w:hint="eastAsia" w:ascii="仿宋" w:hAnsi="仿宋" w:eastAsia="仿宋" w:cs="仿宋"/>
          <w:sz w:val="30"/>
          <w:szCs w:val="30"/>
          <w:shd w:val="clear" w:fill="FFFFFF"/>
          <w:lang w:val="en-US" w:eastAsia="zh-CN"/>
        </w:rPr>
        <w:t>2024年本单位无政府性基金预算支出情况。</w:t>
      </w:r>
    </w:p>
    <w:p w14:paraId="15FF8A54">
      <w:pPr>
        <w:keepNext w:val="0"/>
        <w:keepLines w:val="0"/>
        <w:pageBreakBefore w:val="0"/>
        <w:widowControl/>
        <w:numPr>
          <w:ilvl w:val="0"/>
          <w:numId w:val="0"/>
        </w:numPr>
        <w:wordWrap/>
        <w:overflowPunct/>
        <w:topLinePunct w:val="0"/>
        <w:bidi w:val="0"/>
        <w:spacing w:line="560" w:lineRule="exact"/>
        <w:ind w:leftChars="200"/>
        <w:rPr>
          <w:rFonts w:ascii="楷体" w:hAnsi="楷体" w:eastAsia="楷体" w:cs="楷体"/>
          <w:b/>
          <w:bCs/>
          <w:spacing w:val="17"/>
          <w:sz w:val="31"/>
          <w:szCs w:val="31"/>
        </w:rPr>
      </w:pPr>
      <w:r>
        <w:rPr>
          <w:rFonts w:hint="eastAsia" w:ascii="楷体" w:hAnsi="楷体" w:eastAsia="楷体" w:cs="楷体"/>
          <w:b/>
          <w:bCs/>
          <w:spacing w:val="17"/>
          <w:sz w:val="31"/>
          <w:szCs w:val="31"/>
          <w:lang w:val="en-US" w:eastAsia="zh-CN"/>
        </w:rPr>
        <w:t>四、</w:t>
      </w:r>
      <w:r>
        <w:rPr>
          <w:rFonts w:ascii="楷体" w:hAnsi="楷体" w:eastAsia="楷体" w:cs="楷体"/>
          <w:b/>
          <w:bCs/>
          <w:spacing w:val="17"/>
          <w:sz w:val="31"/>
          <w:szCs w:val="31"/>
        </w:rPr>
        <w:t>国有资本经营预算支出情况</w:t>
      </w:r>
    </w:p>
    <w:p w14:paraId="73A23FB7">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202</w:t>
      </w:r>
      <w:r>
        <w:rPr>
          <w:rFonts w:hint="eastAsia" w:ascii="仿宋_GB2312" w:hAnsi="仿宋_GB2312" w:eastAsia="仿宋_GB2312" w:cs="仿宋_GB2312"/>
          <w:snapToGrid/>
          <w:kern w:val="2"/>
          <w:sz w:val="32"/>
          <w:szCs w:val="32"/>
          <w:lang w:val="en-US" w:eastAsia="zh-CN"/>
        </w:rPr>
        <w:t>4</w:t>
      </w:r>
      <w:r>
        <w:rPr>
          <w:rFonts w:hint="eastAsia" w:ascii="仿宋_GB2312" w:hAnsi="仿宋_GB2312" w:eastAsia="仿宋_GB2312" w:cs="仿宋_GB2312"/>
          <w:snapToGrid/>
          <w:kern w:val="2"/>
          <w:sz w:val="32"/>
          <w:szCs w:val="32"/>
          <w:lang w:eastAsia="zh-CN"/>
        </w:rPr>
        <w:t>年本单位无国有资本经营预算支出情况。</w:t>
      </w:r>
    </w:p>
    <w:p w14:paraId="6A05BF9A">
      <w:pPr>
        <w:keepNext w:val="0"/>
        <w:keepLines w:val="0"/>
        <w:pageBreakBefore w:val="0"/>
        <w:widowControl/>
        <w:numPr>
          <w:ilvl w:val="0"/>
          <w:numId w:val="0"/>
        </w:numPr>
        <w:wordWrap/>
        <w:overflowPunct/>
        <w:topLinePunct w:val="0"/>
        <w:bidi w:val="0"/>
        <w:spacing w:line="560" w:lineRule="exact"/>
        <w:ind w:leftChars="200"/>
        <w:rPr>
          <w:rFonts w:ascii="楷体" w:hAnsi="楷体" w:eastAsia="楷体" w:cs="楷体"/>
          <w:b/>
          <w:bCs/>
          <w:spacing w:val="17"/>
          <w:sz w:val="31"/>
          <w:szCs w:val="31"/>
        </w:rPr>
      </w:pPr>
      <w:r>
        <w:rPr>
          <w:rFonts w:hint="eastAsia" w:ascii="黑体" w:hAnsi="黑体" w:eastAsia="黑体" w:cs="黑体"/>
          <w:b/>
          <w:bCs/>
          <w:spacing w:val="-1"/>
          <w:sz w:val="31"/>
          <w:szCs w:val="31"/>
          <w:lang w:val="en-US" w:eastAsia="zh-CN"/>
        </w:rPr>
        <w:t>五、</w:t>
      </w:r>
      <w:r>
        <w:rPr>
          <w:rFonts w:ascii="楷体" w:hAnsi="楷体" w:eastAsia="楷体" w:cs="楷体"/>
          <w:b/>
          <w:bCs/>
          <w:spacing w:val="17"/>
          <w:sz w:val="31"/>
          <w:szCs w:val="31"/>
        </w:rPr>
        <w:t>社会保险基金预算支出情况</w:t>
      </w:r>
    </w:p>
    <w:p w14:paraId="5105B18B">
      <w:pPr>
        <w:keepNext w:val="0"/>
        <w:keepLines w:val="0"/>
        <w:pageBreakBefore w:val="0"/>
        <w:widowControl/>
        <w:numPr>
          <w:ilvl w:val="0"/>
          <w:numId w:val="0"/>
        </w:numPr>
        <w:wordWrap/>
        <w:overflowPunct/>
        <w:topLinePunct w:val="0"/>
        <w:bidi w:val="0"/>
        <w:spacing w:line="560" w:lineRule="exact"/>
        <w:ind w:leftChars="200"/>
        <w:rPr>
          <w:rFonts w:ascii="楷体" w:hAnsi="楷体" w:eastAsia="楷体" w:cs="楷体"/>
          <w:b w:val="0"/>
          <w:bCs w:val="0"/>
          <w:spacing w:val="17"/>
          <w:sz w:val="31"/>
          <w:szCs w:val="31"/>
        </w:rPr>
      </w:pPr>
      <w:r>
        <w:rPr>
          <w:rFonts w:hint="eastAsia" w:ascii="楷体" w:hAnsi="楷体" w:eastAsia="楷体" w:cs="楷体"/>
          <w:b w:val="0"/>
          <w:bCs w:val="0"/>
          <w:spacing w:val="17"/>
          <w:sz w:val="31"/>
          <w:szCs w:val="31"/>
          <w:lang w:val="en-US" w:eastAsia="zh-CN"/>
        </w:rPr>
        <w:t>2024年本单位无社会保险基金预算支出情况。</w:t>
      </w:r>
    </w:p>
    <w:p w14:paraId="7945E0CF">
      <w:pPr>
        <w:keepNext w:val="0"/>
        <w:keepLines w:val="0"/>
        <w:pageBreakBefore w:val="0"/>
        <w:widowControl/>
        <w:numPr>
          <w:ilvl w:val="0"/>
          <w:numId w:val="0"/>
        </w:numPr>
        <w:wordWrap/>
        <w:overflowPunct/>
        <w:topLinePunct w:val="0"/>
        <w:bidi w:val="0"/>
        <w:spacing w:line="560" w:lineRule="exact"/>
        <w:ind w:leftChars="200"/>
        <w:rPr>
          <w:rFonts w:hint="eastAsia" w:ascii="黑体" w:hAnsi="黑体" w:eastAsia="黑体" w:cs="黑体"/>
          <w:b/>
          <w:bCs/>
          <w:spacing w:val="-1"/>
          <w:sz w:val="31"/>
          <w:szCs w:val="31"/>
          <w:lang w:val="en-US" w:eastAsia="zh-CN"/>
        </w:rPr>
      </w:pPr>
      <w:r>
        <w:rPr>
          <w:rFonts w:hint="eastAsia" w:ascii="黑体" w:hAnsi="黑体" w:eastAsia="黑体" w:cs="黑体"/>
          <w:b/>
          <w:bCs/>
          <w:spacing w:val="-1"/>
          <w:sz w:val="31"/>
          <w:szCs w:val="31"/>
          <w:lang w:val="en-US" w:eastAsia="zh-CN"/>
        </w:rPr>
        <w:t>六、整体支出绩效情况</w:t>
      </w:r>
    </w:p>
    <w:p w14:paraId="571A86AC">
      <w:pPr>
        <w:keepNext w:val="0"/>
        <w:keepLines w:val="0"/>
        <w:pageBreakBefore w:val="0"/>
        <w:widowControl w:val="0"/>
        <w:wordWrap/>
        <w:overflowPunct/>
        <w:topLinePunct w:val="0"/>
        <w:bidi w:val="0"/>
        <w:spacing w:beforeAutospacing="0" w:afterAutospacing="0" w:line="560" w:lineRule="exact"/>
        <w:ind w:firstLine="643" w:firstLineChars="200"/>
        <w:jc w:val="left"/>
        <w:rPr>
          <w:rFonts w:ascii="楷体" w:hAnsi="楷体" w:eastAsia="楷体" w:cs="仿宋_GB2312"/>
          <w:b/>
          <w:kern w:val="2"/>
          <w:sz w:val="32"/>
          <w:szCs w:val="32"/>
          <w:lang w:val="en-US" w:eastAsia="zh-CN" w:bidi="ar-SA"/>
        </w:rPr>
      </w:pPr>
      <w:r>
        <w:rPr>
          <w:rFonts w:hint="eastAsia" w:ascii="楷体" w:hAnsi="楷体" w:eastAsia="楷体" w:cs="仿宋_GB2312"/>
          <w:b/>
          <w:kern w:val="2"/>
          <w:sz w:val="32"/>
          <w:szCs w:val="32"/>
          <w:lang w:val="en-US" w:eastAsia="zh-CN" w:bidi="ar-SA"/>
        </w:rPr>
        <w:t>（一）综合评价结论</w:t>
      </w:r>
    </w:p>
    <w:p w14:paraId="6470B09E">
      <w:pPr>
        <w:keepNext w:val="0"/>
        <w:keepLines w:val="0"/>
        <w:pageBreakBefore w:val="0"/>
        <w:widowControl w:val="0"/>
        <w:wordWrap/>
        <w:overflowPunct/>
        <w:topLinePunct w:val="0"/>
        <w:bidi w:val="0"/>
        <w:spacing w:beforeAutospacing="0" w:afterAutospacing="0" w:line="560" w:lineRule="exact"/>
        <w:ind w:firstLine="640" w:firstLineChars="200"/>
        <w:jc w:val="left"/>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单位2024年度综合评价等级为优秀（97分）。根据定量分析及定性分析，综合绩效评价打分，在部门整体支出绩效自评得分97分，其中产出指标得47分，事项完成及时率指标有待进一步提高；效益指标得分30分；满意度指标10分。</w:t>
      </w:r>
    </w:p>
    <w:p w14:paraId="51057A54">
      <w:pPr>
        <w:widowControl w:val="0"/>
        <w:spacing w:beforeAutospacing="0" w:afterAutospacing="0" w:line="560" w:lineRule="exact"/>
        <w:ind w:firstLine="643" w:firstLineChars="200"/>
        <w:jc w:val="left"/>
        <w:rPr>
          <w:rFonts w:ascii="楷体" w:hAnsi="楷体" w:eastAsia="楷体" w:cs="仿宋_GB2312"/>
          <w:b/>
          <w:kern w:val="2"/>
          <w:sz w:val="32"/>
          <w:szCs w:val="32"/>
          <w:lang w:val="en-US" w:eastAsia="zh-CN" w:bidi="ar-SA"/>
        </w:rPr>
      </w:pPr>
      <w:r>
        <w:rPr>
          <w:rFonts w:hint="eastAsia" w:ascii="楷体" w:hAnsi="楷体" w:eastAsia="楷体" w:cs="仿宋_GB2312"/>
          <w:b/>
          <w:kern w:val="2"/>
          <w:sz w:val="32"/>
          <w:szCs w:val="32"/>
          <w:lang w:val="en-US" w:eastAsia="zh-CN" w:bidi="ar-SA"/>
        </w:rPr>
        <w:t>（二）综合评价情况</w:t>
      </w:r>
    </w:p>
    <w:p w14:paraId="4B28BB7E">
      <w:pPr>
        <w:widowControl w:val="0"/>
        <w:spacing w:beforeAutospacing="0" w:afterAutospacing="0" w:line="560" w:lineRule="exact"/>
        <w:ind w:firstLine="640" w:firstLineChars="200"/>
        <w:jc w:val="left"/>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部门按要求对2024年部门整体支出开展绩效自评，从评价情况来看整体支出绩效目标基本完成，根据预算合理安排资金支出，做到厉行节约、精打细算，把有效的资金用到刀刃上，让财政资金发挥最大的社会及经济效益并保证各项工作的正常运转。</w:t>
      </w:r>
    </w:p>
    <w:p w14:paraId="1CED25AC">
      <w:pPr>
        <w:widowControl w:val="0"/>
        <w:spacing w:beforeAutospacing="0" w:afterAutospacing="0" w:line="560" w:lineRule="exact"/>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通过预算的执行，我单位有序高效完成年初工作规划和各级各部门交办的工作。</w:t>
      </w:r>
    </w:p>
    <w:p w14:paraId="41734FD1">
      <w:pPr>
        <w:widowControl w:val="0"/>
        <w:spacing w:beforeAutospacing="0" w:afterAutospacing="0" w:line="560" w:lineRule="exact"/>
        <w:ind w:firstLine="643" w:firstLineChars="200"/>
        <w:jc w:val="left"/>
        <w:rPr>
          <w:rFonts w:ascii="楷体" w:hAnsi="楷体" w:eastAsia="楷体" w:cs="仿宋_GB2312"/>
          <w:b/>
          <w:kern w:val="2"/>
          <w:sz w:val="32"/>
          <w:szCs w:val="32"/>
          <w:lang w:val="en-US" w:eastAsia="zh-CN" w:bidi="ar-SA"/>
        </w:rPr>
      </w:pPr>
      <w:r>
        <w:rPr>
          <w:rFonts w:hint="eastAsia" w:ascii="楷体" w:hAnsi="楷体" w:eastAsia="楷体" w:cs="仿宋_GB2312"/>
          <w:b/>
          <w:kern w:val="2"/>
          <w:sz w:val="32"/>
          <w:szCs w:val="32"/>
          <w:lang w:val="en-US" w:eastAsia="zh-CN" w:bidi="ar-SA"/>
        </w:rPr>
        <w:t>（三）综合工作成效</w:t>
      </w:r>
    </w:p>
    <w:p w14:paraId="6DB2C0F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仿宋_GB2312" w:cs="仿宋_GB2312"/>
          <w:color w:val="0000FF"/>
          <w:kern w:val="2"/>
          <w:sz w:val="32"/>
          <w:szCs w:val="32"/>
          <w:u w:val="single"/>
          <w:lang w:val="en-US" w:eastAsia="zh-CN" w:bidi="ar-SA"/>
        </w:rPr>
      </w:pPr>
      <w:r>
        <w:rPr>
          <w:rFonts w:hint="eastAsia" w:ascii="Times New Roman" w:hAnsi="Times New Roman" w:eastAsia="楷体_GB2312" w:cs="楷体_GB2312"/>
          <w:b/>
          <w:bCs/>
          <w:color w:val="auto"/>
          <w:sz w:val="32"/>
          <w:szCs w:val="32"/>
          <w:lang w:val="en-US" w:eastAsia="zh-CN"/>
        </w:rPr>
        <w:t>（1）</w:t>
      </w:r>
      <w:r>
        <w:rPr>
          <w:rFonts w:hint="eastAsia" w:ascii="Times New Roman" w:hAnsi="Times New Roman" w:eastAsia="楷体_GB2312" w:cs="楷体_GB2312"/>
          <w:b/>
          <w:bCs/>
          <w:color w:val="auto"/>
          <w:sz w:val="32"/>
          <w:szCs w:val="32"/>
          <w:lang w:eastAsia="zh-CN"/>
        </w:rPr>
        <w:t>项目建设有序推进。</w:t>
      </w:r>
      <w:r>
        <w:rPr>
          <w:rFonts w:hint="eastAsia" w:ascii="Times New Roman" w:hAnsi="Times New Roman" w:eastAsia="仿宋_GB2312" w:cs="仿宋_GB2312"/>
          <w:color w:val="auto"/>
          <w:kern w:val="2"/>
          <w:sz w:val="32"/>
          <w:szCs w:val="32"/>
          <w:lang w:val="en-US" w:eastAsia="zh-CN" w:bidi="ar-SA"/>
        </w:rPr>
        <w:t>2024年实施县重点建设项目93个，总投资1283.37亿元，年度计划投资156.25亿元，1-12月份累计完成投资160亿元，完成比例102.4%。</w:t>
      </w:r>
      <w:r>
        <w:rPr>
          <w:rFonts w:hint="eastAsia" w:ascii="Times New Roman" w:hAnsi="Times New Roman" w:eastAsia="仿宋_GB2312" w:cs="仿宋_GB2312"/>
          <w:b w:val="0"/>
          <w:bCs w:val="0"/>
          <w:color w:val="auto"/>
          <w:spacing w:val="0"/>
          <w:w w:val="100"/>
          <w:sz w:val="32"/>
          <w:szCs w:val="32"/>
          <w:shd w:val="clear" w:color="auto" w:fill="auto"/>
          <w:lang w:val="en-US" w:eastAsia="zh-CN"/>
        </w:rPr>
        <w:t>19个省市重点项目投资完成率123.91%，超时序进度。其中，3个省重点项目完成投资60.55亿元，占年度计划的123.57%，16个市重点项目完成投资36.15亿元，占年度计划投资的124.48%，年度计划已开工9个，竣工5个，全部实现目标。</w:t>
      </w:r>
    </w:p>
    <w:p w14:paraId="3FE47392">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楷体_GB2312" w:cs="楷体_GB2312"/>
          <w:b/>
          <w:bCs/>
          <w:color w:val="auto"/>
          <w:sz w:val="32"/>
          <w:szCs w:val="32"/>
          <w:lang w:val="en-US" w:eastAsia="zh-CN"/>
        </w:rPr>
        <w:t>（2）</w:t>
      </w:r>
      <w:r>
        <w:rPr>
          <w:rFonts w:hint="eastAsia" w:ascii="Times New Roman" w:hAnsi="Times New Roman" w:eastAsia="楷体_GB2312" w:cs="楷体_GB2312"/>
          <w:b/>
          <w:bCs/>
          <w:color w:val="auto"/>
          <w:sz w:val="32"/>
          <w:szCs w:val="32"/>
          <w:lang w:eastAsia="zh-CN"/>
        </w:rPr>
        <w:t>争资立项再创新高。</w:t>
      </w:r>
      <w:r>
        <w:rPr>
          <w:rFonts w:hint="eastAsia" w:ascii="Times New Roman" w:hAnsi="Times New Roman" w:eastAsia="仿宋_GB2312" w:cs="仿宋_GB2312"/>
          <w:b w:val="0"/>
          <w:bCs w:val="0"/>
          <w:color w:val="auto"/>
          <w:sz w:val="32"/>
          <w:szCs w:val="32"/>
          <w:lang w:val="en-US" w:eastAsia="zh-CN"/>
        </w:rPr>
        <w:t>2024年</w:t>
      </w:r>
      <w:r>
        <w:rPr>
          <w:rFonts w:hint="eastAsia" w:ascii="Times New Roman" w:hAnsi="Times New Roman" w:eastAsia="仿宋_GB2312" w:cs="仿宋_GB2312"/>
          <w:color w:val="auto"/>
          <w:sz w:val="32"/>
          <w:szCs w:val="32"/>
          <w:highlight w:val="none"/>
          <w:lang w:val="en-US" w:eastAsia="zh-CN"/>
        </w:rPr>
        <w:t>全县到位各类上级补助资金33.8亿元，</w:t>
      </w:r>
      <w:r>
        <w:rPr>
          <w:rFonts w:hint="eastAsia" w:ascii="Times New Roman" w:hAnsi="Times New Roman" w:eastAsia="仿宋_GB2312" w:cs="仿宋_GB2312"/>
          <w:color w:val="auto"/>
          <w:kern w:val="2"/>
          <w:sz w:val="32"/>
          <w:szCs w:val="32"/>
          <w:highlight w:val="none"/>
          <w:lang w:val="en-US" w:eastAsia="zh-CN" w:bidi="ar-SA"/>
        </w:rPr>
        <w:t>占全年计划预期目标数30.61亿元的110.47%，比2023年增加3.24亿元，</w:t>
      </w:r>
      <w:r>
        <w:rPr>
          <w:rFonts w:hint="eastAsia" w:ascii="Times New Roman" w:hAnsi="Times New Roman" w:eastAsia="仿宋_GB2312" w:cs="仿宋_GB2312"/>
          <w:bCs/>
          <w:sz w:val="32"/>
          <w:szCs w:val="32"/>
          <w:highlight w:val="none"/>
          <w:lang w:val="en-US" w:eastAsia="zh-CN"/>
        </w:rPr>
        <w:t>全市排名第五，其中发改口排名第三。</w:t>
      </w:r>
      <w:r>
        <w:rPr>
          <w:rFonts w:hint="eastAsia" w:ascii="Times New Roman" w:hAnsi="Times New Roman" w:eastAsia="仿宋_GB2312" w:cs="仿宋_GB2312"/>
          <w:color w:val="auto"/>
          <w:sz w:val="32"/>
          <w:szCs w:val="32"/>
          <w:highlight w:val="none"/>
          <w:u w:val="none"/>
          <w:lang w:val="en-US" w:eastAsia="zh-CN"/>
        </w:rPr>
        <w:t>2024年</w:t>
      </w:r>
      <w:r>
        <w:rPr>
          <w:rFonts w:hint="eastAsia" w:ascii="Times New Roman" w:hAnsi="Times New Roman" w:eastAsia="仿宋_GB2312" w:cs="仿宋_GB2312"/>
          <w:b w:val="0"/>
          <w:bCs w:val="0"/>
          <w:color w:val="auto"/>
          <w:kern w:val="2"/>
          <w:sz w:val="32"/>
          <w:szCs w:val="32"/>
          <w:lang w:val="en-US" w:eastAsia="zh-CN" w:bidi="ar-SA"/>
        </w:rPr>
        <w:t>我县争资项目库动态储备任务200个，实际</w:t>
      </w:r>
      <w:r>
        <w:rPr>
          <w:rFonts w:hint="eastAsia" w:ascii="Times New Roman" w:hAnsi="Times New Roman" w:eastAsia="仿宋_GB2312" w:cs="仿宋_GB2312"/>
          <w:color w:val="auto"/>
          <w:sz w:val="32"/>
          <w:szCs w:val="32"/>
          <w:lang w:val="en-US" w:eastAsia="zh-CN"/>
        </w:rPr>
        <w:t>共包装储备项目310个</w:t>
      </w:r>
      <w:r>
        <w:rPr>
          <w:rFonts w:hint="eastAsia" w:ascii="Times New Roman" w:hAnsi="Times New Roman" w:eastAsia="仿宋_GB2312" w:cs="仿宋_GB2312"/>
          <w:color w:val="auto"/>
          <w:sz w:val="32"/>
          <w:szCs w:val="32"/>
          <w:u w:val="none"/>
          <w:lang w:val="en-US" w:eastAsia="zh-CN"/>
        </w:rPr>
        <w:t>（其中，</w:t>
      </w:r>
      <w:r>
        <w:rPr>
          <w:rFonts w:hint="eastAsia" w:ascii="Times New Roman" w:hAnsi="Times New Roman" w:eastAsia="仿宋_GB2312" w:cs="仿宋_GB2312"/>
          <w:color w:val="auto"/>
          <w:kern w:val="2"/>
          <w:sz w:val="32"/>
          <w:szCs w:val="32"/>
          <w:u w:val="none"/>
          <w:lang w:val="en-US" w:eastAsia="zh-CN" w:bidi="ar-SA"/>
        </w:rPr>
        <w:t>超长期国债储备77个，大规模设备更新储备64个，部门争资储备24个，中央预算内储备61个，政府专项债券储备84个</w:t>
      </w:r>
      <w:r>
        <w:rPr>
          <w:rFonts w:hint="eastAsia" w:ascii="Times New Roman" w:hAnsi="Times New Roman" w:eastAsia="仿宋_GB2312" w:cs="仿宋_GB2312"/>
          <w:color w:val="auto"/>
          <w:kern w:val="0"/>
          <w:sz w:val="32"/>
          <w:szCs w:val="32"/>
          <w:u w:val="none"/>
          <w:lang w:val="en-US" w:eastAsia="zh-CN" w:bidi="ar-SA"/>
        </w:rPr>
        <w:t>。谋划亿元以上大项目124个，总投资311.2亿元，</w:t>
      </w:r>
      <w:r>
        <w:rPr>
          <w:rFonts w:hint="eastAsia" w:ascii="Times New Roman" w:hAnsi="Times New Roman" w:eastAsia="仿宋_GB2312" w:cs="仿宋_GB2312"/>
          <w:kern w:val="2"/>
          <w:sz w:val="32"/>
          <w:szCs w:val="32"/>
          <w:lang w:val="en-US" w:eastAsia="zh-CN" w:bidi="ar-SA"/>
        </w:rPr>
        <w:t>特别是针对锂电全产业链发展要素全方位保障谋划配套项目15个，总投资达200亿元以上</w:t>
      </w:r>
      <w:r>
        <w:rPr>
          <w:rFonts w:hint="eastAsia" w:ascii="Times New Roman" w:hAnsi="Times New Roman" w:eastAsia="仿宋_GB2312" w:cs="仿宋_GB2312"/>
          <w:color w:val="auto"/>
          <w:sz w:val="32"/>
          <w:szCs w:val="32"/>
          <w:u w:val="none"/>
          <w:lang w:val="en-US" w:eastAsia="zh-CN"/>
        </w:rPr>
        <w:t>）</w:t>
      </w:r>
      <w:r>
        <w:rPr>
          <w:rFonts w:hint="eastAsia" w:ascii="Times New Roman" w:hAnsi="Times New Roman" w:eastAsia="仿宋_GB2312" w:cs="仿宋_GB2312"/>
          <w:color w:val="auto"/>
          <w:kern w:val="0"/>
          <w:sz w:val="32"/>
          <w:szCs w:val="32"/>
          <w:u w:val="none"/>
          <w:lang w:val="en-US" w:eastAsia="zh-CN" w:bidi="ar-SA"/>
        </w:rPr>
        <w:t>，</w:t>
      </w:r>
      <w:r>
        <w:rPr>
          <w:rFonts w:hint="eastAsia" w:ascii="Times New Roman" w:hAnsi="Times New Roman" w:eastAsia="仿宋_GB2312" w:cs="仿宋_GB2312"/>
          <w:color w:val="auto"/>
          <w:kern w:val="2"/>
          <w:sz w:val="32"/>
          <w:szCs w:val="32"/>
          <w:lang w:val="en-US" w:eastAsia="zh-CN" w:bidi="ar-SA"/>
        </w:rPr>
        <w:t>组织申报项目246个，成功推送国家发改委审核项目97个。</w:t>
      </w:r>
      <w:r>
        <w:rPr>
          <w:rFonts w:hint="eastAsia" w:ascii="Times New Roman" w:hAnsi="Times New Roman" w:eastAsia="仿宋_GB2312" w:cs="仿宋_GB2312"/>
          <w:color w:val="auto"/>
          <w:sz w:val="32"/>
          <w:szCs w:val="32"/>
          <w:highlight w:val="none"/>
          <w:u w:val="none"/>
          <w:lang w:val="en-US" w:eastAsia="zh-CN"/>
        </w:rPr>
        <w:t>全年完成政府投资项目审批立项48个，投资总额38.85亿元。</w:t>
      </w:r>
    </w:p>
    <w:p w14:paraId="499BD28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楷体_GB2312" w:cs="楷体_GB2312"/>
          <w:b/>
          <w:bCs/>
          <w:color w:val="auto"/>
          <w:kern w:val="2"/>
          <w:sz w:val="32"/>
          <w:szCs w:val="32"/>
          <w:lang w:val="en-US" w:eastAsia="zh-CN" w:bidi="ar-SA"/>
        </w:rPr>
        <w:t>（3）固定投资稳中有进。</w:t>
      </w:r>
      <w:r>
        <w:rPr>
          <w:rFonts w:hint="eastAsia" w:ascii="Times New Roman" w:hAnsi="Times New Roman" w:eastAsia="仿宋_GB2312" w:cs="仿宋_GB2312"/>
          <w:b w:val="0"/>
          <w:bCs w:val="0"/>
          <w:color w:val="auto"/>
          <w:sz w:val="32"/>
          <w:szCs w:val="32"/>
          <w:lang w:val="en-US" w:eastAsia="zh-CN"/>
        </w:rPr>
        <w:t>2024年合计入库106个项目，其中投资项目新增99个，投资额82.64亿元（5000万元以上通过30个，通过金额63.32亿元。5000万以下通过69个，通过金额19.32亿元）及2023年2个任务抵扣2024年的任务，金额是0.83亿元。房地产项目5个，总投资3.88亿元。其中，县直单位完成53.5个项目，占全年任务目标的82.31%，完成入统金额44.72亿元，占全年任务的35.77%。乡镇完成52.5个项目，占全年任务的53.16%，完成入统金额42.55亿元，占全年任务115.01%。</w:t>
      </w:r>
    </w:p>
    <w:p w14:paraId="7CCDFFE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仿宋_GB2312"/>
          <w:b w:val="0"/>
          <w:bCs w:val="0"/>
          <w:color w:val="auto"/>
          <w:sz w:val="32"/>
          <w:szCs w:val="32"/>
          <w:lang w:val="en-US" w:eastAsia="zh-CN"/>
        </w:rPr>
      </w:pPr>
      <w:r>
        <w:rPr>
          <w:rFonts w:hint="eastAsia" w:ascii="Times New Roman" w:hAnsi="Times New Roman" w:eastAsia="楷体_GB2312" w:cs="楷体_GB2312"/>
          <w:b/>
          <w:bCs/>
          <w:color w:val="auto"/>
          <w:kern w:val="2"/>
          <w:sz w:val="32"/>
          <w:szCs w:val="32"/>
          <w:lang w:val="en-US" w:eastAsia="zh-CN" w:bidi="ar-SA"/>
        </w:rPr>
        <w:t>（4）</w:t>
      </w:r>
      <w:r>
        <w:rPr>
          <w:rFonts w:hint="eastAsia" w:ascii="Times New Roman" w:hAnsi="Times New Roman" w:eastAsia="楷体_GB2312" w:cs="楷体_GB2312"/>
          <w:b/>
          <w:bCs/>
          <w:color w:val="auto"/>
          <w:sz w:val="32"/>
          <w:szCs w:val="32"/>
          <w:lang w:eastAsia="zh-CN"/>
        </w:rPr>
        <w:t>营商环境持续优化。</w:t>
      </w:r>
      <w:r>
        <w:rPr>
          <w:rFonts w:hint="eastAsia" w:ascii="Times New Roman" w:hAnsi="Times New Roman" w:eastAsia="仿宋_GB2312" w:cs="仿宋_GB2312"/>
          <w:color w:val="auto"/>
          <w:sz w:val="32"/>
          <w:szCs w:val="32"/>
          <w:lang w:val="en-US" w:eastAsia="zh-CN"/>
        </w:rPr>
        <w:t>2024年，</w:t>
      </w:r>
      <w:r>
        <w:rPr>
          <w:rFonts w:hint="eastAsia" w:ascii="Times New Roman" w:hAnsi="Times New Roman" w:eastAsia="仿宋_GB2312" w:cs="仿宋_GB2312"/>
          <w:color w:val="auto"/>
          <w:sz w:val="32"/>
          <w:szCs w:val="32"/>
          <w:lang w:eastAsia="zh-CN"/>
        </w:rPr>
        <w:t>出台了《临武县以降成本为核心的优化营商环境若干措施责任清单》，</w:t>
      </w:r>
      <w:r>
        <w:rPr>
          <w:rFonts w:hint="eastAsia" w:ascii="Times New Roman" w:hAnsi="Times New Roman" w:eastAsia="仿宋_GB2312" w:cs="仿宋_GB2312"/>
          <w:color w:val="auto"/>
          <w:sz w:val="32"/>
          <w:szCs w:val="32"/>
          <w:lang w:val="en-US" w:eastAsia="zh-CN"/>
        </w:rPr>
        <w:t>狠抓降成本“39条”措施，累计兑现减费降税惠企政策资金1.8亿元</w:t>
      </w:r>
      <w:r>
        <w:rPr>
          <w:rFonts w:hint="eastAsia" w:ascii="Times New Roman" w:hAnsi="Times New Roman" w:eastAsia="仿宋_GB2312" w:cs="仿宋_GB2312"/>
          <w:color w:val="auto"/>
          <w:sz w:val="32"/>
          <w:szCs w:val="32"/>
          <w:lang w:eastAsia="zh-CN"/>
        </w:rPr>
        <w:t>，惠及</w:t>
      </w:r>
      <w:r>
        <w:rPr>
          <w:rFonts w:hint="eastAsia" w:ascii="Times New Roman" w:hAnsi="Times New Roman" w:eastAsia="仿宋_GB2312" w:cs="仿宋_GB2312"/>
          <w:color w:val="auto"/>
          <w:sz w:val="32"/>
          <w:szCs w:val="32"/>
          <w:lang w:val="en-US" w:eastAsia="zh-CN"/>
        </w:rPr>
        <w:t>3.49万户次，</w:t>
      </w:r>
      <w:r>
        <w:rPr>
          <w:rFonts w:hint="eastAsia" w:ascii="Times New Roman" w:hAnsi="Times New Roman" w:eastAsia="仿宋_GB2312" w:cs="仿宋_GB2312"/>
          <w:color w:val="000000"/>
          <w:sz w:val="32"/>
          <w:szCs w:val="32"/>
          <w:lang w:val="en-US" w:eastAsia="zh-CN"/>
        </w:rPr>
        <w:t>协调解决了</w:t>
      </w:r>
      <w:r>
        <w:rPr>
          <w:rFonts w:hint="eastAsia" w:ascii="Times New Roman" w:hAnsi="Times New Roman" w:eastAsia="仿宋_GB2312" w:cs="仿宋_GB2312"/>
          <w:b w:val="0"/>
          <w:bCs w:val="0"/>
          <w:color w:val="000000"/>
          <w:sz w:val="32"/>
          <w:szCs w:val="32"/>
          <w:lang w:val="en-US" w:eastAsia="zh-CN"/>
        </w:rPr>
        <w:t>东佳电子光</w:t>
      </w:r>
      <w:r>
        <w:rPr>
          <w:rFonts w:hint="eastAsia" w:ascii="Times New Roman" w:hAnsi="Times New Roman" w:eastAsia="仿宋_GB2312" w:cs="仿宋_GB2312"/>
          <w:color w:val="000000"/>
          <w:sz w:val="32"/>
          <w:szCs w:val="32"/>
          <w:lang w:val="en-US" w:eastAsia="zh-CN"/>
        </w:rPr>
        <w:t>伏发电并网等问题。</w:t>
      </w:r>
      <w:r>
        <w:rPr>
          <w:rFonts w:hint="eastAsia" w:ascii="Times New Roman" w:hAnsi="Times New Roman" w:eastAsia="仿宋_GB2312" w:cs="仿宋_GB2312"/>
          <w:color w:val="auto"/>
          <w:sz w:val="32"/>
          <w:szCs w:val="32"/>
          <w:lang w:val="en-US" w:eastAsia="zh-CN"/>
        </w:rPr>
        <w:t>扎实开展“两重”“两新”送解优专项行动，</w:t>
      </w:r>
      <w:r>
        <w:rPr>
          <w:rFonts w:hint="eastAsia" w:ascii="Times New Roman" w:hAnsi="Times New Roman" w:eastAsia="仿宋_GB2312" w:cs="仿宋_GB2312"/>
          <w:color w:val="auto"/>
          <w:kern w:val="2"/>
          <w:sz w:val="32"/>
          <w:szCs w:val="32"/>
          <w:highlight w:val="none"/>
          <w:u w:val="none"/>
          <w:lang w:val="en-US" w:eastAsia="zh-CN" w:bidi="ar-SA"/>
        </w:rPr>
        <w:t>出台了《临武县两重两新“送解优”实施方案》，</w:t>
      </w:r>
      <w:r>
        <w:rPr>
          <w:rFonts w:hint="eastAsia" w:ascii="Times New Roman" w:hAnsi="Times New Roman" w:eastAsia="仿宋_GB2312" w:cs="仿宋_GB2312"/>
          <w:color w:val="000000"/>
          <w:sz w:val="32"/>
          <w:szCs w:val="32"/>
          <w:lang w:val="en-US" w:eastAsia="zh-CN"/>
        </w:rPr>
        <w:t>走访企业151家，共收问题105个，现场解决37个，收集问题清单68个，下达交办函57件。</w:t>
      </w:r>
      <w:r>
        <w:rPr>
          <w:rFonts w:hint="eastAsia" w:ascii="Times New Roman" w:hAnsi="Times New Roman" w:eastAsia="仿宋_GB2312" w:cs="仿宋_GB2312"/>
          <w:color w:val="auto"/>
          <w:sz w:val="32"/>
          <w:szCs w:val="32"/>
          <w:lang w:val="en-US" w:eastAsia="zh-CN"/>
        </w:rPr>
        <w:t>开展优化营商环境自查、督查工作11次，下达交办函20余份，落实整改问题43个。大力</w:t>
      </w:r>
      <w:r>
        <w:rPr>
          <w:rFonts w:hint="eastAsia" w:ascii="Times New Roman" w:hAnsi="Times New Roman" w:eastAsia="仿宋_GB2312" w:cs="仿宋_GB2312"/>
          <w:color w:val="auto"/>
          <w:kern w:val="2"/>
          <w:sz w:val="32"/>
          <w:szCs w:val="32"/>
          <w:highlight w:val="none"/>
          <w:u w:val="none"/>
          <w:lang w:val="en-US" w:eastAsia="zh-CN" w:bidi="ar-SA"/>
        </w:rPr>
        <w:t>推行“两员”服务，量身定制“一对一”服务清单和全流程服务方案，</w:t>
      </w:r>
      <w:r>
        <w:rPr>
          <w:rFonts w:hint="eastAsia" w:ascii="Times New Roman" w:hAnsi="Times New Roman" w:eastAsia="仿宋_GB2312" w:cs="仿宋_GB2312"/>
          <w:color w:val="auto"/>
          <w:sz w:val="32"/>
          <w:szCs w:val="32"/>
          <w:lang w:val="en-US" w:eastAsia="zh-CN"/>
        </w:rPr>
        <w:t>持续擦亮“身在临武、办事无阻”营商环境品牌。</w:t>
      </w:r>
    </w:p>
    <w:p w14:paraId="0AE77C30">
      <w:pPr>
        <w:pStyle w:val="8"/>
        <w:keepNext w:val="0"/>
        <w:keepLines w:val="0"/>
        <w:pageBreakBefore w:val="0"/>
        <w:kinsoku/>
        <w:wordWrap/>
        <w:overflowPunct/>
        <w:topLinePunct w:val="0"/>
        <w:autoSpaceDE/>
        <w:autoSpaceDN/>
        <w:bidi w:val="0"/>
        <w:adjustRightInd/>
        <w:snapToGrid/>
        <w:spacing w:before="0" w:beforeAutospacing="0" w:afterAutospacing="0" w:line="580" w:lineRule="exact"/>
        <w:ind w:left="0" w:leftChars="0" w:firstLine="643" w:firstLineChars="200"/>
        <w:jc w:val="both"/>
        <w:textAlignment w:val="auto"/>
        <w:rPr>
          <w:rFonts w:hint="eastAsia" w:ascii="Times New Roman" w:hAnsi="Times New Roman" w:eastAsia="仿宋_GB2312" w:cs="仿宋_GB2312"/>
          <w:b w:val="0"/>
          <w:bCs/>
          <w:color w:val="000000"/>
          <w:kern w:val="2"/>
          <w:sz w:val="32"/>
          <w:szCs w:val="32"/>
          <w:shd w:val="clear" w:color="auto" w:fill="FFFFFF"/>
          <w:lang w:val="en-US" w:eastAsia="zh-CN"/>
        </w:rPr>
      </w:pPr>
      <w:r>
        <w:rPr>
          <w:rFonts w:hint="eastAsia" w:ascii="Times New Roman" w:hAnsi="Times New Roman" w:eastAsia="楷体_GB2312" w:cs="楷体_GB2312"/>
          <w:b/>
          <w:bCs w:val="0"/>
          <w:color w:val="000000"/>
          <w:kern w:val="2"/>
          <w:sz w:val="32"/>
          <w:szCs w:val="32"/>
          <w:shd w:val="clear" w:color="auto" w:fill="FFFFFF"/>
          <w:lang w:val="en-US" w:eastAsia="zh-CN"/>
        </w:rPr>
        <w:t>（5）粮食</w:t>
      </w:r>
      <w:r>
        <w:rPr>
          <w:rFonts w:hint="eastAsia" w:ascii="Times New Roman" w:hAnsi="Times New Roman" w:eastAsia="楷体_GB2312" w:cs="Times New Roman"/>
          <w:b/>
          <w:bCs/>
          <w:color w:val="auto"/>
          <w:spacing w:val="0"/>
          <w:sz w:val="32"/>
          <w:szCs w:val="32"/>
          <w:lang w:eastAsia="zh-CN"/>
        </w:rPr>
        <w:t>安全坚决守牢</w:t>
      </w:r>
      <w:r>
        <w:rPr>
          <w:rFonts w:hint="eastAsia" w:ascii="Times New Roman" w:hAnsi="Times New Roman" w:eastAsia="楷体_GB2312" w:cs="楷体_GB2312"/>
          <w:b/>
          <w:bCs w:val="0"/>
          <w:color w:val="000000"/>
          <w:kern w:val="2"/>
          <w:sz w:val="32"/>
          <w:szCs w:val="32"/>
          <w:shd w:val="clear" w:color="auto" w:fill="FFFFFF"/>
          <w:lang w:val="en-US" w:eastAsia="zh-CN"/>
        </w:rPr>
        <w:t>。</w:t>
      </w:r>
      <w:r>
        <w:rPr>
          <w:rFonts w:hint="default" w:ascii="Times New Roman" w:hAnsi="Times New Roman" w:eastAsia="仿宋_GB2312" w:cs="Times New Roman"/>
          <w:sz w:val="32"/>
          <w:szCs w:val="32"/>
        </w:rPr>
        <w:t>出台《临武县2024年落实耕地保护和粮食安全责任制工作方案》，</w:t>
      </w:r>
      <w:r>
        <w:rPr>
          <w:rFonts w:hint="eastAsia" w:ascii="Times New Roman" w:hAnsi="Times New Roman" w:eastAsia="仿宋_GB2312" w:cs="仿宋_GB2312"/>
          <w:b w:val="0"/>
          <w:bCs/>
          <w:color w:val="000000"/>
          <w:kern w:val="2"/>
          <w:sz w:val="32"/>
          <w:szCs w:val="32"/>
          <w:shd w:val="clear" w:color="auto" w:fill="FFFFFF"/>
          <w:lang w:val="en-US" w:eastAsia="zh-CN"/>
        </w:rPr>
        <w:t>完成年度1782吨储备粮轮换任务，确保原粮（中晚稻）常年5000吨储备粮规模和500吨成品粮静态储备规模不变。同时，调度自然资源和农业农村部门做好粮食安全生产和产业发展工作，严控“非粮化”、“非农化”。</w:t>
      </w:r>
    </w:p>
    <w:p w14:paraId="1B0BFCFD">
      <w:pPr>
        <w:pStyle w:val="8"/>
        <w:keepNext w:val="0"/>
        <w:keepLines w:val="0"/>
        <w:pageBreakBefore w:val="0"/>
        <w:kinsoku/>
        <w:wordWrap/>
        <w:overflowPunct/>
        <w:topLinePunct w:val="0"/>
        <w:autoSpaceDE/>
        <w:autoSpaceDN/>
        <w:bidi w:val="0"/>
        <w:adjustRightInd/>
        <w:snapToGrid/>
        <w:spacing w:before="0" w:beforeAutospacing="0" w:afterAutospacing="0" w:line="580" w:lineRule="exact"/>
        <w:ind w:left="0" w:leftChars="0" w:firstLine="643" w:firstLineChars="200"/>
        <w:jc w:val="both"/>
        <w:textAlignment w:val="auto"/>
        <w:rPr>
          <w:rFonts w:hint="eastAsia" w:ascii="Times New Roman" w:hAnsi="Times New Roman" w:eastAsia="仿宋_GB2312" w:cs="仿宋_GB2312"/>
          <w:b w:val="0"/>
          <w:bCs/>
          <w:sz w:val="32"/>
          <w:szCs w:val="32"/>
          <w:lang w:val="en-US" w:eastAsia="zh-CN"/>
        </w:rPr>
      </w:pPr>
      <w:r>
        <w:rPr>
          <w:rFonts w:hint="eastAsia" w:ascii="Times New Roman" w:hAnsi="Times New Roman" w:eastAsia="楷体_GB2312" w:cs="楷体_GB2312"/>
          <w:b/>
          <w:bCs w:val="0"/>
          <w:color w:val="auto"/>
          <w:kern w:val="2"/>
          <w:sz w:val="32"/>
          <w:szCs w:val="32"/>
          <w:shd w:val="clear" w:color="auto" w:fill="FFFFFF"/>
          <w:lang w:val="en-US" w:eastAsia="zh-CN"/>
        </w:rPr>
        <w:t>（6）</w:t>
      </w:r>
      <w:r>
        <w:rPr>
          <w:rFonts w:hint="eastAsia" w:ascii="Times New Roman" w:hAnsi="Times New Roman" w:eastAsia="楷体_GB2312" w:cs="楷体_GB2312"/>
          <w:b/>
          <w:bCs w:val="0"/>
          <w:sz w:val="32"/>
          <w:szCs w:val="32"/>
          <w:lang w:val="en-US" w:eastAsia="zh-CN"/>
        </w:rPr>
        <w:t>信用体系继续做强。</w:t>
      </w:r>
      <w:r>
        <w:rPr>
          <w:rFonts w:hint="eastAsia" w:ascii="Times New Roman" w:hAnsi="Times New Roman" w:eastAsia="仿宋_GB2312" w:cs="仿宋_GB2312"/>
          <w:b w:val="0"/>
          <w:bCs/>
          <w:sz w:val="32"/>
          <w:szCs w:val="32"/>
          <w:lang w:val="en-US" w:eastAsia="zh-CN"/>
        </w:rPr>
        <w:t>积极开展信用宣传，编制更新《临武县公共信用信息目录（2024年版）》，截至</w:t>
      </w:r>
      <w:bookmarkStart w:id="0" w:name="_GoBack"/>
      <w:bookmarkEnd w:id="0"/>
      <w:r>
        <w:rPr>
          <w:rFonts w:hint="eastAsia" w:ascii="Times New Roman" w:hAnsi="Times New Roman" w:eastAsia="仿宋_GB2312" w:cs="仿宋_GB2312"/>
          <w:b w:val="0"/>
          <w:bCs/>
          <w:sz w:val="32"/>
          <w:szCs w:val="32"/>
          <w:lang w:val="en-US" w:eastAsia="zh-CN"/>
        </w:rPr>
        <w:t>12月底累计归集行政许可信息4851条；行政处罚信息1136条，水、电、气信息15099条，行政强制、行政奖励、行政确认、行政监督检查、行政裁决等五类行政信息311条，信用承诺信息5216条，信用核查信息5095条。持续保持行政许可、行政处罚全合规、零迟报、零瞒报，保持郴州市信用体系建设示范县称号。</w:t>
      </w:r>
    </w:p>
    <w:p w14:paraId="23AABC7C">
      <w:pPr>
        <w:pStyle w:val="8"/>
        <w:keepNext w:val="0"/>
        <w:keepLines w:val="0"/>
        <w:pageBreakBefore w:val="0"/>
        <w:kinsoku/>
        <w:wordWrap/>
        <w:overflowPunct/>
        <w:topLinePunct w:val="0"/>
        <w:autoSpaceDE/>
        <w:autoSpaceDN/>
        <w:bidi w:val="0"/>
        <w:adjustRightInd/>
        <w:snapToGrid/>
        <w:spacing w:before="0" w:beforeAutospacing="0" w:afterAutospacing="0" w:line="580" w:lineRule="exact"/>
        <w:ind w:left="0" w:leftChars="0" w:firstLine="643" w:firstLineChars="200"/>
        <w:jc w:val="both"/>
        <w:textAlignment w:val="auto"/>
        <w:rPr>
          <w:rFonts w:hint="eastAsia" w:ascii="Times New Roman" w:hAnsi="Times New Roman" w:eastAsia="楷体_GB2312" w:cs="楷体_GB2312"/>
          <w:b/>
          <w:bCs w:val="0"/>
          <w:color w:val="000000"/>
          <w:kern w:val="2"/>
          <w:sz w:val="32"/>
          <w:szCs w:val="32"/>
          <w:shd w:val="clear" w:color="auto" w:fill="FFFFFF"/>
          <w:lang w:val="en-US" w:eastAsia="zh-CN"/>
        </w:rPr>
      </w:pPr>
      <w:r>
        <w:rPr>
          <w:rFonts w:hint="eastAsia" w:ascii="Times New Roman" w:hAnsi="Times New Roman" w:eastAsia="楷体_GB2312" w:cs="楷体_GB2312"/>
          <w:b/>
          <w:bCs w:val="0"/>
          <w:sz w:val="32"/>
          <w:szCs w:val="32"/>
          <w:lang w:val="en-US" w:eastAsia="zh-CN"/>
        </w:rPr>
        <w:t>（7）</w:t>
      </w:r>
      <w:r>
        <w:rPr>
          <w:rFonts w:hint="eastAsia" w:ascii="Times New Roman" w:hAnsi="Times New Roman" w:eastAsia="楷体_GB2312" w:cs="楷体_GB2312"/>
          <w:b/>
          <w:bCs w:val="0"/>
          <w:color w:val="000000"/>
          <w:kern w:val="2"/>
          <w:sz w:val="32"/>
          <w:szCs w:val="32"/>
          <w:shd w:val="clear" w:color="auto" w:fill="FFFFFF"/>
          <w:lang w:val="en-US" w:eastAsia="zh-CN"/>
        </w:rPr>
        <w:t>国防动员积极开展。</w:t>
      </w:r>
      <w:r>
        <w:rPr>
          <w:rFonts w:hint="eastAsia" w:ascii="Times New Roman" w:hAnsi="Times New Roman" w:eastAsia="仿宋_GB2312" w:cs="仿宋_GB2312"/>
          <w:b w:val="0"/>
          <w:bCs/>
          <w:color w:val="000000"/>
          <w:kern w:val="2"/>
          <w:sz w:val="32"/>
          <w:szCs w:val="32"/>
          <w:shd w:val="clear" w:color="auto" w:fill="FFFFFF"/>
          <w:lang w:val="en-US" w:eastAsia="zh-CN"/>
        </w:rPr>
        <w:t>2024年，健全和完善各项工作机制，深入开展国防动员潜力数据调查统计，深化国防教育宣传，积极开展应急演练，强化人防专业队伍训练，规范军事设施保护，排查人防工程安全隐患，优化人防易地审批流程，全年共追缴和征收人防易地建设费310万元。</w:t>
      </w:r>
    </w:p>
    <w:p w14:paraId="016F4A2E">
      <w:pPr>
        <w:pStyle w:val="5"/>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ascii="Times New Roman" w:hAnsi="Times New Roman" w:eastAsia="仿宋_GB2312" w:cs="Times New Roman"/>
          <w:bCs/>
          <w:sz w:val="32"/>
          <w:szCs w:val="32"/>
        </w:rPr>
      </w:pPr>
      <w:r>
        <w:rPr>
          <w:rFonts w:hint="eastAsia" w:ascii="Times New Roman" w:hAnsi="Times New Roman" w:eastAsia="楷体_GB2312" w:cs="楷体_GB2312"/>
          <w:b/>
          <w:bCs w:val="0"/>
          <w:color w:val="auto"/>
          <w:sz w:val="32"/>
          <w:szCs w:val="32"/>
          <w:lang w:val="en-US" w:eastAsia="zh-CN"/>
        </w:rPr>
        <w:t>（8）民生保障稳步提升。</w:t>
      </w:r>
      <w:r>
        <w:rPr>
          <w:rFonts w:hint="eastAsia" w:ascii="Times New Roman" w:hAnsi="Times New Roman" w:eastAsia="仿宋_GB2312" w:cs="仿宋_GB2312"/>
          <w:b/>
          <w:bCs w:val="0"/>
          <w:color w:val="auto"/>
          <w:sz w:val="32"/>
          <w:szCs w:val="32"/>
          <w:lang w:val="en-US" w:eastAsia="zh-CN"/>
        </w:rPr>
        <w:t>一是紧抓易地扶贫搬迁后续帮扶。</w:t>
      </w:r>
      <w:r>
        <w:rPr>
          <w:rFonts w:hint="eastAsia" w:ascii="Times New Roman" w:hAnsi="Times New Roman" w:eastAsia="仿宋_GB2312" w:cs="仿宋_GB2312"/>
          <w:b w:val="0"/>
          <w:bCs/>
          <w:color w:val="auto"/>
          <w:sz w:val="32"/>
          <w:szCs w:val="32"/>
          <w:lang w:val="en-US" w:eastAsia="zh-CN"/>
        </w:rPr>
        <w:t>通过开发公益性岗位、开展专技培训、提供就业信息等多种形式，引导贫困劳动力就地就近转移实现就业1457人。</w:t>
      </w:r>
      <w:r>
        <w:rPr>
          <w:rFonts w:hint="eastAsia" w:ascii="Times New Roman" w:hAnsi="Times New Roman" w:eastAsia="仿宋_GB2312" w:cs="仿宋_GB2312"/>
          <w:b/>
          <w:bCs w:val="0"/>
          <w:color w:val="auto"/>
          <w:sz w:val="32"/>
          <w:szCs w:val="32"/>
          <w:lang w:val="en-US" w:eastAsia="zh-CN"/>
        </w:rPr>
        <w:t>二是强化物价管理。</w:t>
      </w:r>
      <w:r>
        <w:rPr>
          <w:rFonts w:hint="eastAsia" w:ascii="Times New Roman" w:hAnsi="Times New Roman" w:eastAsia="仿宋_GB2312" w:cs="仿宋_GB2312"/>
          <w:b w:val="0"/>
          <w:bCs/>
          <w:color w:val="auto"/>
          <w:sz w:val="32"/>
          <w:szCs w:val="32"/>
          <w:lang w:val="en-US" w:eastAsia="zh-CN"/>
        </w:rPr>
        <w:t>积极</w:t>
      </w:r>
      <w:r>
        <w:rPr>
          <w:rFonts w:hint="eastAsia" w:ascii="Times New Roman" w:hAnsi="Times New Roman" w:eastAsia="仿宋_GB2312" w:cs="仿宋_GB2312"/>
          <w:b w:val="0"/>
          <w:bCs/>
          <w:color w:val="auto"/>
          <w:sz w:val="32"/>
          <w:szCs w:val="32"/>
          <w:highlight w:val="none"/>
          <w:lang w:val="en-US" w:eastAsia="zh-CN"/>
        </w:rPr>
        <w:t>配</w:t>
      </w:r>
      <w:r>
        <w:rPr>
          <w:rFonts w:hint="eastAsia" w:ascii="Times New Roman" w:hAnsi="Times New Roman" w:eastAsia="仿宋_GB2312" w:cs="仿宋_GB2312"/>
          <w:color w:val="auto"/>
          <w:sz w:val="32"/>
          <w:szCs w:val="32"/>
          <w:highlight w:val="none"/>
          <w:lang w:val="en-US" w:eastAsia="zh-CN"/>
        </w:rPr>
        <w:t>合市发改委完成管道燃气配气定价成本监审、价格听证等工作，有效降低居民及非居民企业用气成本；</w:t>
      </w:r>
      <w:r>
        <w:rPr>
          <w:rFonts w:hint="eastAsia" w:ascii="Times New Roman" w:hAnsi="Times New Roman" w:eastAsia="仿宋_GB2312" w:cs="仿宋_GB2312"/>
          <w:sz w:val="32"/>
          <w:szCs w:val="32"/>
          <w:lang w:eastAsia="zh-CN"/>
        </w:rPr>
        <w:t>出台春、秋季中小学教育收费政策，</w:t>
      </w:r>
      <w:r>
        <w:rPr>
          <w:rFonts w:hint="eastAsia" w:ascii="Times New Roman" w:hAnsi="Times New Roman" w:eastAsia="仿宋_GB2312" w:cs="仿宋_GB2312"/>
          <w:color w:val="auto"/>
          <w:sz w:val="32"/>
          <w:szCs w:val="32"/>
          <w:highlight w:val="none"/>
          <w:lang w:val="en-US" w:eastAsia="zh-CN"/>
        </w:rPr>
        <w:t>更新发布2024年行政事业性收费目录清单；</w:t>
      </w:r>
      <w:r>
        <w:rPr>
          <w:rFonts w:hint="eastAsia" w:ascii="Times New Roman" w:hAnsi="Times New Roman" w:eastAsia="仿宋_GB2312" w:cs="仿宋_GB2312"/>
          <w:sz w:val="32"/>
          <w:szCs w:val="32"/>
          <w:lang w:val="en-US" w:eastAsia="zh-CN"/>
        </w:rPr>
        <w:t>核定临武县皇塘坪陵园公墓山墓位价格、墓位维护费标准，完成殡葬行业配套服务价格及8个小区前期物业服务收费备案工作，</w:t>
      </w:r>
      <w:r>
        <w:rPr>
          <w:rFonts w:hint="eastAsia" w:ascii="Times New Roman" w:hAnsi="Times New Roman" w:eastAsia="仿宋_GB2312" w:cs="仿宋_GB2312"/>
          <w:color w:val="auto"/>
          <w:sz w:val="32"/>
          <w:szCs w:val="32"/>
          <w:lang w:val="en-US" w:eastAsia="zh-CN"/>
        </w:rPr>
        <w:t>完成农业水价综合改革自评自验工作，</w:t>
      </w:r>
      <w:r>
        <w:rPr>
          <w:rFonts w:hint="eastAsia" w:ascii="Times New Roman" w:hAnsi="Times New Roman" w:eastAsia="仿宋_GB2312" w:cs="仿宋_GB2312"/>
          <w:sz w:val="32"/>
          <w:szCs w:val="32"/>
        </w:rPr>
        <w:t>协助</w:t>
      </w:r>
      <w:r>
        <w:rPr>
          <w:rFonts w:hint="eastAsia" w:ascii="Times New Roman" w:hAnsi="Times New Roman" w:eastAsia="仿宋_GB2312" w:cs="仿宋_GB2312"/>
          <w:sz w:val="32"/>
          <w:szCs w:val="32"/>
          <w:lang w:eastAsia="zh-CN"/>
        </w:rPr>
        <w:t>公、检、法等部门</w:t>
      </w:r>
      <w:r>
        <w:rPr>
          <w:rFonts w:hint="eastAsia" w:ascii="Times New Roman" w:hAnsi="Times New Roman" w:eastAsia="仿宋_GB2312" w:cs="仿宋_GB2312"/>
          <w:sz w:val="32"/>
          <w:szCs w:val="32"/>
        </w:rPr>
        <w:t>办理价格认定案件</w:t>
      </w:r>
      <w:r>
        <w:rPr>
          <w:rFonts w:hint="eastAsia" w:ascii="Times New Roman" w:hAnsi="Times New Roman" w:eastAsia="仿宋_GB2312" w:cs="仿宋_GB2312"/>
          <w:sz w:val="32"/>
          <w:szCs w:val="32"/>
          <w:lang w:val="en-US" w:eastAsia="zh-CN"/>
        </w:rPr>
        <w:t>31</w:t>
      </w:r>
      <w:r>
        <w:rPr>
          <w:rFonts w:hint="eastAsia" w:ascii="Times New Roman" w:hAnsi="Times New Roman" w:eastAsia="仿宋_GB2312" w:cs="仿宋_GB2312"/>
          <w:sz w:val="32"/>
          <w:szCs w:val="32"/>
        </w:rPr>
        <w:t>宗</w:t>
      </w:r>
      <w:r>
        <w:rPr>
          <w:rFonts w:hint="eastAsia" w:ascii="Times New Roman" w:hAnsi="Times New Roman" w:eastAsia="仿宋_GB2312" w:cs="仿宋_GB2312"/>
          <w:sz w:val="32"/>
          <w:szCs w:val="32"/>
          <w:lang w:eastAsia="zh-CN"/>
        </w:rPr>
        <w:t>，涉案</w:t>
      </w:r>
      <w:r>
        <w:rPr>
          <w:rFonts w:hint="eastAsia" w:ascii="Times New Roman" w:hAnsi="Times New Roman" w:eastAsia="仿宋_GB2312" w:cs="仿宋_GB2312"/>
          <w:sz w:val="32"/>
          <w:szCs w:val="32"/>
        </w:rPr>
        <w:t>金额</w:t>
      </w:r>
      <w:r>
        <w:rPr>
          <w:rFonts w:hint="eastAsia" w:ascii="Times New Roman" w:hAnsi="Times New Roman" w:eastAsia="仿宋_GB2312" w:cs="仿宋_GB2312"/>
          <w:sz w:val="32"/>
          <w:szCs w:val="32"/>
          <w:lang w:val="en-US" w:eastAsia="zh-CN"/>
        </w:rPr>
        <w:t>80余</w:t>
      </w:r>
      <w:r>
        <w:rPr>
          <w:rFonts w:hint="eastAsia" w:ascii="Times New Roman" w:hAnsi="Times New Roman" w:eastAsia="仿宋_GB2312" w:cs="仿宋_GB2312"/>
          <w:sz w:val="32"/>
          <w:szCs w:val="32"/>
        </w:rPr>
        <w:t>万元</w:t>
      </w:r>
      <w:r>
        <w:rPr>
          <w:rFonts w:hint="eastAsia" w:ascii="Times New Roman" w:hAnsi="Times New Roman" w:eastAsia="仿宋_GB2312" w:cs="仿宋_GB2312"/>
          <w:sz w:val="32"/>
          <w:szCs w:val="32"/>
          <w:lang w:eastAsia="zh-CN"/>
        </w:rPr>
        <w:t>。三</w:t>
      </w:r>
      <w:r>
        <w:rPr>
          <w:rFonts w:hint="eastAsia" w:ascii="Times New Roman" w:hAnsi="Times New Roman" w:eastAsia="仿宋_GB2312" w:cs="仿宋_GB2312"/>
          <w:b/>
          <w:bCs w:val="0"/>
          <w:color w:val="000000"/>
          <w:kern w:val="2"/>
          <w:sz w:val="32"/>
          <w:szCs w:val="32"/>
          <w:shd w:val="clear" w:color="auto" w:fill="FFFFFF"/>
          <w:lang w:val="en-US" w:eastAsia="zh-CN"/>
        </w:rPr>
        <w:t>是提升政务服务能力。</w:t>
      </w:r>
      <w:r>
        <w:rPr>
          <w:rFonts w:hint="eastAsia" w:ascii="Times New Roman" w:hAnsi="Times New Roman" w:eastAsia="仿宋_GB2312" w:cs="仿宋_GB2312"/>
          <w:b w:val="0"/>
          <w:bCs/>
          <w:color w:val="auto"/>
          <w:kern w:val="2"/>
          <w:sz w:val="32"/>
          <w:szCs w:val="32"/>
          <w:shd w:val="clear" w:color="auto" w:fill="FFFFFF"/>
          <w:lang w:val="en-US" w:eastAsia="zh-CN"/>
        </w:rPr>
        <w:t>积极打造开放、创新、示范、便捷的临武公共充电服务网络，新增各类新能源电动汽车充电桩200余个；循序推进分布式光伏建设，已备案工商业、互用非自然人屋顶分布式光伏499户，互用自然人屋顶光伏867户，备案总装机67.01MW，并网54.652MW；持续做好“迎峰度夏”“迎峰度冬”期间有序用电；</w:t>
      </w:r>
      <w:r>
        <w:rPr>
          <w:rFonts w:hint="eastAsia" w:ascii="Times New Roman" w:hAnsi="Times New Roman" w:eastAsia="仿宋_GB2312" w:cs="仿宋_GB2312"/>
          <w:color w:val="auto"/>
          <w:sz w:val="32"/>
          <w:szCs w:val="32"/>
          <w:lang w:val="en-US" w:eastAsia="zh-CN"/>
        </w:rPr>
        <w:t>全年共核准依法必须招标项目28个，进入公共资源交易中心公开招标项目30个，招标金额共计13.35亿元，中标金额累计11.57亿元，应招标项目招标率达100％。</w:t>
      </w:r>
    </w:p>
    <w:p w14:paraId="3DBBBFA2">
      <w:pPr>
        <w:numPr>
          <w:ilvl w:val="0"/>
          <w:numId w:val="0"/>
        </w:numPr>
        <w:spacing w:before="1" w:line="221" w:lineRule="auto"/>
        <w:ind w:left="684" w:leftChars="0"/>
        <w:rPr>
          <w:rFonts w:hint="eastAsia" w:ascii="黑体" w:hAnsi="黑体" w:eastAsia="黑体" w:cs="黑体"/>
          <w:b/>
          <w:bCs/>
          <w:spacing w:val="-1"/>
          <w:sz w:val="31"/>
          <w:szCs w:val="31"/>
          <w:lang w:val="en-US" w:eastAsia="zh-CN"/>
        </w:rPr>
      </w:pPr>
      <w:r>
        <w:rPr>
          <w:rFonts w:hint="eastAsia" w:ascii="黑体" w:hAnsi="黑体" w:eastAsia="黑体" w:cs="黑体"/>
          <w:b/>
          <w:bCs/>
          <w:spacing w:val="-1"/>
          <w:sz w:val="31"/>
          <w:szCs w:val="31"/>
          <w:lang w:val="en-US" w:eastAsia="zh-CN"/>
        </w:rPr>
        <w:t>七、存在的问题及原因分析</w:t>
      </w:r>
    </w:p>
    <w:p w14:paraId="2E0BD0C3">
      <w:pPr>
        <w:widowControl w:val="0"/>
        <w:spacing w:beforeAutospacing="0" w:afterAutospacing="0" w:line="560" w:lineRule="exact"/>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绩效预算编制还有待进一步细化。</w:t>
      </w:r>
    </w:p>
    <w:p w14:paraId="5FCBCF69">
      <w:pPr>
        <w:numPr>
          <w:ilvl w:val="0"/>
          <w:numId w:val="0"/>
        </w:numPr>
        <w:spacing w:before="1" w:line="221" w:lineRule="auto"/>
        <w:ind w:left="684" w:leftChars="0"/>
        <w:rPr>
          <w:rFonts w:ascii="黑体" w:hAnsi="黑体" w:eastAsia="黑体" w:cs="黑体"/>
          <w:b/>
          <w:bCs/>
          <w:spacing w:val="-1"/>
          <w:sz w:val="31"/>
          <w:szCs w:val="31"/>
        </w:rPr>
      </w:pPr>
      <w:r>
        <w:rPr>
          <w:rFonts w:hint="eastAsia" w:ascii="黑体" w:hAnsi="黑体" w:eastAsia="黑体" w:cs="黑体"/>
          <w:b/>
          <w:bCs/>
          <w:spacing w:val="-1"/>
          <w:sz w:val="31"/>
          <w:szCs w:val="31"/>
          <w:lang w:val="en-US" w:eastAsia="zh-CN"/>
        </w:rPr>
        <w:t>八、</w:t>
      </w:r>
      <w:r>
        <w:rPr>
          <w:rFonts w:ascii="黑体" w:hAnsi="黑体" w:eastAsia="黑体" w:cs="黑体"/>
          <w:b/>
          <w:bCs/>
          <w:spacing w:val="-1"/>
          <w:sz w:val="31"/>
          <w:szCs w:val="31"/>
        </w:rPr>
        <w:t>下一步改进措施</w:t>
      </w:r>
    </w:p>
    <w:p w14:paraId="22514860">
      <w:pPr>
        <w:keepNext w:val="0"/>
        <w:keepLines w:val="0"/>
        <w:pageBreakBefore w:val="0"/>
        <w:widowControl w:val="0"/>
        <w:wordWrap/>
        <w:overflowPunct/>
        <w:topLinePunct w:val="0"/>
        <w:bidi w:val="0"/>
        <w:spacing w:beforeAutospacing="0" w:afterAutospacing="0" w:line="560" w:lineRule="exact"/>
        <w:ind w:firstLine="640" w:firstLineChars="200"/>
        <w:jc w:val="left"/>
        <w:rPr>
          <w:rFonts w:hint="eastAsia" w:ascii="仿宋_GB2312" w:hAnsi="仿宋_GB2312" w:eastAsia="仿宋_GB2312" w:cs="仿宋_GB2312"/>
          <w:snapToGrid w:val="0"/>
          <w:color w:val="000000"/>
          <w:kern w:val="2"/>
          <w:sz w:val="32"/>
          <w:szCs w:val="32"/>
          <w:lang w:val="en-US" w:eastAsia="zh-CN" w:bidi="ar-SA"/>
        </w:rPr>
      </w:pPr>
      <w:r>
        <w:rPr>
          <w:rFonts w:hint="eastAsia" w:ascii="仿宋_GB2312" w:hAnsi="仿宋_GB2312" w:eastAsia="仿宋_GB2312" w:cs="仿宋_GB2312"/>
          <w:snapToGrid w:val="0"/>
          <w:color w:val="000000"/>
          <w:kern w:val="2"/>
          <w:sz w:val="32"/>
          <w:szCs w:val="32"/>
          <w:lang w:val="en-US" w:eastAsia="zh-CN" w:bidi="ar-SA"/>
        </w:rPr>
        <w:t>1.细化预算编制工作，认真做好预算的编制。严格按照预算编制的相关制度和要求进行预算编制，全面编制预算项目，优先保障固定性的费用支出项目，进一步提高预算编制的科学性、严谨性和可控性。</w:t>
      </w:r>
    </w:p>
    <w:p w14:paraId="30C334B4">
      <w:pPr>
        <w:keepNext w:val="0"/>
        <w:keepLines w:val="0"/>
        <w:pageBreakBefore w:val="0"/>
        <w:numPr>
          <w:ilvl w:val="0"/>
          <w:numId w:val="0"/>
        </w:numPr>
        <w:wordWrap/>
        <w:overflowPunct/>
        <w:topLinePunct w:val="0"/>
        <w:bidi w:val="0"/>
        <w:spacing w:before="1" w:line="560" w:lineRule="exact"/>
        <w:ind w:firstLine="640" w:firstLineChars="200"/>
        <w:rPr>
          <w:rFonts w:hint="eastAsia" w:ascii="仿宋_GB2312" w:hAnsi="仿宋_GB2312" w:eastAsia="仿宋_GB2312" w:cs="仿宋_GB2312"/>
          <w:snapToGrid w:val="0"/>
          <w:color w:val="000000"/>
          <w:kern w:val="2"/>
          <w:sz w:val="32"/>
          <w:szCs w:val="32"/>
          <w:lang w:val="en-US" w:eastAsia="zh-CN" w:bidi="ar-SA"/>
        </w:rPr>
      </w:pPr>
      <w:r>
        <w:rPr>
          <w:rFonts w:hint="eastAsia" w:ascii="仿宋_GB2312" w:hAnsi="仿宋_GB2312" w:eastAsia="仿宋_GB2312" w:cs="仿宋_GB2312"/>
          <w:snapToGrid w:val="0"/>
          <w:color w:val="000000"/>
          <w:kern w:val="2"/>
          <w:sz w:val="32"/>
          <w:szCs w:val="32"/>
          <w:lang w:val="en-US" w:eastAsia="zh-CN" w:bidi="ar-SA"/>
        </w:rPr>
        <w:t>2.加快预算执行进度，增强预算约束力，建立科学合理的预算执行进度考核机制，充分发挥预算资金使用绩效。</w:t>
      </w:r>
    </w:p>
    <w:p w14:paraId="6D1A7119">
      <w:pPr>
        <w:numPr>
          <w:ilvl w:val="0"/>
          <w:numId w:val="0"/>
        </w:numPr>
        <w:spacing w:before="1" w:line="221" w:lineRule="auto"/>
        <w:ind w:left="684" w:leftChars="0"/>
        <w:rPr>
          <w:rFonts w:ascii="黑体" w:hAnsi="黑体" w:eastAsia="黑体" w:cs="黑体"/>
          <w:b/>
          <w:bCs/>
          <w:spacing w:val="-1"/>
          <w:sz w:val="31"/>
          <w:szCs w:val="31"/>
        </w:rPr>
      </w:pPr>
      <w:r>
        <w:rPr>
          <w:rFonts w:ascii="黑体" w:hAnsi="黑体" w:eastAsia="黑体" w:cs="黑体"/>
          <w:b/>
          <w:bCs/>
          <w:spacing w:val="-1"/>
          <w:sz w:val="31"/>
          <w:szCs w:val="31"/>
        </w:rPr>
        <w:t>九、部门整体支出绩效自评结果拟应用和公开情况</w:t>
      </w:r>
    </w:p>
    <w:p w14:paraId="7AAE61C0">
      <w:pPr>
        <w:keepNext w:val="0"/>
        <w:keepLines w:val="0"/>
        <w:pageBreakBefore w:val="0"/>
        <w:widowControl w:val="0"/>
        <w:wordWrap/>
        <w:overflowPunct/>
        <w:topLinePunct w:val="0"/>
        <w:bidi w:val="0"/>
        <w:spacing w:beforeAutospacing="0" w:afterAutospacing="0" w:line="560" w:lineRule="exact"/>
        <w:ind w:firstLine="640" w:firstLineChars="200"/>
        <w:jc w:val="left"/>
        <w:rPr>
          <w:rFonts w:hint="default" w:ascii="仿宋_GB2312" w:hAnsi="仿宋_GB2312" w:eastAsia="仿宋_GB2312" w:cs="仿宋_GB2312"/>
          <w:snapToGrid w:val="0"/>
          <w:color w:val="000000"/>
          <w:kern w:val="2"/>
          <w:sz w:val="32"/>
          <w:szCs w:val="32"/>
          <w:lang w:val="en-US" w:eastAsia="zh-CN" w:bidi="ar-SA"/>
        </w:rPr>
      </w:pPr>
      <w:r>
        <w:rPr>
          <w:rFonts w:hint="eastAsia" w:ascii="仿宋_GB2312" w:hAnsi="仿宋_GB2312" w:eastAsia="仿宋_GB2312" w:cs="仿宋_GB2312"/>
          <w:snapToGrid w:val="0"/>
          <w:color w:val="000000"/>
          <w:kern w:val="2"/>
          <w:sz w:val="32"/>
          <w:szCs w:val="32"/>
          <w:lang w:val="en-US" w:eastAsia="zh-CN" w:bidi="ar-SA"/>
        </w:rPr>
        <w:t>在有关政府公开网站进行公开。</w:t>
      </w:r>
    </w:p>
    <w:p w14:paraId="459E0679">
      <w:pPr>
        <w:numPr>
          <w:ilvl w:val="0"/>
          <w:numId w:val="0"/>
        </w:numPr>
        <w:spacing w:before="2" w:line="220" w:lineRule="auto"/>
        <w:ind w:left="684" w:leftChars="0"/>
        <w:rPr>
          <w:rFonts w:ascii="黑体" w:hAnsi="黑体" w:eastAsia="黑体" w:cs="黑体"/>
          <w:b/>
          <w:bCs/>
          <w:spacing w:val="-1"/>
          <w:sz w:val="31"/>
          <w:szCs w:val="31"/>
        </w:rPr>
      </w:pPr>
      <w:r>
        <w:rPr>
          <w:rFonts w:hint="eastAsia" w:ascii="黑体" w:hAnsi="黑体" w:eastAsia="黑体" w:cs="黑体"/>
          <w:b/>
          <w:bCs/>
          <w:spacing w:val="-1"/>
          <w:sz w:val="31"/>
          <w:szCs w:val="31"/>
          <w:lang w:val="en-US" w:eastAsia="zh-CN"/>
        </w:rPr>
        <w:t>十、</w:t>
      </w:r>
      <w:r>
        <w:rPr>
          <w:rFonts w:ascii="黑体" w:hAnsi="黑体" w:eastAsia="黑体" w:cs="黑体"/>
          <w:b/>
          <w:bCs/>
          <w:spacing w:val="-1"/>
          <w:sz w:val="31"/>
          <w:szCs w:val="31"/>
        </w:rPr>
        <w:t>其他需要说明的情况</w:t>
      </w:r>
    </w:p>
    <w:p w14:paraId="02374971">
      <w:pPr>
        <w:widowControl w:val="0"/>
        <w:spacing w:beforeAutospacing="0" w:afterAutospacing="0" w:line="560" w:lineRule="exact"/>
        <w:ind w:firstLine="640" w:firstLineChars="200"/>
        <w:jc w:val="both"/>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无其他需要说明情况。</w:t>
      </w:r>
    </w:p>
    <w:p w14:paraId="187886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8D57A"/>
    <w:multiLevelType w:val="singleLevel"/>
    <w:tmpl w:val="47D8D57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yMTVkNjNmNDliODBmNjZmMDczMmNjNjZhOGQyMzAifQ=="/>
  </w:docVars>
  <w:rsids>
    <w:rsidRoot w:val="65566A8B"/>
    <w:rsid w:val="03914673"/>
    <w:rsid w:val="11F11B9E"/>
    <w:rsid w:val="1AD94DE5"/>
    <w:rsid w:val="297F7DB1"/>
    <w:rsid w:val="3C7617C1"/>
    <w:rsid w:val="4C8B4D21"/>
    <w:rsid w:val="5D4C55DD"/>
    <w:rsid w:val="65566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customStyle="1" w:styleId="2">
    <w:name w:val="UserStyle_0"/>
    <w:basedOn w:val="3"/>
    <w:qFormat/>
    <w:uiPriority w:val="0"/>
    <w:pPr>
      <w:widowControl/>
      <w:ind w:firstLine="420" w:firstLineChars="200"/>
    </w:pPr>
  </w:style>
  <w:style w:type="paragraph" w:customStyle="1" w:styleId="3">
    <w:name w:val="UserStyle_1"/>
    <w:basedOn w:val="1"/>
    <w:qFormat/>
    <w:uiPriority w:val="0"/>
    <w:pPr>
      <w:spacing w:after="120"/>
      <w:textAlignment w:val="baseline"/>
    </w:pPr>
  </w:style>
  <w:style w:type="paragraph" w:styleId="4">
    <w:name w:val="Body Text Indent"/>
    <w:basedOn w:val="1"/>
    <w:qFormat/>
    <w:uiPriority w:val="0"/>
    <w:pPr>
      <w:widowControl/>
      <w:spacing w:before="100" w:beforeAutospacing="1" w:after="100" w:afterAutospacing="1"/>
      <w:jc w:val="left"/>
    </w:pPr>
    <w:rPr>
      <w:rFonts w:ascii="宋体" w:hAnsi="宋体" w:cs="宋体"/>
      <w:kern w:val="0"/>
      <w:sz w:val="24"/>
    </w:rPr>
  </w:style>
  <w:style w:type="paragraph" w:styleId="5">
    <w:name w:val="endnote text"/>
    <w:basedOn w:val="1"/>
    <w:unhideWhenUsed/>
    <w:qFormat/>
    <w:uiPriority w:val="99"/>
  </w:style>
  <w:style w:type="paragraph" w:styleId="6">
    <w:name w:val="footer"/>
    <w:basedOn w:val="1"/>
    <w:qFormat/>
    <w:uiPriority w:val="0"/>
    <w:pPr>
      <w:tabs>
        <w:tab w:val="center" w:pos="4153"/>
        <w:tab w:val="right" w:pos="8306"/>
      </w:tabs>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qFormat/>
    <w:uiPriority w:val="99"/>
    <w:pPr>
      <w:spacing w:beforeAutospacing="1" w:after="0"/>
      <w:ind w:left="0" w:firstLine="420" w:firstLineChars="200"/>
    </w:pPr>
    <w:rPr>
      <w:rFonts w:ascii="Calibri" w:hAnsi="Calibri"/>
    </w:rPr>
  </w:style>
  <w:style w:type="paragraph" w:customStyle="1" w:styleId="11">
    <w:name w:val="Default"/>
    <w:autoRedefine/>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4545</Words>
  <Characters>5030</Characters>
  <Lines>0</Lines>
  <Paragraphs>0</Paragraphs>
  <TotalTime>8</TotalTime>
  <ScaleCrop>false</ScaleCrop>
  <LinksUpToDate>false</LinksUpToDate>
  <CharactersWithSpaces>5035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2024-05-13T07:59:00Z</dcterms:created>
  <dc:creator>Xiao筱</dc:creator>
  <cp:lastModifiedBy>空城旧梦</cp:lastModifiedBy>
  <dcterms:modified xsi:type="dcterms:W3CDTF">2025-11-06T08:45:07Z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82F94D3B04D54A35806957E2CCD29ABB_13</vt:lpwstr>
  </property>
  <property fmtid="{D5CDD505-2E9C-101B-9397-08002B2CF9AE}" pid="4" name="KSOTemplateDocerSaveRecord">
    <vt:lpwstr>eyJoZGlkIjoiZDE4NzZkYTJhOGQ4Y2Q5NDIwZmU2NmU5NWZjMDI2ZDkiLCJ1c2VySWQiOiI0Nzk1NDYxNTEifQ==</vt:lpwstr>
  </property>
</Properties>
</file>