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F5E16">
      <w:pPr>
        <w:jc w:val="center"/>
        <w:rPr>
          <w:rFonts w:hint="eastAsia" w:ascii="方正大标宋简体" w:hAnsi="方正大标宋简体" w:eastAsia="方正大标宋简体" w:cs="方正大标宋简体"/>
          <w:spacing w:val="-17"/>
          <w:kern w:val="0"/>
          <w:sz w:val="44"/>
          <w:szCs w:val="44"/>
        </w:rPr>
      </w:pPr>
      <w:r>
        <w:rPr>
          <w:rFonts w:hint="eastAsia" w:ascii="方正大标宋简体" w:hAnsi="方正大标宋简体" w:eastAsia="方正大标宋简体" w:cs="方正大标宋简体"/>
          <w:spacing w:val="-17"/>
          <w:kern w:val="0"/>
          <w:sz w:val="44"/>
          <w:szCs w:val="44"/>
        </w:rPr>
        <w:t>临武县国民经济和社会发展</w:t>
      </w:r>
    </w:p>
    <w:p w14:paraId="2147B34A">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ascii="Times New Roman" w:hAnsi="Times New Roman" w:eastAsia="方正小标宋_GBK" w:cs="Times New Roman"/>
          <w:spacing w:val="-17"/>
          <w:kern w:val="0"/>
          <w:sz w:val="48"/>
          <w:szCs w:val="48"/>
        </w:rPr>
      </w:pPr>
      <w:r>
        <w:rPr>
          <w:rFonts w:hint="eastAsia" w:ascii="方正大标宋简体" w:hAnsi="方正大标宋简体" w:eastAsia="方正大标宋简体" w:cs="方正大标宋简体"/>
          <w:spacing w:val="-17"/>
          <w:kern w:val="0"/>
          <w:sz w:val="44"/>
          <w:szCs w:val="44"/>
        </w:rPr>
        <w:t>第十四个五年规划和2035年远景目标纲要</w:t>
      </w:r>
    </w:p>
    <w:p w14:paraId="072D9A55">
      <w:pPr>
        <w:keepNext w:val="0"/>
        <w:keepLines w:val="0"/>
        <w:pageBreakBefore w:val="0"/>
        <w:kinsoku/>
        <w:wordWrap/>
        <w:overflowPunct/>
        <w:topLinePunct w:val="0"/>
        <w:autoSpaceDE/>
        <w:autoSpaceDN/>
        <w:bidi w:val="0"/>
        <w:adjustRightInd/>
        <w:snapToGrid/>
        <w:spacing w:line="720" w:lineRule="exact"/>
        <w:jc w:val="center"/>
        <w:textAlignment w:val="auto"/>
        <w:rPr>
          <w:rFonts w:ascii="仿宋" w:hAnsi="仿宋" w:eastAsia="仿宋"/>
          <w:szCs w:val="36"/>
        </w:rPr>
      </w:pPr>
    </w:p>
    <w:p w14:paraId="266AB92D">
      <w:pPr>
        <w:keepNext w:val="0"/>
        <w:keepLines w:val="0"/>
        <w:pageBreakBefore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楷体_GB2312" w:cs="Times New Roman"/>
          <w:b/>
          <w:bCs/>
          <w:color w:val="000000" w:themeColor="text1"/>
          <w:spacing w:val="-8"/>
          <w:sz w:val="30"/>
          <w:szCs w:val="30"/>
          <w:lang w:eastAsia="zh-CN"/>
          <w14:textFill>
            <w14:solidFill>
              <w14:schemeClr w14:val="tx1"/>
            </w14:solidFill>
          </w14:textFill>
        </w:rPr>
      </w:pPr>
      <w:r>
        <w:rPr>
          <w:rFonts w:hint="eastAsia" w:ascii="Times New Roman" w:hAnsi="Times New Roman" w:eastAsia="楷体_GB2312" w:cs="Times New Roman"/>
          <w:b/>
          <w:bCs/>
          <w:color w:val="000000" w:themeColor="text1"/>
          <w:spacing w:val="-8"/>
          <w:sz w:val="30"/>
          <w:szCs w:val="30"/>
          <w:lang w:eastAsia="zh-CN"/>
          <w14:textFill>
            <w14:solidFill>
              <w14:schemeClr w14:val="tx1"/>
            </w14:solidFill>
          </w14:textFill>
        </w:rPr>
        <w:t>（</w:t>
      </w:r>
      <w:r>
        <w:rPr>
          <w:rFonts w:hint="eastAsia" w:ascii="Times New Roman" w:hAnsi="Times New Roman" w:eastAsia="楷体_GB2312" w:cs="Times New Roman"/>
          <w:b/>
          <w:bCs/>
          <w:color w:val="000000" w:themeColor="text1"/>
          <w:spacing w:val="-8"/>
          <w:sz w:val="30"/>
          <w:szCs w:val="30"/>
          <w14:textFill>
            <w14:solidFill>
              <w14:schemeClr w14:val="tx1"/>
            </w14:solidFill>
          </w14:textFill>
        </w:rPr>
        <w:t>202</w:t>
      </w:r>
      <w:r>
        <w:rPr>
          <w:rFonts w:ascii="Times New Roman" w:hAnsi="Times New Roman" w:eastAsia="楷体_GB2312" w:cs="Times New Roman"/>
          <w:b/>
          <w:bCs/>
          <w:color w:val="000000" w:themeColor="text1"/>
          <w:spacing w:val="-8"/>
          <w:sz w:val="30"/>
          <w:szCs w:val="30"/>
          <w14:textFill>
            <w14:solidFill>
              <w14:schemeClr w14:val="tx1"/>
            </w14:solidFill>
          </w14:textFill>
        </w:rPr>
        <w:t>0</w:t>
      </w:r>
      <w:r>
        <w:rPr>
          <w:rFonts w:hint="eastAsia" w:ascii="Times New Roman" w:hAnsi="Times New Roman" w:eastAsia="楷体_GB2312" w:cs="Times New Roman"/>
          <w:b/>
          <w:bCs/>
          <w:color w:val="000000" w:themeColor="text1"/>
          <w:spacing w:val="-8"/>
          <w:sz w:val="30"/>
          <w:szCs w:val="30"/>
          <w14:textFill>
            <w14:solidFill>
              <w14:schemeClr w14:val="tx1"/>
            </w14:solidFill>
          </w14:textFill>
        </w:rPr>
        <w:t>年1</w:t>
      </w:r>
      <w:r>
        <w:rPr>
          <w:rFonts w:ascii="Times New Roman" w:hAnsi="Times New Roman" w:eastAsia="楷体_GB2312" w:cs="Times New Roman"/>
          <w:b/>
          <w:bCs/>
          <w:color w:val="000000" w:themeColor="text1"/>
          <w:spacing w:val="-8"/>
          <w:sz w:val="30"/>
          <w:szCs w:val="30"/>
          <w14:textFill>
            <w14:solidFill>
              <w14:schemeClr w14:val="tx1"/>
            </w14:solidFill>
          </w14:textFill>
        </w:rPr>
        <w:t>2</w:t>
      </w:r>
      <w:r>
        <w:rPr>
          <w:rFonts w:hint="eastAsia" w:ascii="Times New Roman" w:hAnsi="Times New Roman" w:eastAsia="楷体_GB2312" w:cs="Times New Roman"/>
          <w:b/>
          <w:bCs/>
          <w:color w:val="000000" w:themeColor="text1"/>
          <w:spacing w:val="-8"/>
          <w:sz w:val="30"/>
          <w:szCs w:val="30"/>
          <w14:textFill>
            <w14:solidFill>
              <w14:schemeClr w14:val="tx1"/>
            </w14:solidFill>
          </w14:textFill>
        </w:rPr>
        <w:t>月</w:t>
      </w:r>
      <w:r>
        <w:rPr>
          <w:rFonts w:ascii="Times New Roman" w:hAnsi="Times New Roman" w:eastAsia="楷体_GB2312" w:cs="Times New Roman"/>
          <w:b/>
          <w:bCs/>
          <w:color w:val="000000" w:themeColor="text1"/>
          <w:spacing w:val="-8"/>
          <w:sz w:val="30"/>
          <w:szCs w:val="30"/>
          <w14:textFill>
            <w14:solidFill>
              <w14:schemeClr w14:val="tx1"/>
            </w14:solidFill>
          </w14:textFill>
        </w:rPr>
        <w:t>27</w:t>
      </w:r>
      <w:r>
        <w:rPr>
          <w:rFonts w:hint="eastAsia" w:ascii="Times New Roman" w:hAnsi="Times New Roman" w:eastAsia="楷体_GB2312" w:cs="Times New Roman"/>
          <w:b/>
          <w:bCs/>
          <w:color w:val="000000" w:themeColor="text1"/>
          <w:spacing w:val="-8"/>
          <w:sz w:val="30"/>
          <w:szCs w:val="30"/>
          <w14:textFill>
            <w14:solidFill>
              <w14:schemeClr w14:val="tx1"/>
            </w14:solidFill>
          </w14:textFill>
        </w:rPr>
        <w:t>日临武县第十七届人民代表大会第六次会议批准</w:t>
      </w:r>
      <w:r>
        <w:rPr>
          <w:rFonts w:hint="eastAsia" w:ascii="Times New Roman" w:hAnsi="Times New Roman" w:eastAsia="楷体_GB2312" w:cs="Times New Roman"/>
          <w:b/>
          <w:bCs/>
          <w:color w:val="000000" w:themeColor="text1"/>
          <w:spacing w:val="-8"/>
          <w:sz w:val="30"/>
          <w:szCs w:val="30"/>
          <w:lang w:eastAsia="zh-CN"/>
          <w14:textFill>
            <w14:solidFill>
              <w14:schemeClr w14:val="tx1"/>
            </w14:solidFill>
          </w14:textFill>
        </w:rPr>
        <w:t>）</w:t>
      </w:r>
    </w:p>
    <w:p w14:paraId="4FE9112B">
      <w:pPr>
        <w:rPr>
          <w:rFonts w:hint="eastAsia" w:ascii="Times New Roman" w:hAnsi="Times New Roman" w:eastAsia="楷体_GB2312" w:cs="Times New Roman"/>
          <w:b/>
          <w:bCs/>
          <w:color w:val="000000" w:themeColor="text1"/>
          <w:spacing w:val="-8"/>
          <w:sz w:val="30"/>
          <w:szCs w:val="30"/>
          <w:lang w:eastAsia="zh-CN"/>
          <w14:textFill>
            <w14:solidFill>
              <w14:schemeClr w14:val="tx1"/>
            </w14:solidFill>
          </w14:textFill>
        </w:rPr>
      </w:pPr>
      <w:r>
        <w:rPr>
          <w:rFonts w:hint="eastAsia" w:ascii="Times New Roman" w:hAnsi="Times New Roman" w:eastAsia="楷体_GB2312" w:cs="Times New Roman"/>
          <w:b/>
          <w:bCs/>
          <w:color w:val="000000" w:themeColor="text1"/>
          <w:spacing w:val="-8"/>
          <w:sz w:val="30"/>
          <w:szCs w:val="30"/>
          <w:lang w:eastAsia="zh-CN"/>
          <w14:textFill>
            <w14:solidFill>
              <w14:schemeClr w14:val="tx1"/>
            </w14:solidFill>
          </w14:textFill>
        </w:rPr>
        <w:br w:type="page"/>
      </w:r>
    </w:p>
    <w:p w14:paraId="08CDD6AF">
      <w:pPr>
        <w:rPr>
          <w:rFonts w:ascii="仿宋" w:hAnsi="仿宋" w:eastAsia="仿宋"/>
          <w:sz w:val="30"/>
          <w:szCs w:val="30"/>
        </w:rPr>
        <w:sectPr>
          <w:footerReference r:id="rId5" w:type="default"/>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2C24E960">
      <w:pPr>
        <w:keepNext w:val="0"/>
        <w:keepLines w:val="0"/>
        <w:pageBreakBefore w:val="0"/>
        <w:widowControl w:val="0"/>
        <w:kinsoku/>
        <w:wordWrap/>
        <w:overflowPunct/>
        <w:topLinePunct w:val="0"/>
        <w:autoSpaceDE/>
        <w:autoSpaceDN/>
        <w:bidi w:val="0"/>
        <w:adjustRightInd/>
        <w:snapToGrid/>
        <w:spacing w:line="610" w:lineRule="exact"/>
        <w:ind w:left="0" w:firstLine="0" w:firstLineChars="0"/>
        <w:jc w:val="center"/>
        <w:textAlignment w:val="auto"/>
        <w:rPr>
          <w:rFonts w:hint="eastAsia" w:ascii="Times New Roman" w:hAnsi="Times New Roman" w:eastAsia="方正大标宋简体" w:cs="方正大标宋简体"/>
          <w:sz w:val="44"/>
          <w:szCs w:val="44"/>
          <w:lang w:val="en-US" w:eastAsia="zh-CN"/>
        </w:rPr>
      </w:pPr>
      <w:r>
        <w:rPr>
          <w:rFonts w:hint="eastAsia" w:ascii="Times New Roman" w:hAnsi="Times New Roman" w:eastAsia="方正大标宋简体" w:cs="方正大标宋简体"/>
          <w:sz w:val="44"/>
          <w:szCs w:val="44"/>
          <w:lang w:val="en-US" w:eastAsia="zh-CN"/>
        </w:rPr>
        <w:t>目    录</w:t>
      </w:r>
    </w:p>
    <w:p w14:paraId="22E3E4F7">
      <w:pPr>
        <w:keepNext w:val="0"/>
        <w:keepLines w:val="0"/>
        <w:pageBreakBefore w:val="0"/>
        <w:widowControl w:val="0"/>
        <w:kinsoku/>
        <w:wordWrap/>
        <w:overflowPunct/>
        <w:topLinePunct w:val="0"/>
        <w:autoSpaceDE/>
        <w:autoSpaceDN/>
        <w:bidi w:val="0"/>
        <w:adjustRightInd/>
        <w:snapToGrid/>
        <w:spacing w:line="610" w:lineRule="exact"/>
        <w:ind w:left="0" w:firstLine="0" w:firstLineChars="0"/>
        <w:jc w:val="both"/>
        <w:textAlignment w:val="auto"/>
        <w:rPr>
          <w:rFonts w:hint="eastAsia" w:ascii="Times New Roman" w:hAnsi="Times New Roman" w:eastAsia="方正大标宋简体" w:cs="方正大标宋简体"/>
          <w:sz w:val="44"/>
          <w:szCs w:val="44"/>
          <w:lang w:val="en-US" w:eastAsia="zh-CN"/>
        </w:rPr>
      </w:pPr>
    </w:p>
    <w:p w14:paraId="3DF810A4">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b w:val="0"/>
          <w:bCs w:val="0"/>
        </w:rPr>
      </w:pPr>
      <w:r>
        <w:rPr>
          <w:rFonts w:hint="eastAsia" w:ascii="Times New Roman" w:hAnsi="Times New Roman" w:eastAsia="黑体" w:cs="黑体"/>
          <w:b w:val="0"/>
          <w:bCs w:val="0"/>
          <w:lang w:val="en-US" w:eastAsia="zh-CN"/>
        </w:rPr>
        <w:t xml:space="preserve">第一篇  </w:t>
      </w:r>
      <w:r>
        <w:rPr>
          <w:rFonts w:hint="eastAsia" w:ascii="Times New Roman" w:hAnsi="Times New Roman" w:eastAsia="黑体" w:cs="黑体"/>
          <w:b w:val="0"/>
          <w:bCs w:val="0"/>
        </w:rPr>
        <w:t>开启</w:t>
      </w:r>
      <w:r>
        <w:rPr>
          <w:rFonts w:hint="eastAsia" w:ascii="Times New Roman" w:hAnsi="Times New Roman" w:eastAsia="黑体" w:cs="黑体"/>
          <w:b w:val="0"/>
          <w:bCs w:val="0"/>
          <w:lang w:eastAsia="zh-CN"/>
        </w:rPr>
        <w:t>全面建设社会主义现代化国家新征程</w:t>
      </w:r>
      <w:r>
        <w:rPr>
          <w:rFonts w:hint="eastAsia" w:ascii="Times New Roman" w:hAnsi="Times New Roman" w:eastAsia="黑体" w:cs="黑体"/>
          <w:b w:val="0"/>
          <w:bCs w:val="0"/>
          <w:lang w:val="en-US" w:eastAsia="zh-CN"/>
        </w:rPr>
        <w:tab/>
      </w:r>
      <w:r>
        <w:rPr>
          <w:rFonts w:hint="eastAsia" w:ascii="Times New Roman" w:hAnsi="Times New Roman" w:eastAsia="黑体" w:cs="黑体"/>
          <w:b w:val="0"/>
          <w:bCs w:val="0"/>
          <w:lang w:val="en-US" w:eastAsia="zh-CN"/>
        </w:rPr>
        <w:t>14</w:t>
      </w:r>
    </w:p>
    <w:p w14:paraId="557047C4">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第一章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规划背景</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14</w:t>
      </w:r>
    </w:p>
    <w:p w14:paraId="5B1BF28F">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主要成就</w:t>
      </w:r>
      <w:r>
        <w:rPr>
          <w:rFonts w:hint="eastAsia" w:ascii="Times New Roman" w:hAnsi="Times New Roman"/>
          <w:lang w:val="en-US" w:eastAsia="zh-CN"/>
        </w:rPr>
        <w:tab/>
      </w:r>
      <w:r>
        <w:rPr>
          <w:rFonts w:hint="eastAsia" w:ascii="Times New Roman" w:hAnsi="Times New Roman"/>
          <w:lang w:val="en-US" w:eastAsia="zh-CN"/>
        </w:rPr>
        <w:t>14</w:t>
      </w:r>
    </w:p>
    <w:p w14:paraId="33D4D2A8">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存在问题</w:t>
      </w:r>
      <w:r>
        <w:rPr>
          <w:rFonts w:hint="eastAsia" w:ascii="Times New Roman" w:hAnsi="Times New Roman"/>
          <w:lang w:val="en-US" w:eastAsia="zh-CN"/>
        </w:rPr>
        <w:tab/>
      </w:r>
      <w:r>
        <w:rPr>
          <w:rFonts w:hint="eastAsia" w:ascii="Times New Roman" w:hAnsi="Times New Roman"/>
          <w:lang w:val="en-US" w:eastAsia="zh-CN"/>
        </w:rPr>
        <w:t>17</w:t>
      </w:r>
    </w:p>
    <w:p w14:paraId="06A8545C">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第二章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发展环境</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18</w:t>
      </w:r>
    </w:p>
    <w:p w14:paraId="46EE41C7">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第三章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指导思想和基本原则</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20</w:t>
      </w:r>
    </w:p>
    <w:p w14:paraId="22D7CBDA">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指导思想</w:t>
      </w:r>
      <w:r>
        <w:rPr>
          <w:rFonts w:hint="eastAsia" w:ascii="Times New Roman" w:hAnsi="Times New Roman"/>
          <w:lang w:val="en-US" w:eastAsia="zh-CN"/>
        </w:rPr>
        <w:tab/>
      </w:r>
      <w:r>
        <w:rPr>
          <w:rFonts w:hint="eastAsia" w:ascii="Times New Roman" w:hAnsi="Times New Roman"/>
          <w:lang w:val="en-US" w:eastAsia="zh-CN"/>
        </w:rPr>
        <w:t>20</w:t>
      </w:r>
    </w:p>
    <w:p w14:paraId="41D0F56E">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基本原则</w:t>
      </w:r>
      <w:r>
        <w:rPr>
          <w:rFonts w:hint="eastAsia" w:ascii="Times New Roman" w:hAnsi="Times New Roman"/>
          <w:lang w:val="en-US" w:eastAsia="zh-CN"/>
        </w:rPr>
        <w:tab/>
      </w:r>
      <w:r>
        <w:rPr>
          <w:rFonts w:hint="eastAsia" w:ascii="Times New Roman" w:hAnsi="Times New Roman"/>
          <w:lang w:val="en-US" w:eastAsia="zh-CN"/>
        </w:rPr>
        <w:t>21</w:t>
      </w:r>
    </w:p>
    <w:p w14:paraId="0AA1ABC5">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第四章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发展目标</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22</w:t>
      </w:r>
    </w:p>
    <w:p w14:paraId="5464E05D">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二</w:t>
      </w:r>
      <w:r>
        <w:rPr>
          <w:rFonts w:hint="eastAsia" w:ascii="Times New Roman" w:hAnsi="Times New Roman"/>
          <w:lang w:eastAsia="zh-CN"/>
        </w:rPr>
        <w:t>○</w:t>
      </w:r>
      <w:r>
        <w:rPr>
          <w:rFonts w:hint="eastAsia" w:ascii="Times New Roman" w:hAnsi="Times New Roman"/>
        </w:rPr>
        <w:t>三五年远景目标</w:t>
      </w:r>
      <w:r>
        <w:rPr>
          <w:rFonts w:hint="eastAsia" w:ascii="Times New Roman" w:hAnsi="Times New Roman"/>
          <w:lang w:val="en-US" w:eastAsia="zh-CN"/>
        </w:rPr>
        <w:tab/>
      </w:r>
      <w:r>
        <w:rPr>
          <w:rFonts w:hint="eastAsia" w:ascii="Times New Roman" w:hAnsi="Times New Roman"/>
          <w:lang w:val="en-US" w:eastAsia="zh-CN"/>
        </w:rPr>
        <w:t>22</w:t>
      </w:r>
    </w:p>
    <w:p w14:paraId="35F1B5E3">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“十四五”主要目标</w:t>
      </w:r>
      <w:r>
        <w:rPr>
          <w:rFonts w:hint="eastAsia" w:ascii="Times New Roman" w:hAnsi="Times New Roman"/>
        </w:rPr>
        <w:tab/>
      </w:r>
      <w:r>
        <w:rPr>
          <w:rFonts w:hint="eastAsia" w:ascii="Times New Roman" w:hAnsi="Times New Roman"/>
          <w:lang w:val="en-US" w:eastAsia="zh-CN"/>
        </w:rPr>
        <w:t>23</w:t>
      </w:r>
    </w:p>
    <w:p w14:paraId="41B86D5B">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b w:val="0"/>
          <w:bCs w:val="0"/>
          <w:lang w:val="en-US" w:eastAsia="zh-CN"/>
        </w:rPr>
      </w:pPr>
      <w:r>
        <w:rPr>
          <w:rFonts w:hint="eastAsia" w:ascii="Times New Roman" w:hAnsi="Times New Roman" w:eastAsia="黑体" w:cs="黑体"/>
          <w:b w:val="0"/>
          <w:bCs w:val="0"/>
          <w:lang w:val="en-US" w:eastAsia="zh-CN"/>
        </w:rPr>
        <w:t>第二篇  精心打造湘南产业发展新高地</w:t>
      </w:r>
      <w:r>
        <w:rPr>
          <w:rFonts w:hint="eastAsia" w:ascii="Times New Roman" w:hAnsi="Times New Roman" w:eastAsia="黑体" w:cs="黑体"/>
          <w:b w:val="0"/>
          <w:bCs w:val="0"/>
          <w:lang w:val="en-US" w:eastAsia="zh-CN"/>
        </w:rPr>
        <w:tab/>
      </w:r>
      <w:r>
        <w:rPr>
          <w:rFonts w:hint="eastAsia" w:ascii="Times New Roman" w:hAnsi="Times New Roman" w:eastAsia="黑体" w:cs="黑体"/>
          <w:b w:val="0"/>
          <w:bCs w:val="0"/>
          <w:lang w:val="en-US" w:eastAsia="zh-CN"/>
        </w:rPr>
        <w:t>25</w:t>
      </w:r>
    </w:p>
    <w:p w14:paraId="78FD9FD4">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第五章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打造现代化工业强县</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25</w:t>
      </w:r>
    </w:p>
    <w:p w14:paraId="267F6D7E">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积极推动农产品加工业发展</w:t>
      </w:r>
      <w:r>
        <w:rPr>
          <w:rFonts w:hint="eastAsia" w:ascii="Times New Roman" w:hAnsi="Times New Roman"/>
          <w:lang w:val="en-US" w:eastAsia="zh-CN"/>
        </w:rPr>
        <w:tab/>
      </w:r>
      <w:r>
        <w:rPr>
          <w:rFonts w:hint="eastAsia" w:ascii="Times New Roman" w:hAnsi="Times New Roman"/>
          <w:lang w:val="en-US" w:eastAsia="zh-CN"/>
        </w:rPr>
        <w:t>25</w:t>
      </w:r>
    </w:p>
    <w:p w14:paraId="68F3C524">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大力发展战略性新兴产业</w:t>
      </w:r>
      <w:r>
        <w:rPr>
          <w:rFonts w:hint="eastAsia" w:ascii="Times New Roman" w:hAnsi="Times New Roman"/>
          <w:lang w:val="en-US" w:eastAsia="zh-CN"/>
        </w:rPr>
        <w:tab/>
      </w:r>
      <w:r>
        <w:rPr>
          <w:rFonts w:hint="eastAsia" w:ascii="Times New Roman" w:hAnsi="Times New Roman"/>
          <w:lang w:val="en-US" w:eastAsia="zh-CN"/>
        </w:rPr>
        <w:t>26</w:t>
      </w:r>
    </w:p>
    <w:p w14:paraId="201A3F5B">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挖掘资源产业潜力</w:t>
      </w:r>
      <w:r>
        <w:rPr>
          <w:rFonts w:hint="eastAsia" w:ascii="Times New Roman" w:hAnsi="Times New Roman"/>
          <w:lang w:val="en-US" w:eastAsia="zh-CN"/>
        </w:rPr>
        <w:tab/>
      </w:r>
      <w:r>
        <w:rPr>
          <w:rFonts w:hint="eastAsia" w:ascii="Times New Roman" w:hAnsi="Times New Roman"/>
          <w:lang w:val="en-US" w:eastAsia="zh-CN"/>
        </w:rPr>
        <w:t>27</w:t>
      </w:r>
    </w:p>
    <w:p w14:paraId="6A8FB2F2">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第四节  推进工业园区建设</w:t>
      </w:r>
      <w:r>
        <w:rPr>
          <w:rFonts w:hint="eastAsia" w:ascii="Times New Roman" w:hAnsi="Times New Roman"/>
          <w:lang w:val="en-US" w:eastAsia="zh-CN"/>
        </w:rPr>
        <w:tab/>
      </w:r>
      <w:r>
        <w:rPr>
          <w:rFonts w:hint="eastAsia" w:ascii="Times New Roman" w:hAnsi="Times New Roman"/>
          <w:lang w:val="en-US" w:eastAsia="zh-CN"/>
        </w:rPr>
        <w:t>29</w:t>
      </w:r>
    </w:p>
    <w:p w14:paraId="5B88BA29">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第六章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加快发展现代服务业</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29</w:t>
      </w:r>
    </w:p>
    <w:p w14:paraId="4E9D9C1B">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加快发展生产性服务业</w:t>
      </w:r>
      <w:r>
        <w:rPr>
          <w:rFonts w:hint="eastAsia" w:ascii="Times New Roman" w:hAnsi="Times New Roman"/>
          <w:lang w:val="en-US" w:eastAsia="zh-CN"/>
        </w:rPr>
        <w:tab/>
      </w:r>
      <w:r>
        <w:rPr>
          <w:rFonts w:hint="eastAsia" w:ascii="Times New Roman" w:hAnsi="Times New Roman"/>
          <w:lang w:val="en-US" w:eastAsia="zh-CN"/>
        </w:rPr>
        <w:t>30</w:t>
      </w:r>
    </w:p>
    <w:p w14:paraId="767ED939">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培育高品质生活性服务业</w:t>
      </w:r>
      <w:r>
        <w:rPr>
          <w:rFonts w:hint="eastAsia" w:ascii="Times New Roman" w:hAnsi="Times New Roman"/>
          <w:lang w:val="en-US" w:eastAsia="zh-CN"/>
        </w:rPr>
        <w:tab/>
      </w:r>
      <w:r>
        <w:rPr>
          <w:rFonts w:hint="eastAsia" w:ascii="Times New Roman" w:hAnsi="Times New Roman"/>
          <w:lang w:val="en-US" w:eastAsia="zh-CN"/>
        </w:rPr>
        <w:t>31</w:t>
      </w:r>
    </w:p>
    <w:p w14:paraId="5BB08B61">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积极促进消费性服务业</w:t>
      </w:r>
      <w:r>
        <w:rPr>
          <w:rFonts w:hint="eastAsia" w:ascii="Times New Roman" w:hAnsi="Times New Roman"/>
          <w:lang w:val="en-US" w:eastAsia="zh-CN"/>
        </w:rPr>
        <w:tab/>
      </w:r>
      <w:r>
        <w:rPr>
          <w:rFonts w:hint="eastAsia" w:ascii="Times New Roman" w:hAnsi="Times New Roman"/>
          <w:lang w:val="en-US" w:eastAsia="zh-CN"/>
        </w:rPr>
        <w:t>32</w:t>
      </w:r>
    </w:p>
    <w:p w14:paraId="5E0D0185">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第七章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加快数字经济发展</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32</w:t>
      </w:r>
    </w:p>
    <w:p w14:paraId="052E5A47">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加快促进数字化产业发展</w:t>
      </w:r>
      <w:r>
        <w:rPr>
          <w:rFonts w:hint="eastAsia" w:ascii="Times New Roman" w:hAnsi="Times New Roman"/>
          <w:lang w:val="en-US" w:eastAsia="zh-CN"/>
        </w:rPr>
        <w:tab/>
      </w:r>
      <w:r>
        <w:rPr>
          <w:rFonts w:hint="eastAsia" w:ascii="Times New Roman" w:hAnsi="Times New Roman"/>
          <w:lang w:val="en-US" w:eastAsia="zh-CN"/>
        </w:rPr>
        <w:t>32</w:t>
      </w:r>
    </w:p>
    <w:p w14:paraId="2685D0E5">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推动产业与数字化融合发展</w:t>
      </w:r>
      <w:r>
        <w:rPr>
          <w:rFonts w:hint="eastAsia" w:ascii="Times New Roman" w:hAnsi="Times New Roman"/>
          <w:lang w:val="en-US" w:eastAsia="zh-CN"/>
        </w:rPr>
        <w:tab/>
      </w:r>
      <w:r>
        <w:rPr>
          <w:rFonts w:hint="eastAsia" w:ascii="Times New Roman" w:hAnsi="Times New Roman"/>
          <w:lang w:val="en-US" w:eastAsia="zh-CN"/>
        </w:rPr>
        <w:t>33</w:t>
      </w:r>
    </w:p>
    <w:p w14:paraId="3412836B">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大力培育数字市场化主体</w:t>
      </w:r>
      <w:r>
        <w:rPr>
          <w:rFonts w:hint="eastAsia" w:ascii="Times New Roman" w:hAnsi="Times New Roman"/>
          <w:lang w:val="en-US" w:eastAsia="zh-CN"/>
        </w:rPr>
        <w:tab/>
      </w:r>
      <w:r>
        <w:rPr>
          <w:rFonts w:hint="eastAsia" w:ascii="Times New Roman" w:hAnsi="Times New Roman"/>
          <w:lang w:val="en-US" w:eastAsia="zh-CN"/>
        </w:rPr>
        <w:t>34</w:t>
      </w:r>
    </w:p>
    <w:p w14:paraId="110B7CEB">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第八章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打造创新经济新高地</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35</w:t>
      </w:r>
    </w:p>
    <w:p w14:paraId="532B6658">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加快构建科技创新体系</w:t>
      </w:r>
      <w:r>
        <w:rPr>
          <w:rFonts w:hint="eastAsia" w:ascii="Times New Roman" w:hAnsi="Times New Roman"/>
          <w:lang w:val="en-US" w:eastAsia="zh-CN"/>
        </w:rPr>
        <w:tab/>
      </w:r>
      <w:r>
        <w:rPr>
          <w:rFonts w:hint="eastAsia" w:ascii="Times New Roman" w:hAnsi="Times New Roman"/>
          <w:lang w:val="en-US" w:eastAsia="zh-CN"/>
        </w:rPr>
        <w:t>35</w:t>
      </w:r>
    </w:p>
    <w:p w14:paraId="779053EF">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完善创新支撑体系</w:t>
      </w:r>
      <w:r>
        <w:rPr>
          <w:rFonts w:hint="eastAsia" w:ascii="Times New Roman" w:hAnsi="Times New Roman"/>
          <w:lang w:val="en-US" w:eastAsia="zh-CN"/>
        </w:rPr>
        <w:tab/>
      </w:r>
      <w:r>
        <w:rPr>
          <w:rFonts w:hint="eastAsia" w:ascii="Times New Roman" w:hAnsi="Times New Roman"/>
          <w:lang w:val="en-US" w:eastAsia="zh-CN"/>
        </w:rPr>
        <w:t>36</w:t>
      </w:r>
    </w:p>
    <w:p w14:paraId="498E1D2D">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增强人才保障能力</w:t>
      </w:r>
      <w:r>
        <w:rPr>
          <w:rFonts w:hint="eastAsia" w:ascii="Times New Roman" w:hAnsi="Times New Roman"/>
          <w:lang w:val="en-US" w:eastAsia="zh-CN"/>
        </w:rPr>
        <w:tab/>
      </w:r>
      <w:r>
        <w:rPr>
          <w:rFonts w:hint="eastAsia" w:ascii="Times New Roman" w:hAnsi="Times New Roman"/>
          <w:lang w:val="en-US" w:eastAsia="zh-CN"/>
        </w:rPr>
        <w:t>37</w:t>
      </w:r>
    </w:p>
    <w:p w14:paraId="224CE373">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rPr>
      </w:pPr>
      <w:r>
        <w:rPr>
          <w:rFonts w:hint="eastAsia" w:ascii="Times New Roman" w:hAnsi="Times New Roman" w:eastAsia="黑体" w:cs="黑体"/>
        </w:rPr>
        <w:t>第三篇</w:t>
      </w:r>
      <w:r>
        <w:rPr>
          <w:rFonts w:hint="eastAsia" w:ascii="Times New Roman" w:hAnsi="Times New Roman" w:eastAsia="黑体" w:cs="黑体"/>
          <w:lang w:val="en-US" w:eastAsia="zh-CN"/>
        </w:rPr>
        <w:t xml:space="preserve">  </w:t>
      </w:r>
      <w:r>
        <w:rPr>
          <w:rFonts w:hint="eastAsia" w:ascii="Times New Roman" w:hAnsi="Times New Roman" w:eastAsia="黑体" w:cs="黑体"/>
        </w:rPr>
        <w:t>着力构建湘南改革开放新高地</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41</w:t>
      </w:r>
    </w:p>
    <w:p w14:paraId="6172BD0F">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第九章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持续优化营商环境</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41</w:t>
      </w:r>
    </w:p>
    <w:p w14:paraId="229A5233">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打造良好政务环境</w:t>
      </w:r>
      <w:r>
        <w:rPr>
          <w:rFonts w:hint="eastAsia" w:ascii="Times New Roman" w:hAnsi="Times New Roman"/>
          <w:lang w:val="en-US" w:eastAsia="zh-CN"/>
        </w:rPr>
        <w:tab/>
      </w:r>
      <w:r>
        <w:rPr>
          <w:rFonts w:hint="eastAsia" w:ascii="Times New Roman" w:hAnsi="Times New Roman"/>
          <w:lang w:val="en-US" w:eastAsia="zh-CN"/>
        </w:rPr>
        <w:t>41</w:t>
      </w:r>
    </w:p>
    <w:p w14:paraId="557F440F">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营造公平市场环境</w:t>
      </w:r>
      <w:r>
        <w:rPr>
          <w:rFonts w:hint="eastAsia" w:ascii="Times New Roman" w:hAnsi="Times New Roman"/>
          <w:lang w:val="en-US" w:eastAsia="zh-CN"/>
        </w:rPr>
        <w:tab/>
      </w:r>
      <w:r>
        <w:rPr>
          <w:rFonts w:hint="eastAsia" w:ascii="Times New Roman" w:hAnsi="Times New Roman"/>
          <w:lang w:val="en-US" w:eastAsia="zh-CN"/>
        </w:rPr>
        <w:t>43</w:t>
      </w:r>
    </w:p>
    <w:p w14:paraId="3DB59F2E">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第十章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加大要素市场改革</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44</w:t>
      </w:r>
    </w:p>
    <w:p w14:paraId="480773EC">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深化金融要素市场化改革</w:t>
      </w:r>
      <w:r>
        <w:rPr>
          <w:rFonts w:hint="eastAsia" w:ascii="Times New Roman" w:hAnsi="Times New Roman"/>
          <w:lang w:val="en-US" w:eastAsia="zh-CN"/>
        </w:rPr>
        <w:tab/>
      </w:r>
      <w:r>
        <w:rPr>
          <w:rFonts w:hint="eastAsia" w:ascii="Times New Roman" w:hAnsi="Times New Roman"/>
          <w:lang w:val="en-US" w:eastAsia="zh-CN"/>
        </w:rPr>
        <w:t>45</w:t>
      </w:r>
    </w:p>
    <w:p w14:paraId="4D5E023A">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深化科技要素市场化改革</w:t>
      </w:r>
      <w:r>
        <w:rPr>
          <w:rFonts w:hint="eastAsia" w:ascii="Times New Roman" w:hAnsi="Times New Roman"/>
          <w:lang w:val="en-US" w:eastAsia="zh-CN"/>
        </w:rPr>
        <w:tab/>
      </w:r>
      <w:r>
        <w:rPr>
          <w:rFonts w:hint="eastAsia" w:ascii="Times New Roman" w:hAnsi="Times New Roman"/>
          <w:lang w:val="en-US" w:eastAsia="zh-CN"/>
        </w:rPr>
        <w:t>45</w:t>
      </w:r>
    </w:p>
    <w:p w14:paraId="2BDF6587">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深化土地要素市场化改革</w:t>
      </w:r>
      <w:r>
        <w:rPr>
          <w:rFonts w:hint="eastAsia" w:ascii="Times New Roman" w:hAnsi="Times New Roman"/>
          <w:lang w:val="en-US" w:eastAsia="zh-CN"/>
        </w:rPr>
        <w:tab/>
      </w:r>
      <w:r>
        <w:rPr>
          <w:rFonts w:hint="eastAsia" w:ascii="Times New Roman" w:hAnsi="Times New Roman"/>
          <w:lang w:val="en-US" w:eastAsia="zh-CN"/>
        </w:rPr>
        <w:t>46</w:t>
      </w:r>
    </w:p>
    <w:p w14:paraId="1F1202A2">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第四节  深化劳动力要素市场化改革</w:t>
      </w:r>
      <w:r>
        <w:rPr>
          <w:rFonts w:hint="eastAsia" w:ascii="Times New Roman" w:hAnsi="Times New Roman"/>
          <w:lang w:val="en-US" w:eastAsia="zh-CN"/>
        </w:rPr>
        <w:tab/>
      </w:r>
      <w:r>
        <w:rPr>
          <w:rFonts w:hint="eastAsia" w:ascii="Times New Roman" w:hAnsi="Times New Roman"/>
          <w:lang w:val="en-US" w:eastAsia="zh-CN"/>
        </w:rPr>
        <w:t>46</w:t>
      </w:r>
    </w:p>
    <w:p w14:paraId="40741C3D">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第十一章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激发市场主体活力</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47</w:t>
      </w:r>
    </w:p>
    <w:p w14:paraId="662ADFBA">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深化国企国资改革</w:t>
      </w:r>
      <w:r>
        <w:rPr>
          <w:rFonts w:hint="eastAsia" w:ascii="Times New Roman" w:hAnsi="Times New Roman"/>
          <w:lang w:val="en-US" w:eastAsia="zh-CN"/>
        </w:rPr>
        <w:tab/>
      </w:r>
      <w:r>
        <w:rPr>
          <w:rFonts w:hint="eastAsia" w:ascii="Times New Roman" w:hAnsi="Times New Roman"/>
          <w:lang w:val="en-US" w:eastAsia="zh-CN"/>
        </w:rPr>
        <w:t>47</w:t>
      </w:r>
    </w:p>
    <w:p w14:paraId="5F869B14">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优化民营企业发展环境</w:t>
      </w:r>
      <w:r>
        <w:rPr>
          <w:rFonts w:hint="eastAsia" w:ascii="Times New Roman" w:hAnsi="Times New Roman"/>
          <w:lang w:val="en-US" w:eastAsia="zh-CN"/>
        </w:rPr>
        <w:tab/>
      </w:r>
      <w:r>
        <w:rPr>
          <w:rFonts w:hint="eastAsia" w:ascii="Times New Roman" w:hAnsi="Times New Roman"/>
          <w:lang w:val="en-US" w:eastAsia="zh-CN"/>
        </w:rPr>
        <w:t>48</w:t>
      </w:r>
    </w:p>
    <w:p w14:paraId="198ED52B">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促进中小企业发展</w:t>
      </w:r>
      <w:r>
        <w:rPr>
          <w:rFonts w:hint="eastAsia" w:ascii="Times New Roman" w:hAnsi="Times New Roman"/>
          <w:lang w:val="en-US" w:eastAsia="zh-CN"/>
        </w:rPr>
        <w:tab/>
      </w:r>
      <w:r>
        <w:rPr>
          <w:rFonts w:hint="eastAsia" w:ascii="Times New Roman" w:hAnsi="Times New Roman"/>
          <w:lang w:val="en-US" w:eastAsia="zh-CN"/>
        </w:rPr>
        <w:t>50</w:t>
      </w:r>
    </w:p>
    <w:p w14:paraId="753595C9">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rPr>
      </w:pPr>
      <w:r>
        <w:rPr>
          <w:rFonts w:hint="eastAsia" w:ascii="Times New Roman" w:hAnsi="Times New Roman" w:eastAsia="黑体" w:cs="黑体"/>
        </w:rPr>
        <w:t>第四篇</w:t>
      </w:r>
      <w:r>
        <w:rPr>
          <w:rFonts w:hint="eastAsia" w:ascii="Times New Roman" w:hAnsi="Times New Roman" w:eastAsia="黑体" w:cs="黑体"/>
          <w:lang w:val="en-US" w:eastAsia="zh-CN"/>
        </w:rPr>
        <w:t xml:space="preserve">  </w:t>
      </w:r>
      <w:r>
        <w:rPr>
          <w:rFonts w:hint="eastAsia" w:ascii="Times New Roman" w:hAnsi="Times New Roman" w:eastAsia="黑体" w:cs="黑体"/>
        </w:rPr>
        <w:t>主动融入双循环发展新格局</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52</w:t>
      </w:r>
    </w:p>
    <w:p w14:paraId="15740432">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第十二章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积极对接融入粤港澳大湾区</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52</w:t>
      </w:r>
    </w:p>
    <w:p w14:paraId="6BAE4B35">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完善基础设施建设</w:t>
      </w:r>
      <w:r>
        <w:rPr>
          <w:rFonts w:hint="eastAsia" w:ascii="Times New Roman" w:hAnsi="Times New Roman"/>
          <w:lang w:val="en-US" w:eastAsia="zh-CN"/>
        </w:rPr>
        <w:tab/>
      </w:r>
      <w:r>
        <w:rPr>
          <w:rFonts w:hint="eastAsia" w:ascii="Times New Roman" w:hAnsi="Times New Roman"/>
          <w:lang w:val="en-US" w:eastAsia="zh-CN"/>
        </w:rPr>
        <w:t>52</w:t>
      </w:r>
    </w:p>
    <w:p w14:paraId="3EBAEA2D">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推动产业协同发展</w:t>
      </w:r>
      <w:r>
        <w:rPr>
          <w:rFonts w:hint="eastAsia" w:ascii="Times New Roman" w:hAnsi="Times New Roman"/>
          <w:lang w:val="en-US" w:eastAsia="zh-CN"/>
        </w:rPr>
        <w:tab/>
      </w:r>
      <w:r>
        <w:rPr>
          <w:rFonts w:hint="eastAsia" w:ascii="Times New Roman" w:hAnsi="Times New Roman"/>
          <w:lang w:val="en-US" w:eastAsia="zh-CN"/>
        </w:rPr>
        <w:t>53</w:t>
      </w:r>
    </w:p>
    <w:p w14:paraId="147E6E1F">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打造科技合作平台</w:t>
      </w:r>
      <w:r>
        <w:rPr>
          <w:rFonts w:hint="eastAsia" w:ascii="Times New Roman" w:hAnsi="Times New Roman"/>
          <w:lang w:val="en-US" w:eastAsia="zh-CN"/>
        </w:rPr>
        <w:tab/>
      </w:r>
      <w:r>
        <w:rPr>
          <w:rFonts w:hint="eastAsia" w:ascii="Times New Roman" w:hAnsi="Times New Roman"/>
          <w:lang w:val="en-US" w:eastAsia="zh-CN"/>
        </w:rPr>
        <w:t>54</w:t>
      </w:r>
    </w:p>
    <w:p w14:paraId="53C340A3">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第四节  创新招商模式</w:t>
      </w:r>
      <w:r>
        <w:rPr>
          <w:rFonts w:hint="eastAsia" w:ascii="Times New Roman" w:hAnsi="Times New Roman"/>
          <w:lang w:val="en-US" w:eastAsia="zh-CN"/>
        </w:rPr>
        <w:tab/>
      </w:r>
      <w:r>
        <w:rPr>
          <w:rFonts w:hint="eastAsia" w:ascii="Times New Roman" w:hAnsi="Times New Roman"/>
          <w:lang w:val="en-US" w:eastAsia="zh-CN"/>
        </w:rPr>
        <w:t>55</w:t>
      </w:r>
    </w:p>
    <w:p w14:paraId="0819A865">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第十三章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抢占“湘南湘西承接产业转移示范区”高地</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56</w:t>
      </w:r>
    </w:p>
    <w:p w14:paraId="080AD1DA">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提升产业承接能力</w:t>
      </w:r>
      <w:r>
        <w:rPr>
          <w:rFonts w:hint="eastAsia" w:ascii="Times New Roman" w:hAnsi="Times New Roman"/>
          <w:lang w:val="en-US" w:eastAsia="zh-CN"/>
        </w:rPr>
        <w:tab/>
      </w:r>
      <w:r>
        <w:rPr>
          <w:rFonts w:hint="eastAsia" w:ascii="Times New Roman" w:hAnsi="Times New Roman"/>
          <w:lang w:val="en-US" w:eastAsia="zh-CN"/>
        </w:rPr>
        <w:t>56</w:t>
      </w:r>
    </w:p>
    <w:p w14:paraId="0F5F9DEF">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加强对外多方面合作</w:t>
      </w:r>
      <w:r>
        <w:rPr>
          <w:rFonts w:hint="eastAsia" w:ascii="Times New Roman" w:hAnsi="Times New Roman"/>
          <w:lang w:val="en-US" w:eastAsia="zh-CN"/>
        </w:rPr>
        <w:tab/>
      </w:r>
      <w:r>
        <w:rPr>
          <w:rFonts w:hint="eastAsia" w:ascii="Times New Roman" w:hAnsi="Times New Roman"/>
          <w:lang w:val="en-US" w:eastAsia="zh-CN"/>
        </w:rPr>
        <w:t>57</w:t>
      </w:r>
    </w:p>
    <w:p w14:paraId="3BF4BED9">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w:t>
      </w:r>
      <w:r>
        <w:rPr>
          <w:rFonts w:hint="eastAsia" w:ascii="Times New Roman" w:hAnsi="Times New Roman" w:eastAsia="楷体_GB2312" w:cs="楷体_GB2312"/>
          <w:b/>
          <w:bCs/>
          <w:spacing w:val="-11"/>
        </w:rPr>
        <w:t>十四章</w:t>
      </w:r>
      <w:r>
        <w:rPr>
          <w:rFonts w:hint="eastAsia" w:ascii="Times New Roman" w:hAnsi="Times New Roman" w:eastAsia="楷体_GB2312" w:cs="楷体_GB2312"/>
          <w:b/>
          <w:bCs/>
          <w:spacing w:val="-11"/>
          <w:lang w:val="en-US" w:eastAsia="zh-CN"/>
        </w:rPr>
        <w:t xml:space="preserve">  </w:t>
      </w:r>
      <w:r>
        <w:rPr>
          <w:rFonts w:hint="eastAsia" w:ascii="Times New Roman" w:hAnsi="Times New Roman" w:eastAsia="楷体_GB2312" w:cs="楷体_GB2312"/>
          <w:b/>
          <w:bCs/>
          <w:spacing w:val="-11"/>
        </w:rPr>
        <w:t>勇担国家可持续发展议程创新示范区建设重任</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58</w:t>
      </w:r>
    </w:p>
    <w:p w14:paraId="7F6FCA27">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提升水资源利用效率</w:t>
      </w:r>
      <w:r>
        <w:rPr>
          <w:rFonts w:hint="eastAsia" w:ascii="Times New Roman" w:hAnsi="Times New Roman"/>
          <w:lang w:val="en-US" w:eastAsia="zh-CN"/>
        </w:rPr>
        <w:tab/>
      </w:r>
      <w:r>
        <w:rPr>
          <w:rFonts w:hint="eastAsia" w:ascii="Times New Roman" w:hAnsi="Times New Roman"/>
          <w:lang w:val="en-US" w:eastAsia="zh-CN"/>
        </w:rPr>
        <w:t>58</w:t>
      </w:r>
    </w:p>
    <w:p w14:paraId="2CAAF565">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加强水源地生态环境保护</w:t>
      </w:r>
      <w:r>
        <w:rPr>
          <w:rFonts w:hint="eastAsia" w:ascii="Times New Roman" w:hAnsi="Times New Roman"/>
          <w:lang w:val="en-US" w:eastAsia="zh-CN"/>
        </w:rPr>
        <w:tab/>
      </w:r>
      <w:r>
        <w:rPr>
          <w:rFonts w:hint="eastAsia" w:ascii="Times New Roman" w:hAnsi="Times New Roman"/>
          <w:lang w:val="en-US" w:eastAsia="zh-CN"/>
        </w:rPr>
        <w:t>59</w:t>
      </w:r>
    </w:p>
    <w:p w14:paraId="4DDCCA0D">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开展重金属污染及源头综合治理</w:t>
      </w:r>
      <w:r>
        <w:rPr>
          <w:rFonts w:hint="eastAsia" w:ascii="Times New Roman" w:hAnsi="Times New Roman"/>
          <w:lang w:val="en-US" w:eastAsia="zh-CN"/>
        </w:rPr>
        <w:tab/>
      </w:r>
      <w:r>
        <w:rPr>
          <w:rFonts w:hint="eastAsia" w:ascii="Times New Roman" w:hAnsi="Times New Roman"/>
          <w:lang w:val="en-US" w:eastAsia="zh-CN"/>
        </w:rPr>
        <w:t>60</w:t>
      </w:r>
    </w:p>
    <w:p w14:paraId="0FC43035">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第十五章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加快融入湖南自贸试验区郴州片区</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61</w:t>
      </w:r>
    </w:p>
    <w:p w14:paraId="55AA4CDC">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加强产业合作</w:t>
      </w:r>
      <w:r>
        <w:rPr>
          <w:rFonts w:hint="eastAsia" w:ascii="Times New Roman" w:hAnsi="Times New Roman"/>
          <w:lang w:val="en-US" w:eastAsia="zh-CN"/>
        </w:rPr>
        <w:tab/>
      </w:r>
      <w:r>
        <w:rPr>
          <w:rFonts w:hint="eastAsia" w:ascii="Times New Roman" w:hAnsi="Times New Roman"/>
          <w:lang w:val="en-US" w:eastAsia="zh-CN"/>
        </w:rPr>
        <w:t>61</w:t>
      </w:r>
    </w:p>
    <w:p w14:paraId="01338CEC">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探索扩展对外合作范围</w:t>
      </w:r>
      <w:r>
        <w:rPr>
          <w:rFonts w:hint="eastAsia" w:ascii="Times New Roman" w:hAnsi="Times New Roman"/>
          <w:lang w:val="en-US" w:eastAsia="zh-CN"/>
        </w:rPr>
        <w:tab/>
      </w:r>
      <w:r>
        <w:rPr>
          <w:rFonts w:hint="eastAsia" w:ascii="Times New Roman" w:hAnsi="Times New Roman"/>
          <w:lang w:val="en-US" w:eastAsia="zh-CN"/>
        </w:rPr>
        <w:t>62</w:t>
      </w:r>
    </w:p>
    <w:p w14:paraId="1C54B266">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rPr>
      </w:pPr>
      <w:r>
        <w:rPr>
          <w:rFonts w:hint="eastAsia" w:ascii="Times New Roman" w:hAnsi="Times New Roman" w:eastAsia="黑体" w:cs="黑体"/>
        </w:rPr>
        <w:t>第五篇</w:t>
      </w:r>
      <w:r>
        <w:rPr>
          <w:rFonts w:hint="eastAsia" w:ascii="Times New Roman" w:hAnsi="Times New Roman" w:eastAsia="黑体" w:cs="黑体"/>
          <w:lang w:val="en-US" w:eastAsia="zh-CN"/>
        </w:rPr>
        <w:t xml:space="preserve">  </w:t>
      </w:r>
      <w:r>
        <w:rPr>
          <w:rFonts w:hint="eastAsia" w:ascii="Times New Roman" w:hAnsi="Times New Roman" w:eastAsia="黑体" w:cs="黑体"/>
        </w:rPr>
        <w:t>努力拓展高质量发展新空间</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64</w:t>
      </w:r>
    </w:p>
    <w:p w14:paraId="01AFA669">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第十六章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强化国土空间管控</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64</w:t>
      </w:r>
    </w:p>
    <w:p w14:paraId="46C0DEF8">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第十七章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优化城镇布局</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65</w:t>
      </w:r>
    </w:p>
    <w:p w14:paraId="1CED2040">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优化城镇空间布局</w:t>
      </w:r>
      <w:r>
        <w:rPr>
          <w:rFonts w:hint="eastAsia" w:ascii="Times New Roman" w:hAnsi="Times New Roman"/>
          <w:lang w:val="en-US" w:eastAsia="zh-CN"/>
        </w:rPr>
        <w:tab/>
      </w:r>
      <w:r>
        <w:rPr>
          <w:rFonts w:hint="eastAsia" w:ascii="Times New Roman" w:hAnsi="Times New Roman"/>
          <w:lang w:val="en-US" w:eastAsia="zh-CN"/>
        </w:rPr>
        <w:t>65</w:t>
      </w:r>
    </w:p>
    <w:p w14:paraId="517D9347">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明确各镇发展定位</w:t>
      </w:r>
      <w:r>
        <w:rPr>
          <w:rFonts w:hint="eastAsia" w:ascii="Times New Roman" w:hAnsi="Times New Roman"/>
          <w:lang w:val="en-US" w:eastAsia="zh-CN"/>
        </w:rPr>
        <w:tab/>
      </w:r>
      <w:r>
        <w:rPr>
          <w:rFonts w:hint="eastAsia" w:ascii="Times New Roman" w:hAnsi="Times New Roman"/>
          <w:lang w:val="en-US" w:eastAsia="zh-CN"/>
        </w:rPr>
        <w:t>66</w:t>
      </w:r>
    </w:p>
    <w:p w14:paraId="3ED3C8F1">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第十八章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优化产业布局</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69</w:t>
      </w:r>
    </w:p>
    <w:p w14:paraId="1B890E1D">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构建“一心一园四区”产城融合发展格局</w:t>
      </w:r>
      <w:r>
        <w:rPr>
          <w:rFonts w:hint="eastAsia" w:ascii="Times New Roman" w:hAnsi="Times New Roman"/>
          <w:lang w:val="en-US" w:eastAsia="zh-CN"/>
        </w:rPr>
        <w:tab/>
      </w:r>
      <w:r>
        <w:rPr>
          <w:rFonts w:hint="eastAsia" w:ascii="Times New Roman" w:hAnsi="Times New Roman"/>
          <w:lang w:val="en-US" w:eastAsia="zh-CN"/>
        </w:rPr>
        <w:t>69</w:t>
      </w:r>
    </w:p>
    <w:p w14:paraId="7EA4ED2E">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构建“一园七带二基地多极点”农业发展格局</w:t>
      </w:r>
      <w:r>
        <w:rPr>
          <w:rFonts w:hint="eastAsia" w:ascii="Times New Roman" w:hAnsi="Times New Roman"/>
          <w:lang w:val="en-US" w:eastAsia="zh-CN"/>
        </w:rPr>
        <w:tab/>
      </w:r>
      <w:r>
        <w:rPr>
          <w:rFonts w:hint="eastAsia" w:ascii="Times New Roman" w:hAnsi="Times New Roman"/>
          <w:lang w:val="en-US" w:eastAsia="zh-CN"/>
        </w:rPr>
        <w:t>70</w:t>
      </w:r>
    </w:p>
    <w:p w14:paraId="1F2E11D1">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构建“一园四区”工业发展格局</w:t>
      </w:r>
      <w:r>
        <w:rPr>
          <w:rFonts w:hint="eastAsia" w:ascii="Times New Roman" w:hAnsi="Times New Roman"/>
          <w:lang w:val="en-US" w:eastAsia="zh-CN"/>
        </w:rPr>
        <w:tab/>
      </w:r>
      <w:r>
        <w:rPr>
          <w:rFonts w:hint="eastAsia" w:ascii="Times New Roman" w:hAnsi="Times New Roman"/>
          <w:lang w:val="en-US" w:eastAsia="zh-CN"/>
        </w:rPr>
        <w:t>70</w:t>
      </w:r>
    </w:p>
    <w:p w14:paraId="37F13002">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第四节  构建“一核三廊五区”服务业发展格局</w:t>
      </w:r>
      <w:r>
        <w:rPr>
          <w:rFonts w:hint="eastAsia" w:ascii="Times New Roman" w:hAnsi="Times New Roman"/>
          <w:lang w:val="en-US" w:eastAsia="zh-CN"/>
        </w:rPr>
        <w:tab/>
      </w:r>
      <w:r>
        <w:rPr>
          <w:rFonts w:hint="eastAsia" w:ascii="Times New Roman" w:hAnsi="Times New Roman"/>
          <w:lang w:val="en-US" w:eastAsia="zh-CN"/>
        </w:rPr>
        <w:t>71</w:t>
      </w:r>
    </w:p>
    <w:p w14:paraId="009399A8">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第五节  构建“一心两翼三线多点”文旅产业发展格局</w:t>
      </w:r>
      <w:r>
        <w:rPr>
          <w:rFonts w:hint="eastAsia" w:ascii="Times New Roman" w:hAnsi="Times New Roman"/>
          <w:lang w:val="en-US" w:eastAsia="zh-CN"/>
        </w:rPr>
        <w:tab/>
      </w:r>
      <w:r>
        <w:rPr>
          <w:rFonts w:hint="eastAsia" w:ascii="Times New Roman" w:hAnsi="Times New Roman"/>
          <w:lang w:val="en-US" w:eastAsia="zh-CN"/>
        </w:rPr>
        <w:t>71</w:t>
      </w:r>
    </w:p>
    <w:p w14:paraId="38B9A986">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第十九章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坚守生态空间</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72</w:t>
      </w:r>
    </w:p>
    <w:p w14:paraId="04E2C198">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rPr>
      </w:pPr>
      <w:r>
        <w:rPr>
          <w:rFonts w:hint="eastAsia" w:ascii="Times New Roman" w:hAnsi="Times New Roman" w:eastAsia="黑体" w:cs="黑体"/>
        </w:rPr>
        <w:t>第六篇</w:t>
      </w:r>
      <w:r>
        <w:rPr>
          <w:rFonts w:hint="eastAsia" w:ascii="Times New Roman" w:hAnsi="Times New Roman" w:eastAsia="黑体" w:cs="黑体"/>
          <w:lang w:val="en-US" w:eastAsia="zh-CN"/>
        </w:rPr>
        <w:t xml:space="preserve">  </w:t>
      </w:r>
      <w:r>
        <w:rPr>
          <w:rFonts w:hint="eastAsia" w:ascii="Times New Roman" w:hAnsi="Times New Roman" w:eastAsia="黑体" w:cs="黑体"/>
        </w:rPr>
        <w:t>大力实施乡村振兴战略</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73</w:t>
      </w:r>
    </w:p>
    <w:p w14:paraId="19F112BC">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第二十章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建设现代生态农业强县</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73</w:t>
      </w:r>
    </w:p>
    <w:p w14:paraId="656106BD">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优化农业产业结构</w:t>
      </w:r>
      <w:r>
        <w:rPr>
          <w:rFonts w:hint="eastAsia" w:ascii="Times New Roman" w:hAnsi="Times New Roman"/>
          <w:lang w:val="en-US" w:eastAsia="zh-CN"/>
        </w:rPr>
        <w:tab/>
      </w:r>
      <w:r>
        <w:rPr>
          <w:rFonts w:hint="eastAsia" w:ascii="Times New Roman" w:hAnsi="Times New Roman"/>
          <w:lang w:val="en-US" w:eastAsia="zh-CN"/>
        </w:rPr>
        <w:t>73</w:t>
      </w:r>
    </w:p>
    <w:p w14:paraId="12E824DC">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拓展特色农产产业</w:t>
      </w:r>
      <w:r>
        <w:rPr>
          <w:rFonts w:hint="eastAsia" w:ascii="Times New Roman" w:hAnsi="Times New Roman"/>
          <w:lang w:val="en-US" w:eastAsia="zh-CN"/>
        </w:rPr>
        <w:tab/>
      </w:r>
      <w:r>
        <w:rPr>
          <w:rFonts w:hint="eastAsia" w:ascii="Times New Roman" w:hAnsi="Times New Roman"/>
          <w:lang w:val="en-US" w:eastAsia="zh-CN"/>
        </w:rPr>
        <w:t>75</w:t>
      </w:r>
    </w:p>
    <w:p w14:paraId="4FDBF487">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第二十一章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提升农业质量效益和竞争力</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76</w:t>
      </w:r>
    </w:p>
    <w:p w14:paraId="5D2B8804">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提升农业基础发展水平</w:t>
      </w:r>
      <w:r>
        <w:rPr>
          <w:rFonts w:hint="eastAsia" w:ascii="Times New Roman" w:hAnsi="Times New Roman"/>
          <w:lang w:val="en-US" w:eastAsia="zh-CN"/>
        </w:rPr>
        <w:tab/>
      </w:r>
      <w:r>
        <w:rPr>
          <w:rFonts w:hint="eastAsia" w:ascii="Times New Roman" w:hAnsi="Times New Roman"/>
          <w:lang w:val="en-US" w:eastAsia="zh-CN"/>
        </w:rPr>
        <w:t>76</w:t>
      </w:r>
    </w:p>
    <w:p w14:paraId="25B13B2A">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加强农业支持保护力度</w:t>
      </w:r>
      <w:r>
        <w:rPr>
          <w:rFonts w:hint="eastAsia" w:ascii="Times New Roman" w:hAnsi="Times New Roman"/>
          <w:lang w:val="en-US" w:eastAsia="zh-CN"/>
        </w:rPr>
        <w:tab/>
      </w:r>
      <w:r>
        <w:rPr>
          <w:rFonts w:hint="eastAsia" w:ascii="Times New Roman" w:hAnsi="Times New Roman"/>
          <w:lang w:val="en-US" w:eastAsia="zh-CN"/>
        </w:rPr>
        <w:t>77</w:t>
      </w:r>
    </w:p>
    <w:p w14:paraId="43DD5B34">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强化农业科技支撑</w:t>
      </w:r>
      <w:r>
        <w:rPr>
          <w:rFonts w:hint="eastAsia" w:ascii="Times New Roman" w:hAnsi="Times New Roman"/>
          <w:lang w:val="en-US" w:eastAsia="zh-CN"/>
        </w:rPr>
        <w:tab/>
      </w:r>
      <w:r>
        <w:rPr>
          <w:rFonts w:hint="eastAsia" w:ascii="Times New Roman" w:hAnsi="Times New Roman"/>
          <w:lang w:val="en-US" w:eastAsia="zh-CN"/>
        </w:rPr>
        <w:t>78</w:t>
      </w:r>
    </w:p>
    <w:p w14:paraId="0CC2C9ED">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第二十二章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提升农村基础设施建设水平</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80</w:t>
      </w:r>
    </w:p>
    <w:p w14:paraId="58C06D05">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编制实施乡村规划</w:t>
      </w:r>
      <w:r>
        <w:rPr>
          <w:rFonts w:hint="eastAsia" w:ascii="Times New Roman" w:hAnsi="Times New Roman"/>
          <w:lang w:val="en-US" w:eastAsia="zh-CN"/>
        </w:rPr>
        <w:tab/>
      </w:r>
      <w:r>
        <w:rPr>
          <w:rFonts w:hint="eastAsia" w:ascii="Times New Roman" w:hAnsi="Times New Roman"/>
          <w:lang w:val="en-US" w:eastAsia="zh-CN"/>
        </w:rPr>
        <w:t>80</w:t>
      </w:r>
    </w:p>
    <w:p w14:paraId="554CE013">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建设美丽乡村</w:t>
      </w:r>
      <w:r>
        <w:rPr>
          <w:rFonts w:hint="eastAsia" w:ascii="Times New Roman" w:hAnsi="Times New Roman"/>
          <w:lang w:val="en-US" w:eastAsia="zh-CN"/>
        </w:rPr>
        <w:tab/>
      </w:r>
      <w:r>
        <w:rPr>
          <w:rFonts w:hint="eastAsia" w:ascii="Times New Roman" w:hAnsi="Times New Roman"/>
          <w:lang w:val="en-US" w:eastAsia="zh-CN"/>
        </w:rPr>
        <w:t>81</w:t>
      </w:r>
    </w:p>
    <w:p w14:paraId="47E495E9">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加强农村基础设施建设</w:t>
      </w:r>
      <w:r>
        <w:rPr>
          <w:rFonts w:hint="eastAsia" w:ascii="Times New Roman" w:hAnsi="Times New Roman"/>
          <w:lang w:val="en-US" w:eastAsia="zh-CN"/>
        </w:rPr>
        <w:tab/>
      </w:r>
      <w:r>
        <w:rPr>
          <w:rFonts w:hint="eastAsia" w:ascii="Times New Roman" w:hAnsi="Times New Roman"/>
          <w:lang w:val="en-US" w:eastAsia="zh-CN"/>
        </w:rPr>
        <w:t>82</w:t>
      </w:r>
    </w:p>
    <w:p w14:paraId="7B7A2D36">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第二十三章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深化农业农村经济社会改革</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84</w:t>
      </w:r>
    </w:p>
    <w:p w14:paraId="3C0985A1">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完善城乡融合发展机制</w:t>
      </w:r>
      <w:r>
        <w:rPr>
          <w:rFonts w:hint="eastAsia" w:ascii="Times New Roman" w:hAnsi="Times New Roman"/>
          <w:lang w:val="en-US" w:eastAsia="zh-CN"/>
        </w:rPr>
        <w:tab/>
      </w:r>
      <w:r>
        <w:rPr>
          <w:rFonts w:hint="eastAsia" w:ascii="Times New Roman" w:hAnsi="Times New Roman"/>
          <w:lang w:val="en-US" w:eastAsia="zh-CN"/>
        </w:rPr>
        <w:t>85</w:t>
      </w:r>
    </w:p>
    <w:p w14:paraId="4F2F309A">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加快推进农村经济体制改革</w:t>
      </w:r>
      <w:r>
        <w:rPr>
          <w:rFonts w:hint="eastAsia" w:ascii="Times New Roman" w:hAnsi="Times New Roman"/>
          <w:lang w:val="en-US" w:eastAsia="zh-CN"/>
        </w:rPr>
        <w:tab/>
      </w:r>
      <w:r>
        <w:rPr>
          <w:rFonts w:hint="eastAsia" w:ascii="Times New Roman" w:hAnsi="Times New Roman"/>
          <w:lang w:val="en-US" w:eastAsia="zh-CN"/>
        </w:rPr>
        <w:t>86</w:t>
      </w:r>
    </w:p>
    <w:p w14:paraId="4D1098B2">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培育</w:t>
      </w:r>
      <w:r>
        <w:rPr>
          <w:rFonts w:hint="eastAsia" w:ascii="Times New Roman" w:hAnsi="Times New Roman"/>
          <w:lang w:eastAsia="zh-CN"/>
        </w:rPr>
        <w:t>新型农业经营主体</w:t>
      </w:r>
      <w:r>
        <w:rPr>
          <w:rFonts w:hint="eastAsia" w:ascii="Times New Roman" w:hAnsi="Times New Roman"/>
          <w:lang w:val="en-US" w:eastAsia="zh-CN"/>
        </w:rPr>
        <w:tab/>
      </w:r>
      <w:r>
        <w:rPr>
          <w:rFonts w:hint="eastAsia" w:ascii="Times New Roman" w:hAnsi="Times New Roman"/>
          <w:lang w:val="en-US" w:eastAsia="zh-CN"/>
        </w:rPr>
        <w:t>87</w:t>
      </w:r>
    </w:p>
    <w:p w14:paraId="3FF3C0BF">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第四节  完善农村基层治理体系</w:t>
      </w:r>
      <w:r>
        <w:rPr>
          <w:rFonts w:hint="eastAsia" w:ascii="Times New Roman" w:hAnsi="Times New Roman"/>
          <w:lang w:val="en-US" w:eastAsia="zh-CN"/>
        </w:rPr>
        <w:tab/>
      </w:r>
      <w:r>
        <w:rPr>
          <w:rFonts w:hint="eastAsia" w:ascii="Times New Roman" w:hAnsi="Times New Roman"/>
          <w:lang w:val="en-US" w:eastAsia="zh-CN"/>
        </w:rPr>
        <w:t>88</w:t>
      </w:r>
    </w:p>
    <w:p w14:paraId="1BB42AB9">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第二十四章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提高农民生活水平</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89</w:t>
      </w:r>
    </w:p>
    <w:p w14:paraId="3BEE17E6">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巩固拓展脱贫攻坚成果</w:t>
      </w:r>
      <w:r>
        <w:rPr>
          <w:rFonts w:hint="eastAsia" w:ascii="Times New Roman" w:hAnsi="Times New Roman"/>
          <w:lang w:val="en-US" w:eastAsia="zh-CN"/>
        </w:rPr>
        <w:tab/>
      </w:r>
      <w:r>
        <w:rPr>
          <w:rFonts w:hint="eastAsia" w:ascii="Times New Roman" w:hAnsi="Times New Roman"/>
          <w:lang w:val="en-US" w:eastAsia="zh-CN"/>
        </w:rPr>
        <w:t>90</w:t>
      </w:r>
    </w:p>
    <w:p w14:paraId="2EA8FEF9">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激活农村就业创业内生动力</w:t>
      </w:r>
      <w:r>
        <w:rPr>
          <w:rFonts w:hint="eastAsia" w:ascii="Times New Roman" w:hAnsi="Times New Roman"/>
          <w:lang w:val="en-US" w:eastAsia="zh-CN"/>
        </w:rPr>
        <w:tab/>
      </w:r>
      <w:r>
        <w:rPr>
          <w:rFonts w:hint="eastAsia" w:ascii="Times New Roman" w:hAnsi="Times New Roman"/>
          <w:lang w:val="en-US" w:eastAsia="zh-CN"/>
        </w:rPr>
        <w:t>91</w:t>
      </w:r>
    </w:p>
    <w:p w14:paraId="6B703ECF">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健全农村社会保障机制</w:t>
      </w:r>
      <w:r>
        <w:rPr>
          <w:rFonts w:hint="eastAsia" w:ascii="Times New Roman" w:hAnsi="Times New Roman"/>
          <w:lang w:val="en-US" w:eastAsia="zh-CN"/>
        </w:rPr>
        <w:tab/>
      </w:r>
      <w:r>
        <w:rPr>
          <w:rFonts w:hint="eastAsia" w:ascii="Times New Roman" w:hAnsi="Times New Roman"/>
          <w:lang w:val="en-US" w:eastAsia="zh-CN"/>
        </w:rPr>
        <w:t>92</w:t>
      </w:r>
    </w:p>
    <w:p w14:paraId="44C1E929">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第四节  繁荣和发展农村文化</w:t>
      </w:r>
      <w:r>
        <w:rPr>
          <w:rFonts w:hint="eastAsia" w:ascii="Times New Roman" w:hAnsi="Times New Roman"/>
          <w:lang w:val="en-US" w:eastAsia="zh-CN"/>
        </w:rPr>
        <w:tab/>
      </w:r>
      <w:r>
        <w:rPr>
          <w:rFonts w:hint="eastAsia" w:ascii="Times New Roman" w:hAnsi="Times New Roman"/>
          <w:lang w:val="en-US" w:eastAsia="zh-CN"/>
        </w:rPr>
        <w:t>92</w:t>
      </w:r>
    </w:p>
    <w:p w14:paraId="6DC5077A">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rPr>
      </w:pPr>
      <w:r>
        <w:rPr>
          <w:rFonts w:hint="eastAsia" w:ascii="Times New Roman" w:hAnsi="Times New Roman" w:eastAsia="黑体" w:cs="黑体"/>
        </w:rPr>
        <w:t>第七篇</w:t>
      </w:r>
      <w:r>
        <w:rPr>
          <w:rFonts w:hint="eastAsia" w:ascii="Times New Roman" w:hAnsi="Times New Roman" w:eastAsia="黑体" w:cs="黑体"/>
          <w:lang w:val="en-US" w:eastAsia="zh-CN"/>
        </w:rPr>
        <w:t xml:space="preserve">  </w:t>
      </w:r>
      <w:r>
        <w:rPr>
          <w:rFonts w:hint="eastAsia" w:ascii="Times New Roman" w:hAnsi="Times New Roman" w:eastAsia="黑体" w:cs="黑体"/>
        </w:rPr>
        <w:t>加快建设高品质宜居县</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93</w:t>
      </w:r>
    </w:p>
    <w:p w14:paraId="7FCFD84B">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第二十五章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提升城镇品质</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93</w:t>
      </w:r>
    </w:p>
    <w:p w14:paraId="10B642A8">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实施老城区提质改造</w:t>
      </w:r>
      <w:r>
        <w:rPr>
          <w:rFonts w:hint="eastAsia" w:ascii="Times New Roman" w:hAnsi="Times New Roman"/>
          <w:lang w:val="en-US" w:eastAsia="zh-CN"/>
        </w:rPr>
        <w:tab/>
      </w:r>
      <w:r>
        <w:rPr>
          <w:rFonts w:hint="eastAsia" w:ascii="Times New Roman" w:hAnsi="Times New Roman"/>
          <w:lang w:val="en-US" w:eastAsia="zh-CN"/>
        </w:rPr>
        <w:t>93</w:t>
      </w:r>
    </w:p>
    <w:p w14:paraId="55DBEE1D">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推动县城品质建设</w:t>
      </w:r>
      <w:r>
        <w:rPr>
          <w:rFonts w:hint="eastAsia" w:ascii="Times New Roman" w:hAnsi="Times New Roman"/>
          <w:lang w:val="en-US" w:eastAsia="zh-CN"/>
        </w:rPr>
        <w:tab/>
      </w:r>
      <w:r>
        <w:rPr>
          <w:rFonts w:hint="eastAsia" w:ascii="Times New Roman" w:hAnsi="Times New Roman"/>
          <w:lang w:val="en-US" w:eastAsia="zh-CN"/>
        </w:rPr>
        <w:t>94</w:t>
      </w:r>
    </w:p>
    <w:p w14:paraId="2AEAE527">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快速推进产镇融合</w:t>
      </w:r>
      <w:r>
        <w:rPr>
          <w:rFonts w:hint="eastAsia" w:ascii="Times New Roman" w:hAnsi="Times New Roman"/>
          <w:lang w:val="en-US" w:eastAsia="zh-CN"/>
        </w:rPr>
        <w:tab/>
      </w:r>
      <w:r>
        <w:rPr>
          <w:rFonts w:hint="eastAsia" w:ascii="Times New Roman" w:hAnsi="Times New Roman"/>
          <w:lang w:val="en-US" w:eastAsia="zh-CN"/>
        </w:rPr>
        <w:t>96</w:t>
      </w:r>
    </w:p>
    <w:p w14:paraId="6D89CF7D">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第四节  推动中心乡镇建设</w:t>
      </w:r>
      <w:r>
        <w:rPr>
          <w:rFonts w:hint="eastAsia" w:ascii="Times New Roman" w:hAnsi="Times New Roman"/>
          <w:lang w:val="en-US" w:eastAsia="zh-CN"/>
        </w:rPr>
        <w:tab/>
      </w:r>
      <w:r>
        <w:rPr>
          <w:rFonts w:hint="eastAsia" w:ascii="Times New Roman" w:hAnsi="Times New Roman"/>
          <w:lang w:val="en-US" w:eastAsia="zh-CN"/>
        </w:rPr>
        <w:t>96</w:t>
      </w:r>
    </w:p>
    <w:p w14:paraId="592B1946">
      <w:pPr>
        <w:keepNext w:val="0"/>
        <w:keepLines w:val="0"/>
        <w:pageBreakBefore w:val="0"/>
        <w:widowControl w:val="0"/>
        <w:numPr>
          <w:ilvl w:val="0"/>
          <w:numId w:val="4"/>
        </w:numPr>
        <w:tabs>
          <w:tab w:val="left" w:pos="42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第二十六章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提升农业转移人口市民化质量</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97</w:t>
      </w:r>
    </w:p>
    <w:p w14:paraId="33F1E568">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增强城镇人口吸引力</w:t>
      </w:r>
      <w:r>
        <w:rPr>
          <w:rFonts w:hint="eastAsia" w:ascii="Times New Roman" w:hAnsi="Times New Roman"/>
          <w:lang w:val="en-US" w:eastAsia="zh-CN"/>
        </w:rPr>
        <w:tab/>
      </w:r>
      <w:r>
        <w:rPr>
          <w:rFonts w:hint="eastAsia" w:ascii="Times New Roman" w:hAnsi="Times New Roman"/>
          <w:lang w:val="en-US" w:eastAsia="zh-CN"/>
        </w:rPr>
        <w:t>97</w:t>
      </w:r>
    </w:p>
    <w:p w14:paraId="120379A5">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深化城镇制度改革</w:t>
      </w:r>
      <w:r>
        <w:rPr>
          <w:rFonts w:hint="eastAsia" w:ascii="Times New Roman" w:hAnsi="Times New Roman"/>
          <w:lang w:val="en-US" w:eastAsia="zh-CN"/>
        </w:rPr>
        <w:tab/>
      </w:r>
      <w:r>
        <w:rPr>
          <w:rFonts w:hint="eastAsia" w:ascii="Times New Roman" w:hAnsi="Times New Roman"/>
          <w:lang w:val="en-US" w:eastAsia="zh-CN"/>
        </w:rPr>
        <w:t>98</w:t>
      </w:r>
    </w:p>
    <w:p w14:paraId="75150557">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建设完备保障体系</w:t>
      </w:r>
      <w:r>
        <w:rPr>
          <w:rFonts w:hint="eastAsia" w:ascii="Times New Roman" w:hAnsi="Times New Roman"/>
          <w:lang w:val="en-US" w:eastAsia="zh-CN"/>
        </w:rPr>
        <w:tab/>
      </w:r>
      <w:r>
        <w:rPr>
          <w:rFonts w:hint="eastAsia" w:ascii="Times New Roman" w:hAnsi="Times New Roman"/>
          <w:lang w:val="en-US" w:eastAsia="zh-CN"/>
        </w:rPr>
        <w:t>99</w:t>
      </w:r>
    </w:p>
    <w:p w14:paraId="2144E7F0">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rPr>
      </w:pPr>
      <w:r>
        <w:rPr>
          <w:rFonts w:hint="eastAsia" w:ascii="Times New Roman" w:hAnsi="Times New Roman" w:eastAsia="黑体" w:cs="黑体"/>
        </w:rPr>
        <w:t>第八篇</w:t>
      </w:r>
      <w:r>
        <w:rPr>
          <w:rFonts w:hint="eastAsia" w:ascii="Times New Roman" w:hAnsi="Times New Roman" w:eastAsia="黑体" w:cs="黑体"/>
          <w:lang w:val="en-US" w:eastAsia="zh-CN"/>
        </w:rPr>
        <w:t xml:space="preserve">  </w:t>
      </w:r>
      <w:r>
        <w:rPr>
          <w:rFonts w:hint="eastAsia" w:ascii="Times New Roman" w:hAnsi="Times New Roman" w:eastAsia="黑体" w:cs="黑体"/>
        </w:rPr>
        <w:t>全面提升基础设施承载能力</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101</w:t>
      </w:r>
    </w:p>
    <w:p w14:paraId="408CDCDB">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第二十七章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构建立体交通大枢纽</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101</w:t>
      </w:r>
    </w:p>
    <w:p w14:paraId="3D77384F">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第二十八章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大力推动新型基础设施建设</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103</w:t>
      </w:r>
    </w:p>
    <w:p w14:paraId="387F7902">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加快信息基础设施建设</w:t>
      </w:r>
      <w:r>
        <w:rPr>
          <w:rFonts w:hint="eastAsia" w:ascii="Times New Roman" w:hAnsi="Times New Roman"/>
          <w:lang w:val="en-US" w:eastAsia="zh-CN"/>
        </w:rPr>
        <w:tab/>
      </w:r>
      <w:r>
        <w:rPr>
          <w:rFonts w:hint="eastAsia" w:ascii="Times New Roman" w:hAnsi="Times New Roman"/>
          <w:lang w:val="en-US" w:eastAsia="zh-CN"/>
        </w:rPr>
        <w:t>103</w:t>
      </w:r>
    </w:p>
    <w:p w14:paraId="58B4DB1A">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加大融合基础设施建设</w:t>
      </w:r>
      <w:r>
        <w:rPr>
          <w:rFonts w:hint="eastAsia" w:ascii="Times New Roman" w:hAnsi="Times New Roman"/>
          <w:lang w:val="en-US" w:eastAsia="zh-CN"/>
        </w:rPr>
        <w:tab/>
      </w:r>
      <w:r>
        <w:rPr>
          <w:rFonts w:hint="eastAsia" w:ascii="Times New Roman" w:hAnsi="Times New Roman"/>
          <w:lang w:val="en-US" w:eastAsia="zh-CN"/>
        </w:rPr>
        <w:t>104</w:t>
      </w:r>
    </w:p>
    <w:p w14:paraId="0AAFA1A3">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加码创新基础设施建设</w:t>
      </w:r>
      <w:r>
        <w:rPr>
          <w:rFonts w:hint="eastAsia" w:ascii="Times New Roman" w:hAnsi="Times New Roman"/>
          <w:lang w:val="en-US" w:eastAsia="zh-CN"/>
        </w:rPr>
        <w:tab/>
      </w:r>
      <w:r>
        <w:rPr>
          <w:rFonts w:hint="eastAsia" w:ascii="Times New Roman" w:hAnsi="Times New Roman"/>
          <w:lang w:val="en-US" w:eastAsia="zh-CN"/>
        </w:rPr>
        <w:t>105</w:t>
      </w:r>
    </w:p>
    <w:p w14:paraId="6A2E11D4">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第二十九章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提升城镇综合承载力</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107</w:t>
      </w:r>
    </w:p>
    <w:p w14:paraId="60B05CE1">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构建清洁低碳能源供应体系</w:t>
      </w:r>
      <w:r>
        <w:rPr>
          <w:rFonts w:hint="eastAsia" w:ascii="Times New Roman" w:hAnsi="Times New Roman"/>
          <w:lang w:val="en-US" w:eastAsia="zh-CN"/>
        </w:rPr>
        <w:tab/>
      </w:r>
      <w:r>
        <w:rPr>
          <w:rFonts w:hint="eastAsia" w:ascii="Times New Roman" w:hAnsi="Times New Roman"/>
          <w:lang w:val="en-US" w:eastAsia="zh-CN"/>
        </w:rPr>
        <w:t>107</w:t>
      </w:r>
    </w:p>
    <w:p w14:paraId="7674F730">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提升城镇供排水保障能力</w:t>
      </w:r>
      <w:r>
        <w:rPr>
          <w:rFonts w:hint="eastAsia" w:ascii="Times New Roman" w:hAnsi="Times New Roman"/>
          <w:lang w:val="en-US" w:eastAsia="zh-CN"/>
        </w:rPr>
        <w:tab/>
      </w:r>
      <w:r>
        <w:rPr>
          <w:rFonts w:hint="eastAsia" w:ascii="Times New Roman" w:hAnsi="Times New Roman"/>
          <w:lang w:val="en-US" w:eastAsia="zh-CN"/>
        </w:rPr>
        <w:t>108</w:t>
      </w:r>
    </w:p>
    <w:p w14:paraId="65579D73">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完善环卫基础设施布局</w:t>
      </w:r>
      <w:r>
        <w:rPr>
          <w:rFonts w:hint="eastAsia" w:ascii="Times New Roman" w:hAnsi="Times New Roman"/>
          <w:lang w:val="en-US" w:eastAsia="zh-CN"/>
        </w:rPr>
        <w:tab/>
      </w:r>
      <w:r>
        <w:rPr>
          <w:rFonts w:hint="eastAsia" w:ascii="Times New Roman" w:hAnsi="Times New Roman"/>
          <w:lang w:val="en-US" w:eastAsia="zh-CN"/>
        </w:rPr>
        <w:t>109</w:t>
      </w:r>
    </w:p>
    <w:p w14:paraId="62A89630">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rPr>
      </w:pPr>
      <w:r>
        <w:rPr>
          <w:rFonts w:hint="eastAsia" w:ascii="Times New Roman" w:hAnsi="Times New Roman" w:eastAsia="黑体" w:cs="黑体"/>
        </w:rPr>
        <w:t>第九篇</w:t>
      </w:r>
      <w:r>
        <w:rPr>
          <w:rFonts w:hint="eastAsia" w:ascii="Times New Roman" w:hAnsi="Times New Roman" w:eastAsia="黑体" w:cs="黑体"/>
          <w:lang w:val="en-US" w:eastAsia="zh-CN"/>
        </w:rPr>
        <w:t xml:space="preserve">  </w:t>
      </w:r>
      <w:r>
        <w:rPr>
          <w:rFonts w:hint="eastAsia" w:ascii="Times New Roman" w:hAnsi="Times New Roman" w:eastAsia="黑体" w:cs="黑体"/>
        </w:rPr>
        <w:t>高效推动文旅产业融合发展</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111</w:t>
      </w:r>
    </w:p>
    <w:p w14:paraId="63A742C1">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第三十章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大力发展文旅产业</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111</w:t>
      </w:r>
    </w:p>
    <w:p w14:paraId="03343957">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快速推进文化产业发展</w:t>
      </w:r>
      <w:r>
        <w:rPr>
          <w:rFonts w:hint="eastAsia" w:ascii="Times New Roman" w:hAnsi="Times New Roman"/>
          <w:lang w:val="en-US" w:eastAsia="zh-CN"/>
        </w:rPr>
        <w:tab/>
      </w:r>
      <w:r>
        <w:rPr>
          <w:rFonts w:hint="eastAsia" w:ascii="Times New Roman" w:hAnsi="Times New Roman"/>
          <w:lang w:val="en-US" w:eastAsia="zh-CN"/>
        </w:rPr>
        <w:t>111</w:t>
      </w:r>
    </w:p>
    <w:p w14:paraId="36A333AA">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着力推进文旅融合发展</w:t>
      </w:r>
      <w:r>
        <w:rPr>
          <w:rFonts w:hint="eastAsia" w:ascii="Times New Roman" w:hAnsi="Times New Roman"/>
          <w:lang w:val="en-US" w:eastAsia="zh-CN"/>
        </w:rPr>
        <w:tab/>
      </w:r>
      <w:r>
        <w:rPr>
          <w:rFonts w:hint="eastAsia" w:ascii="Times New Roman" w:hAnsi="Times New Roman"/>
          <w:lang w:val="en-US" w:eastAsia="zh-CN"/>
        </w:rPr>
        <w:t>114</w:t>
      </w:r>
    </w:p>
    <w:p w14:paraId="1A88ADF7">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实施全域旅游战略</w:t>
      </w:r>
      <w:r>
        <w:rPr>
          <w:rFonts w:hint="eastAsia" w:ascii="Times New Roman" w:hAnsi="Times New Roman"/>
          <w:lang w:val="en-US" w:eastAsia="zh-CN"/>
        </w:rPr>
        <w:tab/>
      </w:r>
      <w:r>
        <w:rPr>
          <w:rFonts w:hint="eastAsia" w:ascii="Times New Roman" w:hAnsi="Times New Roman"/>
          <w:lang w:val="en-US" w:eastAsia="zh-CN"/>
        </w:rPr>
        <w:t>116</w:t>
      </w:r>
    </w:p>
    <w:p w14:paraId="1860803E">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第三十一章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全力推动文化事业蓬勃发展</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117</w:t>
      </w:r>
    </w:p>
    <w:p w14:paraId="55049A52">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打造公共文化服务体系</w:t>
      </w:r>
      <w:r>
        <w:rPr>
          <w:rFonts w:hint="eastAsia" w:ascii="Times New Roman" w:hAnsi="Times New Roman"/>
          <w:lang w:val="en-US" w:eastAsia="zh-CN"/>
        </w:rPr>
        <w:tab/>
      </w:r>
      <w:r>
        <w:rPr>
          <w:rFonts w:hint="eastAsia" w:ascii="Times New Roman" w:hAnsi="Times New Roman"/>
          <w:lang w:val="en-US" w:eastAsia="zh-CN"/>
        </w:rPr>
        <w:t>117</w:t>
      </w:r>
    </w:p>
    <w:p w14:paraId="3E950E40">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加强文化遗产保护传承</w:t>
      </w:r>
      <w:r>
        <w:rPr>
          <w:rFonts w:hint="eastAsia" w:ascii="Times New Roman" w:hAnsi="Times New Roman"/>
          <w:lang w:val="en-US" w:eastAsia="zh-CN"/>
        </w:rPr>
        <w:tab/>
      </w:r>
      <w:r>
        <w:rPr>
          <w:rFonts w:hint="eastAsia" w:ascii="Times New Roman" w:hAnsi="Times New Roman"/>
          <w:lang w:val="en-US" w:eastAsia="zh-CN"/>
        </w:rPr>
        <w:t>118</w:t>
      </w:r>
    </w:p>
    <w:p w14:paraId="37F501F8">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持续提高文化软实力</w:t>
      </w:r>
      <w:r>
        <w:rPr>
          <w:rFonts w:hint="eastAsia" w:ascii="Times New Roman" w:hAnsi="Times New Roman"/>
          <w:lang w:val="en-US" w:eastAsia="zh-CN"/>
        </w:rPr>
        <w:tab/>
      </w:r>
      <w:r>
        <w:rPr>
          <w:rFonts w:hint="eastAsia" w:ascii="Times New Roman" w:hAnsi="Times New Roman"/>
          <w:lang w:val="en-US" w:eastAsia="zh-CN"/>
        </w:rPr>
        <w:t>120</w:t>
      </w:r>
    </w:p>
    <w:p w14:paraId="3925C4B9">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第三十二章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推动精神文明创建</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120</w:t>
      </w:r>
    </w:p>
    <w:p w14:paraId="06C3A85E">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完善社会主义核心价值体系</w:t>
      </w:r>
      <w:r>
        <w:rPr>
          <w:rFonts w:hint="eastAsia" w:ascii="Times New Roman" w:hAnsi="Times New Roman"/>
          <w:lang w:val="en-US" w:eastAsia="zh-CN"/>
        </w:rPr>
        <w:tab/>
      </w:r>
      <w:r>
        <w:rPr>
          <w:rFonts w:hint="eastAsia" w:ascii="Times New Roman" w:hAnsi="Times New Roman"/>
          <w:lang w:val="en-US" w:eastAsia="zh-CN"/>
        </w:rPr>
        <w:t>121</w:t>
      </w:r>
    </w:p>
    <w:p w14:paraId="22B2CA4A">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提升新时代文明创建水平</w:t>
      </w:r>
      <w:r>
        <w:rPr>
          <w:rFonts w:hint="eastAsia" w:ascii="Times New Roman" w:hAnsi="Times New Roman"/>
          <w:lang w:val="en-US" w:eastAsia="zh-CN"/>
        </w:rPr>
        <w:tab/>
      </w:r>
      <w:r>
        <w:rPr>
          <w:rFonts w:hint="eastAsia" w:ascii="Times New Roman" w:hAnsi="Times New Roman"/>
          <w:lang w:val="en-US" w:eastAsia="zh-CN"/>
        </w:rPr>
        <w:t>122</w:t>
      </w:r>
    </w:p>
    <w:p w14:paraId="250E3180">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倡导文明社会新风尚</w:t>
      </w:r>
      <w:r>
        <w:rPr>
          <w:rFonts w:hint="eastAsia" w:ascii="Times New Roman" w:hAnsi="Times New Roman"/>
          <w:lang w:val="en-US" w:eastAsia="zh-CN"/>
        </w:rPr>
        <w:tab/>
      </w:r>
      <w:r>
        <w:rPr>
          <w:rFonts w:hint="eastAsia" w:ascii="Times New Roman" w:hAnsi="Times New Roman"/>
          <w:lang w:val="en-US" w:eastAsia="zh-CN"/>
        </w:rPr>
        <w:t>125</w:t>
      </w:r>
    </w:p>
    <w:p w14:paraId="199F1834">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rPr>
      </w:pPr>
      <w:r>
        <w:rPr>
          <w:rFonts w:hint="eastAsia" w:ascii="Times New Roman" w:hAnsi="Times New Roman" w:eastAsia="黑体" w:cs="黑体"/>
        </w:rPr>
        <w:t>第十篇</w:t>
      </w:r>
      <w:r>
        <w:rPr>
          <w:rFonts w:hint="eastAsia" w:ascii="Times New Roman" w:hAnsi="Times New Roman" w:eastAsia="黑体" w:cs="黑体"/>
          <w:lang w:val="en-US" w:eastAsia="zh-CN"/>
        </w:rPr>
        <w:t xml:space="preserve">  </w:t>
      </w:r>
      <w:r>
        <w:rPr>
          <w:rFonts w:hint="eastAsia" w:ascii="Times New Roman" w:hAnsi="Times New Roman" w:eastAsia="黑体" w:cs="黑体"/>
        </w:rPr>
        <w:t>切实加强生态环境保护</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127</w:t>
      </w:r>
    </w:p>
    <w:p w14:paraId="4D47B48F">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第三十三章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全面加强生态保护和修复</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127</w:t>
      </w:r>
    </w:p>
    <w:p w14:paraId="45BB4E87">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加强生态资源保护力度</w:t>
      </w:r>
      <w:r>
        <w:rPr>
          <w:rFonts w:hint="eastAsia" w:ascii="Times New Roman" w:hAnsi="Times New Roman"/>
          <w:lang w:val="en-US" w:eastAsia="zh-CN"/>
        </w:rPr>
        <w:tab/>
      </w:r>
      <w:r>
        <w:rPr>
          <w:rFonts w:hint="eastAsia" w:ascii="Times New Roman" w:hAnsi="Times New Roman"/>
          <w:lang w:val="en-US" w:eastAsia="zh-CN"/>
        </w:rPr>
        <w:t>127</w:t>
      </w:r>
    </w:p>
    <w:p w14:paraId="13816F33">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重点推进水生态建设</w:t>
      </w:r>
      <w:r>
        <w:rPr>
          <w:rFonts w:hint="eastAsia" w:ascii="Times New Roman" w:hAnsi="Times New Roman"/>
        </w:rPr>
        <w:tab/>
      </w:r>
      <w:r>
        <w:rPr>
          <w:rFonts w:hint="eastAsia" w:ascii="Times New Roman" w:hAnsi="Times New Roman"/>
          <w:lang w:val="en-US" w:eastAsia="zh-CN"/>
        </w:rPr>
        <w:t>128</w:t>
      </w:r>
    </w:p>
    <w:p w14:paraId="1A13F625">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全面推进农村生态环保工作</w:t>
      </w:r>
      <w:r>
        <w:rPr>
          <w:rFonts w:hint="eastAsia" w:ascii="Times New Roman" w:hAnsi="Times New Roman"/>
          <w:lang w:val="en-US" w:eastAsia="zh-CN"/>
        </w:rPr>
        <w:tab/>
      </w:r>
      <w:r>
        <w:rPr>
          <w:rFonts w:hint="eastAsia" w:ascii="Times New Roman" w:hAnsi="Times New Roman"/>
          <w:lang w:val="en-US" w:eastAsia="zh-CN"/>
        </w:rPr>
        <w:t>129</w:t>
      </w:r>
    </w:p>
    <w:p w14:paraId="7167B928">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第三十四章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大力提升环境质量</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131</w:t>
      </w:r>
    </w:p>
    <w:p w14:paraId="2C67BDB7">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打好污染防治攻坚战</w:t>
      </w:r>
      <w:r>
        <w:rPr>
          <w:rFonts w:hint="eastAsia" w:ascii="Times New Roman" w:hAnsi="Times New Roman"/>
        </w:rPr>
        <w:tab/>
      </w:r>
      <w:r>
        <w:rPr>
          <w:rFonts w:hint="eastAsia" w:ascii="Times New Roman" w:hAnsi="Times New Roman"/>
          <w:lang w:val="en-US" w:eastAsia="zh-CN"/>
        </w:rPr>
        <w:t>131</w:t>
      </w:r>
    </w:p>
    <w:p w14:paraId="16633F24">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逐步优化生态城镇布局</w:t>
      </w:r>
      <w:r>
        <w:rPr>
          <w:rFonts w:hint="eastAsia" w:ascii="Times New Roman" w:hAnsi="Times New Roman"/>
          <w:lang w:val="en-US" w:eastAsia="zh-CN"/>
        </w:rPr>
        <w:tab/>
      </w:r>
      <w:r>
        <w:rPr>
          <w:rFonts w:hint="eastAsia" w:ascii="Times New Roman" w:hAnsi="Times New Roman"/>
          <w:lang w:val="en-US" w:eastAsia="zh-CN"/>
        </w:rPr>
        <w:t>133</w:t>
      </w:r>
    </w:p>
    <w:p w14:paraId="628DD8BC">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提高环境治理水平</w:t>
      </w:r>
      <w:r>
        <w:rPr>
          <w:rFonts w:hint="eastAsia" w:ascii="Times New Roman" w:hAnsi="Times New Roman"/>
          <w:lang w:val="en-US" w:eastAsia="zh-CN"/>
        </w:rPr>
        <w:tab/>
      </w:r>
      <w:r>
        <w:rPr>
          <w:rFonts w:hint="eastAsia" w:ascii="Times New Roman" w:hAnsi="Times New Roman"/>
          <w:lang w:val="en-US" w:eastAsia="zh-CN"/>
        </w:rPr>
        <w:t>134</w:t>
      </w:r>
    </w:p>
    <w:p w14:paraId="5A4B61A0">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第三十五章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全力推动绿色发展</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136</w:t>
      </w:r>
    </w:p>
    <w:p w14:paraId="4544D8AC">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大力推进资源高效利用</w:t>
      </w:r>
      <w:r>
        <w:rPr>
          <w:rFonts w:hint="eastAsia" w:ascii="Times New Roman" w:hAnsi="Times New Roman"/>
          <w:lang w:val="en-US" w:eastAsia="zh-CN"/>
        </w:rPr>
        <w:tab/>
      </w:r>
      <w:r>
        <w:rPr>
          <w:rFonts w:hint="eastAsia" w:ascii="Times New Roman" w:hAnsi="Times New Roman"/>
          <w:lang w:val="en-US" w:eastAsia="zh-CN"/>
        </w:rPr>
        <w:t>136</w:t>
      </w:r>
    </w:p>
    <w:p w14:paraId="66C6409B">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全面推行绿色发展方式</w:t>
      </w:r>
      <w:r>
        <w:rPr>
          <w:rFonts w:hint="eastAsia" w:ascii="Times New Roman" w:hAnsi="Times New Roman"/>
          <w:lang w:val="en-US" w:eastAsia="zh-CN"/>
        </w:rPr>
        <w:tab/>
      </w:r>
      <w:r>
        <w:rPr>
          <w:rFonts w:hint="eastAsia" w:ascii="Times New Roman" w:hAnsi="Times New Roman"/>
          <w:lang w:val="en-US" w:eastAsia="zh-CN"/>
        </w:rPr>
        <w:t>137</w:t>
      </w:r>
    </w:p>
    <w:p w14:paraId="24D8532B">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积极倡导绿色生活方式</w:t>
      </w:r>
      <w:r>
        <w:rPr>
          <w:rFonts w:hint="eastAsia" w:ascii="Times New Roman" w:hAnsi="Times New Roman"/>
          <w:lang w:val="en-US" w:eastAsia="zh-CN"/>
        </w:rPr>
        <w:tab/>
      </w:r>
      <w:r>
        <w:rPr>
          <w:rFonts w:hint="eastAsia" w:ascii="Times New Roman" w:hAnsi="Times New Roman"/>
          <w:lang w:val="en-US" w:eastAsia="zh-CN"/>
        </w:rPr>
        <w:t>138</w:t>
      </w:r>
    </w:p>
    <w:p w14:paraId="27E93FEC">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rPr>
      </w:pPr>
      <w:r>
        <w:rPr>
          <w:rFonts w:hint="eastAsia" w:ascii="Times New Roman" w:hAnsi="Times New Roman" w:eastAsia="黑体" w:cs="黑体"/>
        </w:rPr>
        <w:t>第十一篇</w:t>
      </w:r>
      <w:r>
        <w:rPr>
          <w:rFonts w:hint="eastAsia" w:ascii="Times New Roman" w:hAnsi="Times New Roman" w:eastAsia="黑体" w:cs="黑体"/>
          <w:lang w:val="en-US" w:eastAsia="zh-CN"/>
        </w:rPr>
        <w:t xml:space="preserve">  </w:t>
      </w:r>
      <w:r>
        <w:rPr>
          <w:rFonts w:hint="eastAsia" w:ascii="Times New Roman" w:hAnsi="Times New Roman" w:eastAsia="黑体" w:cs="黑体"/>
        </w:rPr>
        <w:t>加速提高基本公共服务水平</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140</w:t>
      </w:r>
    </w:p>
    <w:p w14:paraId="301AC4DB">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第三十六章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着力提高居民就业水平</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140</w:t>
      </w:r>
    </w:p>
    <w:p w14:paraId="4D887BE6">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提升城乡居民收入水平</w:t>
      </w:r>
      <w:r>
        <w:rPr>
          <w:rFonts w:hint="eastAsia" w:ascii="Times New Roman" w:hAnsi="Times New Roman"/>
          <w:lang w:val="en-US" w:eastAsia="zh-CN"/>
        </w:rPr>
        <w:tab/>
      </w:r>
      <w:r>
        <w:rPr>
          <w:rFonts w:hint="eastAsia" w:ascii="Times New Roman" w:hAnsi="Times New Roman"/>
          <w:lang w:val="en-US" w:eastAsia="zh-CN"/>
        </w:rPr>
        <w:t>140</w:t>
      </w:r>
    </w:p>
    <w:p w14:paraId="2E6C83CE">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全面落实就业优先战略</w:t>
      </w:r>
      <w:r>
        <w:rPr>
          <w:rFonts w:hint="eastAsia" w:ascii="Times New Roman" w:hAnsi="Times New Roman"/>
          <w:lang w:val="en-US" w:eastAsia="zh-CN"/>
        </w:rPr>
        <w:tab/>
      </w:r>
      <w:r>
        <w:rPr>
          <w:rFonts w:hint="eastAsia" w:ascii="Times New Roman" w:hAnsi="Times New Roman"/>
          <w:lang w:val="en-US" w:eastAsia="zh-CN"/>
        </w:rPr>
        <w:t>141</w:t>
      </w:r>
    </w:p>
    <w:p w14:paraId="0FC1253E">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第三十七章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加快推动教育现代化</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144</w:t>
      </w:r>
    </w:p>
    <w:p w14:paraId="5EB80E67">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公共教育优质均衡发展</w:t>
      </w:r>
      <w:r>
        <w:rPr>
          <w:rFonts w:hint="eastAsia" w:ascii="Times New Roman" w:hAnsi="Times New Roman"/>
          <w:lang w:val="en-US" w:eastAsia="zh-CN"/>
        </w:rPr>
        <w:tab/>
      </w:r>
      <w:r>
        <w:rPr>
          <w:rFonts w:hint="eastAsia" w:ascii="Times New Roman" w:hAnsi="Times New Roman"/>
          <w:lang w:val="en-US" w:eastAsia="zh-CN"/>
        </w:rPr>
        <w:t>144</w:t>
      </w:r>
    </w:p>
    <w:p w14:paraId="4A229918">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实现教育模式创新发展</w:t>
      </w:r>
      <w:r>
        <w:rPr>
          <w:rFonts w:hint="eastAsia" w:ascii="Times New Roman" w:hAnsi="Times New Roman"/>
          <w:lang w:val="en-US" w:eastAsia="zh-CN"/>
        </w:rPr>
        <w:tab/>
      </w:r>
      <w:r>
        <w:rPr>
          <w:rFonts w:hint="eastAsia" w:ascii="Times New Roman" w:hAnsi="Times New Roman"/>
          <w:lang w:val="en-US" w:eastAsia="zh-CN"/>
        </w:rPr>
        <w:t>145</w:t>
      </w:r>
    </w:p>
    <w:p w14:paraId="17727056">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第三十八章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奋力推进健康临武建设</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147</w:t>
      </w:r>
    </w:p>
    <w:p w14:paraId="5F5B0A8A">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加强卫生健康服务体系建设</w:t>
      </w:r>
      <w:r>
        <w:rPr>
          <w:rFonts w:hint="eastAsia" w:ascii="Times New Roman" w:hAnsi="Times New Roman"/>
          <w:lang w:val="en-US" w:eastAsia="zh-CN"/>
        </w:rPr>
        <w:tab/>
      </w:r>
      <w:r>
        <w:rPr>
          <w:rFonts w:hint="eastAsia" w:ascii="Times New Roman" w:hAnsi="Times New Roman"/>
          <w:lang w:val="en-US" w:eastAsia="zh-CN"/>
        </w:rPr>
        <w:t>147</w:t>
      </w:r>
    </w:p>
    <w:p w14:paraId="5DBDE246">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提升医疗卫生服务能力和水平</w:t>
      </w:r>
      <w:r>
        <w:rPr>
          <w:rFonts w:hint="eastAsia" w:ascii="Times New Roman" w:hAnsi="Times New Roman"/>
        </w:rPr>
        <w:tab/>
      </w:r>
      <w:r>
        <w:rPr>
          <w:rFonts w:hint="eastAsia" w:ascii="Times New Roman" w:hAnsi="Times New Roman"/>
          <w:lang w:val="en-US" w:eastAsia="zh-CN"/>
        </w:rPr>
        <w:t>148</w:t>
      </w:r>
    </w:p>
    <w:p w14:paraId="5E77C1F2">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推进中医药健康服务发展</w:t>
      </w:r>
      <w:r>
        <w:rPr>
          <w:rFonts w:hint="eastAsia" w:ascii="Times New Roman" w:hAnsi="Times New Roman"/>
          <w:lang w:val="en-US" w:eastAsia="zh-CN"/>
        </w:rPr>
        <w:tab/>
      </w:r>
      <w:r>
        <w:rPr>
          <w:rFonts w:hint="eastAsia" w:ascii="Times New Roman" w:hAnsi="Times New Roman"/>
          <w:lang w:val="en-US" w:eastAsia="zh-CN"/>
        </w:rPr>
        <w:t>150</w:t>
      </w:r>
    </w:p>
    <w:p w14:paraId="62DBF776">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第三十九章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不断完善社会保障体系</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152</w:t>
      </w:r>
    </w:p>
    <w:p w14:paraId="1D344E45">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进一步完善社会保险</w:t>
      </w:r>
      <w:r>
        <w:rPr>
          <w:rFonts w:hint="eastAsia" w:ascii="Times New Roman" w:hAnsi="Times New Roman"/>
          <w:lang w:val="en-US" w:eastAsia="zh-CN"/>
        </w:rPr>
        <w:tab/>
      </w:r>
      <w:r>
        <w:rPr>
          <w:rFonts w:hint="eastAsia" w:ascii="Times New Roman" w:hAnsi="Times New Roman"/>
          <w:lang w:val="en-US" w:eastAsia="zh-CN"/>
        </w:rPr>
        <w:t>152</w:t>
      </w:r>
    </w:p>
    <w:p w14:paraId="1B9C4964">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优化社会救助及保障</w:t>
      </w:r>
      <w:r>
        <w:rPr>
          <w:rFonts w:hint="eastAsia" w:ascii="Times New Roman" w:hAnsi="Times New Roman"/>
          <w:lang w:val="en-US" w:eastAsia="zh-CN"/>
        </w:rPr>
        <w:tab/>
      </w:r>
      <w:r>
        <w:rPr>
          <w:rFonts w:hint="eastAsia" w:ascii="Times New Roman" w:hAnsi="Times New Roman"/>
          <w:lang w:val="en-US" w:eastAsia="zh-CN"/>
        </w:rPr>
        <w:t>153</w:t>
      </w:r>
    </w:p>
    <w:p w14:paraId="3BA6A3D7">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积极应对人口老龄化</w:t>
      </w:r>
      <w:r>
        <w:rPr>
          <w:rFonts w:hint="eastAsia" w:ascii="Times New Roman" w:hAnsi="Times New Roman"/>
          <w:lang w:val="en-US" w:eastAsia="zh-CN"/>
        </w:rPr>
        <w:tab/>
      </w:r>
      <w:r>
        <w:rPr>
          <w:rFonts w:hint="eastAsia" w:ascii="Times New Roman" w:hAnsi="Times New Roman"/>
          <w:lang w:val="en-US" w:eastAsia="zh-CN"/>
        </w:rPr>
        <w:t>154</w:t>
      </w:r>
    </w:p>
    <w:p w14:paraId="0E81850C">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rPr>
      </w:pPr>
      <w:r>
        <w:rPr>
          <w:rFonts w:hint="eastAsia" w:ascii="Times New Roman" w:hAnsi="Times New Roman" w:eastAsia="黑体" w:cs="黑体"/>
        </w:rPr>
        <w:t>第十二篇</w:t>
      </w:r>
      <w:r>
        <w:rPr>
          <w:rFonts w:hint="eastAsia" w:ascii="Times New Roman" w:hAnsi="Times New Roman" w:eastAsia="黑体" w:cs="黑体"/>
          <w:lang w:val="en-US" w:eastAsia="zh-CN"/>
        </w:rPr>
        <w:t xml:space="preserve">  </w:t>
      </w:r>
      <w:r>
        <w:rPr>
          <w:rFonts w:hint="eastAsia" w:ascii="Times New Roman" w:hAnsi="Times New Roman" w:eastAsia="黑体" w:cs="黑体"/>
        </w:rPr>
        <w:t>高位推进社会治理体系和治理能力现代化</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156</w:t>
      </w:r>
    </w:p>
    <w:p w14:paraId="51CFE62E">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第四十章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统筹推进全面依法治县</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156</w:t>
      </w:r>
    </w:p>
    <w:p w14:paraId="6E78D865">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推进全面依法治县</w:t>
      </w:r>
      <w:r>
        <w:rPr>
          <w:rFonts w:hint="eastAsia" w:ascii="Times New Roman" w:hAnsi="Times New Roman"/>
          <w:lang w:val="en-US" w:eastAsia="zh-CN"/>
        </w:rPr>
        <w:tab/>
      </w:r>
      <w:r>
        <w:rPr>
          <w:rFonts w:hint="eastAsia" w:ascii="Times New Roman" w:hAnsi="Times New Roman"/>
          <w:lang w:val="en-US" w:eastAsia="zh-CN"/>
        </w:rPr>
        <w:t>156</w:t>
      </w:r>
    </w:p>
    <w:p w14:paraId="2B68A95A">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推进基层治理法治化</w:t>
      </w:r>
      <w:r>
        <w:rPr>
          <w:rFonts w:hint="eastAsia" w:ascii="Times New Roman" w:hAnsi="Times New Roman"/>
        </w:rPr>
        <w:tab/>
      </w:r>
      <w:r>
        <w:rPr>
          <w:rFonts w:hint="eastAsia" w:ascii="Times New Roman" w:hAnsi="Times New Roman"/>
          <w:lang w:val="en-US" w:eastAsia="zh-CN"/>
        </w:rPr>
        <w:t>159</w:t>
      </w:r>
    </w:p>
    <w:p w14:paraId="16363EA9">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深入推进信访制度改革</w:t>
      </w:r>
      <w:r>
        <w:rPr>
          <w:rFonts w:hint="eastAsia" w:ascii="Times New Roman" w:hAnsi="Times New Roman"/>
          <w:lang w:val="en-US" w:eastAsia="zh-CN"/>
        </w:rPr>
        <w:tab/>
      </w:r>
      <w:r>
        <w:rPr>
          <w:rFonts w:hint="eastAsia" w:ascii="Times New Roman" w:hAnsi="Times New Roman"/>
          <w:lang w:val="en-US" w:eastAsia="zh-CN"/>
        </w:rPr>
        <w:t>160</w:t>
      </w:r>
    </w:p>
    <w:p w14:paraId="2B9AE4CA">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第四十一章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着力防范化解社会风险</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162</w:t>
      </w:r>
    </w:p>
    <w:p w14:paraId="68F50E3A">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提高社会治理效率</w:t>
      </w:r>
      <w:r>
        <w:rPr>
          <w:rFonts w:hint="eastAsia" w:ascii="Times New Roman" w:hAnsi="Times New Roman"/>
          <w:lang w:val="en-US" w:eastAsia="zh-CN"/>
        </w:rPr>
        <w:tab/>
      </w:r>
      <w:r>
        <w:rPr>
          <w:rFonts w:hint="eastAsia" w:ascii="Times New Roman" w:hAnsi="Times New Roman"/>
          <w:lang w:val="en-US" w:eastAsia="zh-CN"/>
        </w:rPr>
        <w:t>162</w:t>
      </w:r>
    </w:p>
    <w:p w14:paraId="710236AE">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强化社会风险防范</w:t>
      </w:r>
      <w:r>
        <w:rPr>
          <w:rFonts w:hint="eastAsia" w:ascii="Times New Roman" w:hAnsi="Times New Roman"/>
          <w:lang w:val="en-US" w:eastAsia="zh-CN"/>
        </w:rPr>
        <w:tab/>
      </w:r>
      <w:r>
        <w:rPr>
          <w:rFonts w:hint="eastAsia" w:ascii="Times New Roman" w:hAnsi="Times New Roman"/>
          <w:lang w:val="en-US" w:eastAsia="zh-CN"/>
        </w:rPr>
        <w:t>163</w:t>
      </w:r>
    </w:p>
    <w:p w14:paraId="1ED4196B">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第四十二章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深入推进平安临武建设</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164</w:t>
      </w:r>
    </w:p>
    <w:p w14:paraId="7C9F5503">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提升人民群众安全感</w:t>
      </w:r>
      <w:r>
        <w:rPr>
          <w:rFonts w:hint="eastAsia" w:ascii="Times New Roman" w:hAnsi="Times New Roman"/>
          <w:lang w:val="en-US" w:eastAsia="zh-CN"/>
        </w:rPr>
        <w:tab/>
      </w:r>
      <w:r>
        <w:rPr>
          <w:rFonts w:hint="eastAsia" w:ascii="Times New Roman" w:hAnsi="Times New Roman"/>
          <w:lang w:val="en-US" w:eastAsia="zh-CN"/>
        </w:rPr>
        <w:t>164</w:t>
      </w:r>
    </w:p>
    <w:p w14:paraId="43A3B151">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推进高质量公安建设</w:t>
      </w:r>
      <w:r>
        <w:rPr>
          <w:rFonts w:hint="eastAsia" w:ascii="Times New Roman" w:hAnsi="Times New Roman"/>
          <w:lang w:val="en-US" w:eastAsia="zh-CN"/>
        </w:rPr>
        <w:tab/>
      </w:r>
      <w:r>
        <w:rPr>
          <w:rFonts w:hint="eastAsia" w:ascii="Times New Roman" w:hAnsi="Times New Roman"/>
          <w:lang w:val="en-US" w:eastAsia="zh-CN"/>
        </w:rPr>
        <w:t>165</w:t>
      </w:r>
    </w:p>
    <w:p w14:paraId="50F542A2">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实施平安建设工程</w:t>
      </w:r>
      <w:r>
        <w:rPr>
          <w:rFonts w:hint="eastAsia" w:ascii="Times New Roman" w:hAnsi="Times New Roman"/>
          <w:lang w:val="en-US" w:eastAsia="zh-CN"/>
        </w:rPr>
        <w:tab/>
      </w:r>
      <w:r>
        <w:rPr>
          <w:rFonts w:hint="eastAsia" w:ascii="Times New Roman" w:hAnsi="Times New Roman"/>
          <w:lang w:val="en-US" w:eastAsia="zh-CN"/>
        </w:rPr>
        <w:t>166</w:t>
      </w:r>
    </w:p>
    <w:p w14:paraId="38FDE5F8">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第四十三章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加强应急管理能力建设</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168</w:t>
      </w:r>
    </w:p>
    <w:p w14:paraId="3A358B6D">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提升水旱、地质灾害防御水平</w:t>
      </w:r>
      <w:r>
        <w:rPr>
          <w:rFonts w:hint="eastAsia" w:ascii="Times New Roman" w:hAnsi="Times New Roman"/>
          <w:lang w:val="en-US" w:eastAsia="zh-CN"/>
        </w:rPr>
        <w:tab/>
      </w:r>
      <w:r>
        <w:rPr>
          <w:rFonts w:hint="eastAsia" w:ascii="Times New Roman" w:hAnsi="Times New Roman"/>
          <w:lang w:val="en-US" w:eastAsia="zh-CN"/>
        </w:rPr>
        <w:t>168</w:t>
      </w:r>
    </w:p>
    <w:p w14:paraId="76B65E7A">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提高消防能力建设</w:t>
      </w:r>
      <w:r>
        <w:rPr>
          <w:rFonts w:hint="eastAsia" w:ascii="Times New Roman" w:hAnsi="Times New Roman"/>
          <w:lang w:val="en-US" w:eastAsia="zh-CN"/>
        </w:rPr>
        <w:tab/>
      </w:r>
      <w:r>
        <w:rPr>
          <w:rFonts w:hint="eastAsia" w:ascii="Times New Roman" w:hAnsi="Times New Roman"/>
          <w:lang w:val="en-US" w:eastAsia="zh-CN"/>
        </w:rPr>
        <w:t>169</w:t>
      </w:r>
    </w:p>
    <w:p w14:paraId="25A7EF13">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加强应急管理基础基层建设</w:t>
      </w:r>
      <w:r>
        <w:rPr>
          <w:rFonts w:hint="eastAsia" w:ascii="Times New Roman" w:hAnsi="Times New Roman"/>
          <w:lang w:val="en-US" w:eastAsia="zh-CN"/>
        </w:rPr>
        <w:tab/>
      </w:r>
      <w:r>
        <w:rPr>
          <w:rFonts w:hint="eastAsia" w:ascii="Times New Roman" w:hAnsi="Times New Roman"/>
          <w:lang w:val="en-US" w:eastAsia="zh-CN"/>
        </w:rPr>
        <w:t>170</w:t>
      </w:r>
    </w:p>
    <w:p w14:paraId="19AE0DEB">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第四十四章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推动军民融合发展</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171</w:t>
      </w:r>
    </w:p>
    <w:p w14:paraId="0C0E58E6">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强化我县党管武装工作水平</w:t>
      </w:r>
      <w:r>
        <w:rPr>
          <w:rFonts w:hint="eastAsia" w:ascii="Times New Roman" w:hAnsi="Times New Roman"/>
          <w:lang w:val="en-US" w:eastAsia="zh-CN"/>
        </w:rPr>
        <w:tab/>
      </w:r>
      <w:r>
        <w:rPr>
          <w:rFonts w:hint="eastAsia" w:ascii="Times New Roman" w:hAnsi="Times New Roman"/>
          <w:lang w:val="en-US" w:eastAsia="zh-CN"/>
        </w:rPr>
        <w:t>172</w:t>
      </w:r>
    </w:p>
    <w:p w14:paraId="69A7E761">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加强国防动员和后备力量建设</w:t>
      </w:r>
      <w:r>
        <w:rPr>
          <w:rFonts w:hint="eastAsia" w:ascii="Times New Roman" w:hAnsi="Times New Roman"/>
          <w:lang w:val="en-US" w:eastAsia="zh-CN"/>
        </w:rPr>
        <w:tab/>
      </w:r>
      <w:r>
        <w:rPr>
          <w:rFonts w:hint="eastAsia" w:ascii="Times New Roman" w:hAnsi="Times New Roman"/>
          <w:lang w:val="en-US" w:eastAsia="zh-CN"/>
        </w:rPr>
        <w:t>172</w:t>
      </w:r>
    </w:p>
    <w:p w14:paraId="463DC31C">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强化民兵队伍常态化运用</w:t>
      </w:r>
      <w:r>
        <w:rPr>
          <w:rFonts w:hint="eastAsia" w:ascii="Times New Roman" w:hAnsi="Times New Roman"/>
          <w:lang w:val="en-US" w:eastAsia="zh-CN"/>
        </w:rPr>
        <w:tab/>
      </w:r>
      <w:r>
        <w:rPr>
          <w:rFonts w:hint="eastAsia" w:ascii="Times New Roman" w:hAnsi="Times New Roman"/>
          <w:lang w:val="en-US" w:eastAsia="zh-CN"/>
        </w:rPr>
        <w:t>174</w:t>
      </w:r>
    </w:p>
    <w:p w14:paraId="0E31289E">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黑体" w:cs="黑体"/>
        </w:rPr>
      </w:pPr>
      <w:r>
        <w:rPr>
          <w:rFonts w:hint="eastAsia" w:ascii="Times New Roman" w:hAnsi="Times New Roman" w:eastAsia="黑体" w:cs="黑体"/>
        </w:rPr>
        <w:t>第十三篇</w:t>
      </w:r>
      <w:r>
        <w:rPr>
          <w:rFonts w:hint="eastAsia" w:ascii="Times New Roman" w:hAnsi="Times New Roman" w:eastAsia="黑体" w:cs="黑体"/>
          <w:lang w:val="en-US" w:eastAsia="zh-CN"/>
        </w:rPr>
        <w:t xml:space="preserve">  </w:t>
      </w:r>
      <w:r>
        <w:rPr>
          <w:rFonts w:hint="eastAsia" w:ascii="Times New Roman" w:hAnsi="Times New Roman" w:eastAsia="黑体" w:cs="黑体"/>
        </w:rPr>
        <w:t>持续强化规划实施保障</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176</w:t>
      </w:r>
    </w:p>
    <w:p w14:paraId="78E0E8D4">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第四十五章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加强党的领导</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176</w:t>
      </w:r>
    </w:p>
    <w:p w14:paraId="5BBD1E92">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eastAsia="楷体_GB2312" w:cs="楷体_GB2312"/>
          <w:b/>
          <w:bCs/>
        </w:rPr>
      </w:pPr>
      <w:r>
        <w:rPr>
          <w:rFonts w:hint="eastAsia" w:ascii="Times New Roman" w:hAnsi="Times New Roman" w:eastAsia="楷体_GB2312" w:cs="楷体_GB2312"/>
          <w:b/>
          <w:bCs/>
        </w:rPr>
        <w:t>第四十六章</w:t>
      </w:r>
      <w:r>
        <w:rPr>
          <w:rFonts w:hint="eastAsia" w:ascii="Times New Roman" w:hAnsi="Times New Roman" w:eastAsia="楷体_GB2312" w:cs="楷体_GB2312"/>
          <w:b/>
          <w:bCs/>
          <w:lang w:val="en-US" w:eastAsia="zh-CN"/>
        </w:rPr>
        <w:t xml:space="preserve">  </w:t>
      </w:r>
      <w:r>
        <w:rPr>
          <w:rFonts w:hint="eastAsia" w:ascii="Times New Roman" w:hAnsi="Times New Roman" w:eastAsia="楷体_GB2312" w:cs="楷体_GB2312"/>
          <w:b/>
          <w:bCs/>
        </w:rPr>
        <w:t>强力推动规划实施</w:t>
      </w:r>
      <w:r>
        <w:rPr>
          <w:rFonts w:hint="eastAsia" w:ascii="Times New Roman" w:hAnsi="Times New Roman" w:eastAsia="楷体_GB2312" w:cs="楷体_GB2312"/>
          <w:b/>
          <w:bCs/>
          <w:lang w:val="en-US" w:eastAsia="zh-CN"/>
        </w:rPr>
        <w:tab/>
      </w:r>
      <w:r>
        <w:rPr>
          <w:rFonts w:hint="eastAsia" w:ascii="Times New Roman" w:hAnsi="Times New Roman" w:eastAsia="楷体_GB2312" w:cs="楷体_GB2312"/>
          <w:b/>
          <w:bCs/>
          <w:lang w:val="en-US" w:eastAsia="zh-CN"/>
        </w:rPr>
        <w:t>177</w:t>
      </w:r>
    </w:p>
    <w:p w14:paraId="015EAE84">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第一节  强化规划实施保障机制</w:t>
      </w:r>
      <w:r>
        <w:rPr>
          <w:rFonts w:hint="eastAsia" w:ascii="Times New Roman" w:hAnsi="Times New Roman"/>
          <w:lang w:val="en-US" w:eastAsia="zh-CN"/>
        </w:rPr>
        <w:tab/>
      </w:r>
      <w:r>
        <w:rPr>
          <w:rFonts w:hint="eastAsia" w:ascii="Times New Roman" w:hAnsi="Times New Roman"/>
          <w:lang w:val="en-US" w:eastAsia="zh-CN"/>
        </w:rPr>
        <w:t>177</w:t>
      </w:r>
    </w:p>
    <w:p w14:paraId="1D640E8E">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第二节  完善规划实施管理体系</w:t>
      </w:r>
      <w:r>
        <w:rPr>
          <w:rFonts w:hint="eastAsia" w:ascii="Times New Roman" w:hAnsi="Times New Roman"/>
          <w:lang w:val="en-US" w:eastAsia="zh-CN"/>
        </w:rPr>
        <w:tab/>
      </w:r>
      <w:r>
        <w:rPr>
          <w:rFonts w:hint="eastAsia" w:ascii="Times New Roman" w:hAnsi="Times New Roman"/>
          <w:lang w:val="en-US" w:eastAsia="zh-CN"/>
        </w:rPr>
        <w:t>179</w:t>
      </w:r>
    </w:p>
    <w:p w14:paraId="683FC1B3">
      <w:pPr>
        <w:keepNext w:val="0"/>
        <w:keepLines w:val="0"/>
        <w:pageBreakBefore w:val="0"/>
        <w:widowControl w:val="0"/>
        <w:numPr>
          <w:ilvl w:val="0"/>
          <w:numId w:val="4"/>
        </w:numPr>
        <w:tabs>
          <w:tab w:val="left" w:pos="630"/>
          <w:tab w:val="right" w:leader="middleDot" w:pos="8400"/>
        </w:tabs>
        <w:kinsoku/>
        <w:wordWrap/>
        <w:overflowPunct/>
        <w:topLinePunct w:val="0"/>
        <w:autoSpaceDE/>
        <w:autoSpaceDN/>
        <w:bidi w:val="0"/>
        <w:adjustRightInd/>
        <w:snapToGrid/>
        <w:spacing w:line="610" w:lineRule="exact"/>
        <w:ind w:left="0" w:leftChars="0" w:firstLine="0" w:firstLineChars="0"/>
        <w:textAlignment w:val="auto"/>
        <w:rPr>
          <w:rFonts w:hint="eastAsia" w:ascii="Times New Roman" w:hAnsi="Times New Roman"/>
        </w:rPr>
      </w:pPr>
      <w:r>
        <w:rPr>
          <w:rFonts w:hint="eastAsia" w:ascii="Times New Roman" w:hAnsi="Times New Roman"/>
        </w:rPr>
        <w:t>第三节  全面推进重大项目建设</w:t>
      </w:r>
      <w:r>
        <w:rPr>
          <w:rFonts w:hint="eastAsia" w:ascii="Times New Roman" w:hAnsi="Times New Roman"/>
          <w:lang w:val="en-US" w:eastAsia="zh-CN"/>
        </w:rPr>
        <w:tab/>
      </w:r>
      <w:r>
        <w:rPr>
          <w:rFonts w:hint="eastAsia" w:ascii="Times New Roman" w:hAnsi="Times New Roman"/>
          <w:lang w:val="en-US" w:eastAsia="zh-CN"/>
        </w:rPr>
        <w:t>181</w:t>
      </w:r>
    </w:p>
    <w:p w14:paraId="24408725">
      <w:pPr>
        <w:jc w:val="both"/>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br w:type="page"/>
      </w:r>
    </w:p>
    <w:p w14:paraId="582E29C0">
      <w:pPr>
        <w:pStyle w:val="57"/>
        <w:keepNext w:val="0"/>
        <w:keepLines w:val="0"/>
        <w:pageBreakBefore w:val="0"/>
        <w:widowControl w:val="0"/>
        <w:kinsoku/>
        <w:wordWrap w:val="0"/>
        <w:overflowPunct/>
        <w:topLinePunct/>
        <w:autoSpaceDE/>
        <w:autoSpaceDN/>
        <w:bidi w:val="0"/>
        <w:adjustRightInd/>
        <w:snapToGrid/>
        <w:spacing w:line="520" w:lineRule="exact"/>
        <w:ind w:firstLine="640"/>
        <w:textAlignment w:val="auto"/>
        <w:rPr>
          <w:rFonts w:hint="eastAsia" w:cs="仿宋_GB2312"/>
          <w:szCs w:val="28"/>
        </w:rPr>
      </w:pPr>
      <w:r>
        <w:rPr>
          <w:rFonts w:hint="eastAsia" w:cs="仿宋_GB2312"/>
          <w:szCs w:val="28"/>
        </w:rPr>
        <w:t>湖</w:t>
      </w:r>
      <w:r>
        <w:rPr>
          <w:rFonts w:hint="eastAsia" w:cs="仿宋_GB2312"/>
          <w:spacing w:val="11"/>
          <w:szCs w:val="28"/>
        </w:rPr>
        <w:t>南省临武县国民经济和社会发展第十四个五年规划纲要和</w:t>
      </w:r>
      <w:r>
        <w:rPr>
          <w:rFonts w:hint="eastAsia" w:cs="仿宋_GB2312"/>
          <w:spacing w:val="-6"/>
          <w:szCs w:val="28"/>
        </w:rPr>
        <w:t>二</w:t>
      </w:r>
      <w:r>
        <w:rPr>
          <w:rFonts w:hint="eastAsia" w:cs="仿宋_GB2312"/>
          <w:spacing w:val="-6"/>
          <w:szCs w:val="28"/>
          <w:lang w:eastAsia="zh-CN"/>
        </w:rPr>
        <w:t>○</w:t>
      </w:r>
      <w:r>
        <w:rPr>
          <w:rFonts w:hint="eastAsia" w:cs="仿宋_GB2312"/>
          <w:spacing w:val="-6"/>
          <w:szCs w:val="28"/>
        </w:rPr>
        <w:t>三五年</w:t>
      </w:r>
      <w:r>
        <w:rPr>
          <w:rFonts w:hint="eastAsia" w:cs="仿宋_GB2312"/>
          <w:szCs w:val="28"/>
        </w:rPr>
        <w:t>远景目标，根据《中共郴州市委关于制定临武县国民经济和社会发展第十四个五年规划和二</w:t>
      </w:r>
      <w:r>
        <w:rPr>
          <w:rFonts w:hint="eastAsia" w:cs="仿宋_GB2312"/>
          <w:szCs w:val="28"/>
          <w:lang w:eastAsia="zh-CN"/>
        </w:rPr>
        <w:t>○</w:t>
      </w:r>
      <w:r>
        <w:rPr>
          <w:rFonts w:hint="eastAsia" w:cs="仿宋_GB2312"/>
          <w:szCs w:val="28"/>
        </w:rPr>
        <w:t>三五年远景目标的建议》编制，明确未来五年经济社会发展的主要目标、重点任务和重大举措，展望2035年远景目标，是市场主体的行为导向，是政府履行职责的重要依据，是人民的共同愿景，是巩固第一个百年奋斗目标成果、乘势而上向第二个百年奋斗目标进军的行动纲领。</w:t>
      </w:r>
    </w:p>
    <w:p w14:paraId="26E47E8B">
      <w:pPr>
        <w:pStyle w:val="57"/>
        <w:keepNext w:val="0"/>
        <w:keepLines w:val="0"/>
        <w:pageBreakBefore w:val="0"/>
        <w:widowControl w:val="0"/>
        <w:kinsoku/>
        <w:wordWrap w:val="0"/>
        <w:overflowPunct/>
        <w:topLinePunct/>
        <w:autoSpaceDE/>
        <w:autoSpaceDN/>
        <w:bidi w:val="0"/>
        <w:adjustRightInd/>
        <w:snapToGrid/>
        <w:spacing w:line="520" w:lineRule="exact"/>
        <w:ind w:firstLine="640"/>
        <w:textAlignment w:val="auto"/>
        <w:rPr>
          <w:rFonts w:hint="eastAsia" w:ascii="方正大标宋简体" w:hAnsi="方正大标宋简体" w:eastAsia="方正大标宋简体" w:cs="方正大标宋简体"/>
          <w:sz w:val="36"/>
          <w:szCs w:val="36"/>
          <w:lang w:val="en-US" w:eastAsia="zh-CN"/>
        </w:rPr>
      </w:pPr>
    </w:p>
    <w:p w14:paraId="1CC841F2">
      <w:pPr>
        <w:pStyle w:val="57"/>
        <w:keepNext w:val="0"/>
        <w:keepLines w:val="0"/>
        <w:pageBreakBefore w:val="0"/>
        <w:widowControl w:val="0"/>
        <w:kinsoku/>
        <w:wordWrap w:val="0"/>
        <w:overflowPunct/>
        <w:topLinePunct/>
        <w:autoSpaceDE/>
        <w:autoSpaceDN/>
        <w:bidi w:val="0"/>
        <w:adjustRightInd/>
        <w:snapToGrid/>
        <w:spacing w:line="520" w:lineRule="exact"/>
        <w:ind w:left="0" w:leftChars="0" w:firstLine="0" w:firstLineChars="0"/>
        <w:jc w:val="center"/>
        <w:textAlignment w:val="auto"/>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第一篇  开户全面建设社会主义现代化国家新征程</w:t>
      </w:r>
    </w:p>
    <w:p w14:paraId="216270BC">
      <w:pPr>
        <w:keepNext w:val="0"/>
        <w:keepLines w:val="0"/>
        <w:pageBreakBefore w:val="0"/>
        <w:widowControl w:val="0"/>
        <w:kinsoku/>
        <w:overflowPunct/>
        <w:autoSpaceDE/>
        <w:autoSpaceDN/>
        <w:bidi w:val="0"/>
        <w:adjustRightInd/>
        <w:snapToGrid/>
        <w:spacing w:line="520" w:lineRule="exact"/>
        <w:textAlignment w:val="auto"/>
      </w:pPr>
    </w:p>
    <w:p w14:paraId="583D0F15">
      <w:pPr>
        <w:pStyle w:val="57"/>
        <w:keepNext w:val="0"/>
        <w:keepLines w:val="0"/>
        <w:pageBreakBefore w:val="0"/>
        <w:widowControl w:val="0"/>
        <w:kinsoku/>
        <w:wordWrap w:val="0"/>
        <w:overflowPunct/>
        <w:topLinePunct/>
        <w:autoSpaceDE/>
        <w:autoSpaceDN/>
        <w:bidi w:val="0"/>
        <w:adjustRightInd/>
        <w:snapToGrid/>
        <w:spacing w:line="520" w:lineRule="exact"/>
        <w:ind w:firstLine="640"/>
        <w:textAlignment w:val="auto"/>
        <w:rPr>
          <w:rFonts w:hint="eastAsia" w:cs="仿宋_GB2312"/>
          <w:szCs w:val="28"/>
        </w:rPr>
      </w:pPr>
      <w:bookmarkStart w:id="0" w:name="_Hlk55312141"/>
      <w:r>
        <w:rPr>
          <w:rFonts w:hint="eastAsia" w:cs="仿宋_GB2312"/>
          <w:szCs w:val="28"/>
        </w:rPr>
        <w:t>“十四五”时期是全面建成小康社会、实现第一个百年奋斗目标之后，乘势而上开启</w:t>
      </w:r>
      <w:r>
        <w:rPr>
          <w:rFonts w:hint="eastAsia" w:cs="仿宋_GB2312"/>
          <w:szCs w:val="28"/>
          <w:lang w:eastAsia="zh-CN"/>
        </w:rPr>
        <w:t>全面建设社会主义现代化国家新征程</w:t>
      </w:r>
      <w:r>
        <w:rPr>
          <w:rFonts w:hint="eastAsia" w:cs="仿宋_GB2312"/>
          <w:szCs w:val="28"/>
        </w:rPr>
        <w:t>、向第二个百年奋斗目标进军的第一个五年，必须认真贯彻国家、省、市战略部署，深刻认识国际、国内发展环境变化，准确把握新阶段，深入贯彻新理念，主动融入新格局，切实增强机遇意识和风险意识，全面推动高质量发展，为实现第二个百年奋斗目标奠定坚实基础。</w:t>
      </w:r>
    </w:p>
    <w:p w14:paraId="6870CAB3">
      <w:pPr>
        <w:pStyle w:val="57"/>
        <w:keepNext w:val="0"/>
        <w:keepLines w:val="0"/>
        <w:pageBreakBefore w:val="0"/>
        <w:widowControl w:val="0"/>
        <w:kinsoku/>
        <w:wordWrap w:val="0"/>
        <w:overflowPunct/>
        <w:topLinePunct/>
        <w:autoSpaceDE/>
        <w:autoSpaceDN/>
        <w:bidi w:val="0"/>
        <w:adjustRightInd/>
        <w:snapToGrid/>
        <w:spacing w:line="520" w:lineRule="exact"/>
        <w:ind w:firstLine="640"/>
        <w:textAlignment w:val="auto"/>
        <w:rPr>
          <w:rFonts w:hint="eastAsia" w:cs="仿宋_GB2312"/>
          <w:szCs w:val="28"/>
        </w:rPr>
      </w:pPr>
    </w:p>
    <w:bookmarkEnd w:id="0"/>
    <w:p w14:paraId="7F186E91">
      <w:pPr>
        <w:pStyle w:val="4"/>
        <w:keepNext w:val="0"/>
        <w:keepLines w:val="0"/>
        <w:pageBreakBefore w:val="0"/>
        <w:widowControl w:val="0"/>
        <w:kinsoku/>
        <w:wordWrap w:val="0"/>
        <w:overflowPunct/>
        <w:topLinePunct/>
        <w:autoSpaceDE/>
        <w:autoSpaceDN/>
        <w:bidi w:val="0"/>
        <w:adjustRightInd/>
        <w:snapToGrid/>
        <w:spacing w:before="0" w:after="0" w:line="520" w:lineRule="exact"/>
        <w:textAlignment w:val="auto"/>
        <w:rPr>
          <w:rFonts w:hint="eastAsia" w:ascii="方正大标宋简体" w:hAnsi="方正大标宋简体" w:eastAsia="方正大标宋简体" w:cs="方正大标宋简体"/>
          <w:sz w:val="36"/>
          <w:szCs w:val="36"/>
        </w:rPr>
      </w:pPr>
      <w:bookmarkStart w:id="1" w:name="_Toc88315696"/>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规划背景</w:t>
      </w:r>
      <w:bookmarkEnd w:id="1"/>
    </w:p>
    <w:p w14:paraId="25D23DBB">
      <w:pPr>
        <w:pStyle w:val="5"/>
        <w:keepNext w:val="0"/>
        <w:keepLines w:val="0"/>
        <w:pageBreakBefore w:val="0"/>
        <w:widowControl w:val="0"/>
        <w:kinsoku/>
        <w:wordWrap w:val="0"/>
        <w:overflowPunct/>
        <w:topLinePunct/>
        <w:autoSpaceDE/>
        <w:autoSpaceDN/>
        <w:bidi w:val="0"/>
        <w:adjustRightInd/>
        <w:snapToGrid/>
        <w:spacing w:beforeLines="0" w:afterLines="0" w:line="520" w:lineRule="exact"/>
        <w:ind w:left="0" w:leftChars="0" w:firstLine="0" w:firstLineChars="0"/>
        <w:jc w:val="center"/>
        <w:textAlignment w:val="auto"/>
        <w:rPr>
          <w:rFonts w:hint="eastAsia" w:ascii="黑体" w:hAnsi="黑体" w:eastAsia="黑体" w:cs="黑体"/>
          <w:b w:val="0"/>
          <w:bCs w:val="0"/>
        </w:rPr>
      </w:pPr>
      <w:bookmarkStart w:id="2" w:name="_Toc88315697"/>
    </w:p>
    <w:p w14:paraId="6A28C970">
      <w:pPr>
        <w:pStyle w:val="5"/>
        <w:keepNext w:val="0"/>
        <w:keepLines w:val="0"/>
        <w:pageBreakBefore w:val="0"/>
        <w:widowControl w:val="0"/>
        <w:numPr>
          <w:ilvl w:val="0"/>
          <w:numId w:val="5"/>
        </w:numPr>
        <w:kinsoku/>
        <w:wordWrap w:val="0"/>
        <w:overflowPunct/>
        <w:topLinePunct/>
        <w:autoSpaceDE/>
        <w:autoSpaceDN/>
        <w:bidi w:val="0"/>
        <w:adjustRightInd/>
        <w:snapToGrid/>
        <w:spacing w:beforeLines="0" w:afterLines="0" w:line="520" w:lineRule="exact"/>
        <w:ind w:left="0" w:leftChars="0" w:firstLine="0" w:firstLineChars="0"/>
        <w:jc w:val="center"/>
        <w:textAlignment w:val="auto"/>
        <w:rPr>
          <w:rFonts w:hint="eastAsia" w:ascii="黑体" w:hAnsi="黑体" w:eastAsia="黑体" w:cs="黑体"/>
          <w:b w:val="0"/>
          <w:bCs w:val="0"/>
        </w:rPr>
      </w:pPr>
      <w:r>
        <w:rPr>
          <w:rFonts w:hint="eastAsia" w:ascii="黑体" w:hAnsi="黑体" w:eastAsia="黑体" w:cs="黑体"/>
          <w:b w:val="0"/>
          <w:bCs w:val="0"/>
        </w:rPr>
        <w:t xml:space="preserve"> 主要成就</w:t>
      </w:r>
      <w:bookmarkEnd w:id="2"/>
    </w:p>
    <w:p w14:paraId="2A1A657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14:paraId="1AB34D35">
      <w:pPr>
        <w:pStyle w:val="57"/>
        <w:keepNext w:val="0"/>
        <w:keepLines w:val="0"/>
        <w:pageBreakBefore w:val="0"/>
        <w:widowControl w:val="0"/>
        <w:kinsoku/>
        <w:wordWrap w:val="0"/>
        <w:overflowPunct/>
        <w:topLinePunct/>
        <w:autoSpaceDE/>
        <w:autoSpaceDN/>
        <w:bidi w:val="0"/>
        <w:adjustRightInd/>
        <w:snapToGrid/>
        <w:spacing w:line="520" w:lineRule="exact"/>
        <w:ind w:firstLine="640"/>
        <w:textAlignment w:val="auto"/>
      </w:pPr>
      <w:r>
        <w:rPr>
          <w:rFonts w:hint="eastAsia"/>
        </w:rPr>
        <w:t>五年来，围绕“1256”发展思路，凝心聚力，大力推动“五个临武”建设，经济社会步入高质量发展阶段。</w:t>
      </w:r>
    </w:p>
    <w:p w14:paraId="3A7C1978">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szCs w:val="28"/>
        </w:rPr>
      </w:pPr>
      <w:r>
        <w:rPr>
          <w:rFonts w:hint="eastAsia" w:ascii="楷体_GB2312" w:hAnsi="楷体_GB2312" w:eastAsia="楷体_GB2312" w:cs="楷体_GB2312"/>
          <w:b/>
          <w:bCs/>
          <w:color w:val="000000"/>
          <w:szCs w:val="28"/>
        </w:rPr>
        <w:t>经济保持高速增长，综合实力显著增强。</w:t>
      </w:r>
      <w:r>
        <w:rPr>
          <w:rFonts w:hint="eastAsia" w:cs="仿宋_GB2312"/>
          <w:szCs w:val="28"/>
        </w:rPr>
        <w:t>2020年地区生产总值超过150亿元，过去五年GDP年均增速达10%，人均地区生产总值超过4万元，五年累计完成固定资产投资超800亿元，社会消费品零售总额年均增速超过8%。</w:t>
      </w:r>
    </w:p>
    <w:p w14:paraId="27D40E52">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szCs w:val="28"/>
        </w:rPr>
      </w:pPr>
      <w:r>
        <w:rPr>
          <w:rFonts w:hint="eastAsia" w:ascii="楷体_GB2312" w:hAnsi="楷体_GB2312" w:eastAsia="楷体_GB2312" w:cs="楷体_GB2312"/>
          <w:b/>
          <w:bCs/>
          <w:color w:val="000000"/>
          <w:szCs w:val="28"/>
        </w:rPr>
        <w:t>产业实力不断增强，经济结构持续优化。</w:t>
      </w:r>
      <w:r>
        <w:rPr>
          <w:rFonts w:hint="eastAsia" w:cs="仿宋_GB2312"/>
          <w:szCs w:val="28"/>
        </w:rPr>
        <w:t>三次产业结构由2015年的11.9:46.5:41.6调整为2020年的10:43:47。特色农业稳中有进，拥有1家农业产业化国家重点龙头企业和17家市级农业产业化龙头企业，临武鸭、临武肉牛、临武柚、临武香芋、大冲辣椒等品牌实力不断增强。工业发展势头强劲，形成了特色农副产品加工、新能源装备制造、电子信息、有色金属精深加工等主导产业。文旅产业快速崛起，西瑶绿谷、通天山等旅游景区知名度不断提升。工业园区实力不断增强，电子信息、新能源、食品加工、碳酸钙、宝玉石文化等产业集群正加速形成。</w:t>
      </w:r>
    </w:p>
    <w:p w14:paraId="424007CE">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szCs w:val="28"/>
        </w:rPr>
      </w:pPr>
      <w:r>
        <w:rPr>
          <w:rFonts w:hint="eastAsia" w:ascii="楷体_GB2312" w:hAnsi="楷体_GB2312" w:eastAsia="楷体_GB2312" w:cs="楷体_GB2312"/>
          <w:b/>
          <w:bCs/>
          <w:color w:val="000000"/>
          <w:szCs w:val="28"/>
        </w:rPr>
        <w:t>改革开放稳步推进，发展活力持续释放。</w:t>
      </w:r>
      <w:r>
        <w:rPr>
          <w:rFonts w:hint="eastAsia" w:cs="仿宋_GB2312"/>
          <w:szCs w:val="28"/>
        </w:rPr>
        <w:t>五年来，以供给侧结构性改革为主线，全面落实“三去一降一补”任务，坚决淘汰落后产能，关闭振兴、茶冲两座煤矿，GDP能耗下降超过15%。全面落实减税降费政策，民营企业综合税费降低3%，行政事业性收费减少60%。深化投融资体制改革，与中国工商银行总行签订投资集成服务协议，成立规模30亿元的“恒源绿色产业投资基金”。农村土地确权颁证、农村集体产权制度改革、农村土地“三权分置”工作稳步推进。国有林场改革进一步深化。“临武供销改革模式”获全省推介，被评选为全市十大优秀改革案例，县供销合作联社被评为全国供销合作社综合改革试点工作先进单位。</w:t>
      </w:r>
    </w:p>
    <w:p w14:paraId="72752A19">
      <w:pPr>
        <w:pStyle w:val="57"/>
        <w:keepNext w:val="0"/>
        <w:keepLines w:val="0"/>
        <w:pageBreakBefore w:val="0"/>
        <w:widowControl w:val="0"/>
        <w:kinsoku/>
        <w:wordWrap w:val="0"/>
        <w:overflowPunct/>
        <w:topLinePunct/>
        <w:autoSpaceDE/>
        <w:autoSpaceDN/>
        <w:bidi w:val="0"/>
        <w:spacing w:line="600" w:lineRule="exact"/>
        <w:ind w:firstLine="643"/>
        <w:rPr>
          <w:rFonts w:cs="仿宋_GB2312"/>
          <w:szCs w:val="28"/>
        </w:rPr>
      </w:pPr>
      <w:r>
        <w:rPr>
          <w:rFonts w:hint="eastAsia" w:ascii="楷体_GB2312" w:hAnsi="楷体_GB2312" w:eastAsia="楷体_GB2312" w:cs="楷体_GB2312"/>
          <w:b/>
          <w:bCs/>
          <w:color w:val="000000"/>
          <w:szCs w:val="28"/>
        </w:rPr>
        <w:t>三大攻坚战成果斐然，发展环境持续改善。</w:t>
      </w:r>
      <w:r>
        <w:rPr>
          <w:rFonts w:hint="eastAsia" w:cs="仿宋_GB2312"/>
          <w:szCs w:val="28"/>
        </w:rPr>
        <w:t>围绕精准脱贫，聚焦“六个清零”，高质量完成脱贫攻坚任务，实现近2万贫困人口稳定脱贫，贫困发生率降至0.33%，2020年被评为“2019年度湖南脱贫攻坚先进县”。坚定“绿水青山就是金山银山”的发展理念，大力推动三十六湾矿区和香花岭矿区绿色转型，完成24个重金属污染治理项目，森林覆盖率达60.13%，环境空气优良率持续改善，由2016年的91.8%上升到2020年的99.6%。重大风险防化并举，推动“六个一批”风险缓释措施，严格限制县级政府债务增长，扎实推进增收节支，财政实力不断增强，金融运行总体平稳。</w:t>
      </w:r>
    </w:p>
    <w:p w14:paraId="2FDFB999">
      <w:pPr>
        <w:pStyle w:val="57"/>
        <w:keepNext w:val="0"/>
        <w:keepLines w:val="0"/>
        <w:pageBreakBefore w:val="0"/>
        <w:widowControl w:val="0"/>
        <w:kinsoku/>
        <w:wordWrap w:val="0"/>
        <w:overflowPunct/>
        <w:topLinePunct/>
        <w:autoSpaceDE/>
        <w:autoSpaceDN/>
        <w:bidi w:val="0"/>
        <w:spacing w:line="600" w:lineRule="exact"/>
        <w:ind w:firstLine="643"/>
        <w:rPr>
          <w:rFonts w:cs="仿宋_GB2312"/>
          <w:szCs w:val="28"/>
        </w:rPr>
      </w:pPr>
      <w:r>
        <w:rPr>
          <w:rFonts w:hint="eastAsia" w:ascii="楷体_GB2312" w:hAnsi="楷体_GB2312" w:eastAsia="楷体_GB2312" w:cs="楷体_GB2312"/>
          <w:b/>
          <w:bCs/>
          <w:color w:val="000000"/>
          <w:szCs w:val="28"/>
        </w:rPr>
        <w:t>推动城乡融合发展，城乡面貌焕然一新。</w:t>
      </w:r>
      <w:r>
        <w:rPr>
          <w:rFonts w:hint="eastAsia" w:cs="仿宋_GB2312"/>
          <w:szCs w:val="28"/>
        </w:rPr>
        <w:t>县城品位持续提升，积极推进城区提质、美丽乡村、交通提质“五年行动计划”，全面实施县城主次干道及背街小巷提质改造工程，给排水、污水处理等基础设施不断完善，市容市貌及交通秩序明显改善。深入开展农村人居环境整治，推动厕所革命，实施农村生活污水治理、生活垃圾治理、拆违拆旧、规范建房等“十大工程”，乡村面貌大为改观。城乡融合加快推进，城乡公路建设快速推进，大力实施“四好农村路”、安全饮水、农网改造、光纤入户等“四大工程”，全力推进城乡客运一体化，城乡道路客运网络公交化比例达95.6%。</w:t>
      </w:r>
    </w:p>
    <w:p w14:paraId="69C6606A">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szCs w:val="28"/>
        </w:rPr>
      </w:pPr>
      <w:r>
        <w:rPr>
          <w:rFonts w:hint="eastAsia" w:ascii="楷体_GB2312" w:hAnsi="楷体_GB2312" w:eastAsia="楷体_GB2312" w:cs="楷体_GB2312"/>
          <w:b/>
          <w:bCs/>
          <w:color w:val="000000"/>
          <w:szCs w:val="28"/>
        </w:rPr>
        <w:t>社会治理能力不断提升，民生福祉日益增进。</w:t>
      </w:r>
      <w:r>
        <w:rPr>
          <w:rFonts w:hint="eastAsia" w:cs="仿宋_GB2312"/>
          <w:szCs w:val="28"/>
        </w:rPr>
        <w:t>改革调整政府机构设置，部门履职更加顺畅高效。深化“放管服”改革，强力推进精简行政审批事项，完成依申请事项6类965项、依职权类事项3236项、公共服务类事项565项的梳理和填报，调整取消49项，网上可办率达93%。积极开展“作风建设十大专项治理行动”、“不忘初心、牢记使命”主题教育。教育水平不断提高，加大教育投资，有效化解了义务教育大班额问题，顺利通过“国家义务教育发展基本均衡县”复查。文化事业亮点纷呈，县融媒体中心正式挂牌成立，梧桐书院全面完工并对外开放。社会保障体系不断完善，就业、住房保障、医疗卫生、社会救助、城乡保障等水平稳步提升，医疗卫生领域在全国率先探索医共体改革，成功创建国家卫生县城。深入开展扫黑除恶专项斗争，社会治安大局持续稳定。</w:t>
      </w:r>
    </w:p>
    <w:p w14:paraId="08C55876">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szCs w:val="28"/>
        </w:rPr>
      </w:pPr>
      <w:bookmarkStart w:id="3" w:name="_Toc88315698"/>
      <w:r>
        <w:rPr>
          <w:rFonts w:hint="eastAsia" w:ascii="黑体" w:hAnsi="黑体" w:eastAsia="黑体" w:cs="黑体"/>
          <w:b w:val="0"/>
          <w:bCs w:val="0"/>
          <w:szCs w:val="28"/>
        </w:rPr>
        <w:t>第二节  存在问题</w:t>
      </w:r>
      <w:bookmarkEnd w:id="3"/>
    </w:p>
    <w:p w14:paraId="7CDF2FC9">
      <w:pPr>
        <w:pStyle w:val="57"/>
        <w:keepNext w:val="0"/>
        <w:keepLines w:val="0"/>
        <w:pageBreakBefore w:val="0"/>
        <w:widowControl w:val="0"/>
        <w:kinsoku/>
        <w:wordWrap w:val="0"/>
        <w:overflowPunct/>
        <w:topLinePunct/>
        <w:autoSpaceDE/>
        <w:autoSpaceDN/>
        <w:bidi w:val="0"/>
        <w:spacing w:line="600" w:lineRule="exact"/>
        <w:ind w:firstLine="640"/>
        <w:rPr>
          <w:rFonts w:hint="eastAsia" w:cs="仿宋_GB2312"/>
          <w:szCs w:val="28"/>
        </w:rPr>
      </w:pPr>
      <w:r>
        <w:rPr>
          <w:rFonts w:hint="eastAsia" w:cs="仿宋_GB2312"/>
          <w:szCs w:val="28"/>
        </w:rPr>
        <w:t>五年来，我县经济社会发展取得了良好的成绩，但是发展不平衡不充分问题依然存在，短板弱项仍然突出。受市场环境影响，有色金属等传统支柱产业的发展面临较多困难；制造、文旅、碳酸钙等产业还缺乏大企业、大项目带动，战略性新兴产业项目偏少，产业转型压力较大。财政收支平衡压力大，金融风险较大，稳增长与防风险的矛盾仍然突出。要素保障不足，产业、民生等项目存在土地保障压力；基础设施、民生、产业转型等存在资金缺口；创新人才、管理人才、教师和医生等人才缺乏。公共服务还存在短板，幼儿园、中学学位还不能满足需求，教育质量、医疗卫生服务水平还需进一步提升。生态环境压力较大，两江源头保护、土壤污染治理任务艰巨，水源地保护和农村安全供水压力大，投资环境还有待进一步优化。</w:t>
      </w:r>
    </w:p>
    <w:p w14:paraId="39D50A17">
      <w:pPr>
        <w:pStyle w:val="57"/>
        <w:keepNext w:val="0"/>
        <w:keepLines w:val="0"/>
        <w:pageBreakBefore w:val="0"/>
        <w:widowControl w:val="0"/>
        <w:kinsoku/>
        <w:wordWrap w:val="0"/>
        <w:overflowPunct/>
        <w:topLinePunct/>
        <w:autoSpaceDE/>
        <w:autoSpaceDN/>
        <w:bidi w:val="0"/>
        <w:spacing w:line="600" w:lineRule="exact"/>
        <w:ind w:firstLine="640"/>
        <w:rPr>
          <w:rFonts w:hint="eastAsia" w:cs="仿宋_GB2312"/>
          <w:szCs w:val="28"/>
        </w:rPr>
      </w:pPr>
    </w:p>
    <w:p w14:paraId="01A069BA">
      <w:pPr>
        <w:pStyle w:val="4"/>
        <w:keepNext w:val="0"/>
        <w:keepLines w:val="0"/>
        <w:pageBreakBefore w:val="0"/>
        <w:widowControl w:val="0"/>
        <w:kinsoku/>
        <w:wordWrap w:val="0"/>
        <w:overflowPunct/>
        <w:topLinePunct/>
        <w:autoSpaceDE/>
        <w:autoSpaceDN/>
        <w:bidi w:val="0"/>
        <w:spacing w:before="0" w:after="0" w:line="600" w:lineRule="exact"/>
        <w:rPr>
          <w:rFonts w:hint="eastAsia" w:ascii="方正大标宋简体" w:hAnsi="方正大标宋简体" w:eastAsia="方正大标宋简体" w:cs="方正大标宋简体"/>
          <w:sz w:val="36"/>
          <w:szCs w:val="36"/>
        </w:rPr>
      </w:pPr>
      <w:bookmarkStart w:id="4" w:name="_Toc88315699"/>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发展环境</w:t>
      </w:r>
      <w:bookmarkEnd w:id="4"/>
    </w:p>
    <w:p w14:paraId="260A92EF"/>
    <w:p w14:paraId="009E3D7B">
      <w:pPr>
        <w:pStyle w:val="57"/>
        <w:keepNext w:val="0"/>
        <w:keepLines w:val="0"/>
        <w:pageBreakBefore w:val="0"/>
        <w:widowControl w:val="0"/>
        <w:kinsoku/>
        <w:wordWrap w:val="0"/>
        <w:overflowPunct/>
        <w:topLinePunct/>
        <w:autoSpaceDE/>
        <w:autoSpaceDN/>
        <w:bidi w:val="0"/>
        <w:adjustRightInd/>
        <w:snapToGrid/>
        <w:spacing w:line="620" w:lineRule="exact"/>
        <w:ind w:firstLine="640"/>
        <w:textAlignment w:val="auto"/>
        <w:rPr>
          <w:rFonts w:cs="仿宋_GB2312"/>
          <w:color w:val="000000" w:themeColor="text1"/>
          <w:szCs w:val="28"/>
          <w14:textFill>
            <w14:solidFill>
              <w14:schemeClr w14:val="tx1"/>
            </w14:solidFill>
          </w14:textFill>
        </w:rPr>
      </w:pPr>
      <w:bookmarkStart w:id="5" w:name="_Hlk47990998"/>
      <w:r>
        <w:rPr>
          <w:rFonts w:hint="eastAsia" w:cs="仿宋_GB2312"/>
          <w:color w:val="000000" w:themeColor="text1"/>
          <w:szCs w:val="28"/>
          <w14:textFill>
            <w14:solidFill>
              <w14:schemeClr w14:val="tx1"/>
            </w14:solidFill>
          </w14:textFill>
        </w:rPr>
        <w:t>“十四五”时期，是乘势而上开启全面建设社会主义现代化国家新征程的起步期，发展机遇和挑战面临新的变化，要在危机中育先机、于变局中开新局，抢抓机遇，应对挑战。</w:t>
      </w:r>
    </w:p>
    <w:p w14:paraId="14AEE9A3">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中华民族伟大复兴战略全局和世界百年未有之大变局。</w:t>
      </w:r>
      <w:r>
        <w:rPr>
          <w:rFonts w:hint="eastAsia" w:cs="仿宋_GB2312"/>
          <w:color w:val="000000" w:themeColor="text1"/>
          <w:szCs w:val="28"/>
          <w14:textFill>
            <w14:solidFill>
              <w14:schemeClr w14:val="tx1"/>
            </w14:solidFill>
          </w14:textFill>
        </w:rPr>
        <w:t>国际环境日趋复杂，不稳定性不确定性明显增强，国际上在政治、经济、科技、贸易、气候变化等问题上的看法越来越分化，国际战略格局深度调整，中美战略博弈尤为激烈，全球秩序重塑伴随失序无序风险，单边主义、保护主义抬头。面对错综复杂的国际形势和突如其来的新冠肺炎疫情考验，中国的综合国力、生产力水平、经济实力、工业化程度都实现了历史阶段性的飞跃，我国开启全面建设社会主义现代化国家新征程。</w:t>
      </w:r>
    </w:p>
    <w:p w14:paraId="642C1E13">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我国构建双循环的新发展格局。</w:t>
      </w:r>
      <w:r>
        <w:rPr>
          <w:rFonts w:hint="eastAsia" w:cs="仿宋_GB2312"/>
          <w:color w:val="000000" w:themeColor="text1"/>
          <w:szCs w:val="28"/>
          <w14:textFill>
            <w14:solidFill>
              <w14:schemeClr w14:val="tx1"/>
            </w14:solidFill>
          </w14:textFill>
        </w:rPr>
        <w:t>构建以国内大循环为主体、国内国际双循环相互促进的新发展格局将立足于内需，着力打通生产、分配、流通、消费各个环节；立足于提升自主</w:t>
      </w:r>
      <w:r>
        <w:rPr>
          <w:rFonts w:hint="eastAsia" w:cs="仿宋_GB2312"/>
          <w:color w:val="000000" w:themeColor="text1"/>
          <w:szCs w:val="28"/>
          <w:lang w:eastAsia="zh-CN"/>
          <w14:textFill>
            <w14:solidFill>
              <w14:schemeClr w14:val="tx1"/>
            </w14:solidFill>
          </w14:textFill>
        </w:rPr>
        <w:t>创新能力</w:t>
      </w:r>
      <w:r>
        <w:rPr>
          <w:rFonts w:hint="eastAsia" w:cs="仿宋_GB2312"/>
          <w:color w:val="000000" w:themeColor="text1"/>
          <w:szCs w:val="28"/>
          <w14:textFill>
            <w14:solidFill>
              <w14:schemeClr w14:val="tx1"/>
            </w14:solidFill>
          </w14:textFill>
        </w:rPr>
        <w:t>，在关键环节、关键领域、关键产品方面实现更多更大新突破，解决人民日益增长的美好生活需要和不平衡不充分的发展之间的矛盾；立足于开放合作，促进国际创新链、产业链良性循环，为经济高质量发展赋能。</w:t>
      </w:r>
    </w:p>
    <w:p w14:paraId="43D0DF57">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湖南大力实施“三高四新”战略</w:t>
      </w:r>
      <w:r>
        <w:rPr>
          <w:rFonts w:hint="eastAsia" w:ascii="楷体_GB2312" w:hAnsi="楷体_GB2312" w:eastAsia="楷体_GB2312" w:cs="楷体_GB2312"/>
          <w:b/>
          <w:bCs/>
          <w:szCs w:val="28"/>
          <w:lang w:val="en-US" w:eastAsia="zh-CN"/>
        </w:rPr>
        <w:t>定位和使命任务</w:t>
      </w:r>
      <w:r>
        <w:rPr>
          <w:rFonts w:hint="eastAsia" w:ascii="楷体_GB2312" w:hAnsi="楷体_GB2312" w:eastAsia="楷体_GB2312" w:cs="楷体_GB2312"/>
          <w:b/>
          <w:bCs/>
          <w:szCs w:val="28"/>
        </w:rPr>
        <w:t>。</w:t>
      </w:r>
      <w:r>
        <w:rPr>
          <w:rFonts w:hint="eastAsia" w:cs="仿宋_GB2312"/>
          <w:color w:val="000000" w:themeColor="text1"/>
          <w:szCs w:val="28"/>
          <w14:textFill>
            <w14:solidFill>
              <w14:schemeClr w14:val="tx1"/>
            </w14:solidFill>
          </w14:textFill>
        </w:rPr>
        <w:t>我省将继续坚持创新引领开放崛起，着力打造国家重要先进制造业、具有核心竞争力的科技创新、内陆地区改革开放的“三个高地”，要在推动高质量发展上闯出新路子，在构建新发展格局中展现新作为，在推动中部地区崛起和长江经济带发展中彰显新担当的全新使命，2020年获批“中国</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湖南</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自由贸易试验区”。</w:t>
      </w:r>
    </w:p>
    <w:p w14:paraId="57C96D64">
      <w:pPr>
        <w:pStyle w:val="57"/>
        <w:keepNext w:val="0"/>
        <w:keepLines w:val="0"/>
        <w:pageBreakBefore w:val="0"/>
        <w:widowControl w:val="0"/>
        <w:kinsoku/>
        <w:wordWrap w:val="0"/>
        <w:overflowPunct/>
        <w:topLinePunct/>
        <w:autoSpaceDE/>
        <w:autoSpaceDN/>
        <w:bidi w:val="0"/>
        <w:adjustRightInd/>
        <w:snapToGrid/>
        <w:spacing w:line="614" w:lineRule="exact"/>
        <w:ind w:firstLine="643"/>
        <w:textAlignment w:val="auto"/>
        <w:rPr>
          <w:rFonts w:hint="eastAsia" w:cs="仿宋_GB2312"/>
          <w:color w:val="000000" w:themeColor="text1"/>
          <w:szCs w:val="28"/>
          <w:lang w:val="en-US" w:eastAsia="zh-CN"/>
          <w14:textFill>
            <w14:solidFill>
              <w14:schemeClr w14:val="tx1"/>
            </w14:solidFill>
          </w14:textFill>
        </w:rPr>
      </w:pPr>
      <w:r>
        <w:rPr>
          <w:rFonts w:hint="eastAsia" w:ascii="楷体_GB2312" w:hAnsi="楷体_GB2312" w:eastAsia="楷体_GB2312" w:cs="楷体_GB2312"/>
          <w:b/>
          <w:bCs/>
          <w:szCs w:val="28"/>
          <w:lang w:val="en-US" w:eastAsia="zh-CN"/>
        </w:rPr>
        <w:t>郴州明确全力打造“一极六区”总战略</w:t>
      </w:r>
      <w:r>
        <w:rPr>
          <w:rFonts w:hint="eastAsia" w:ascii="楷体_GB2312" w:hAnsi="楷体_GB2312" w:eastAsia="楷体_GB2312" w:cs="楷体_GB2312"/>
          <w:b/>
          <w:bCs/>
          <w:szCs w:val="28"/>
        </w:rPr>
        <w:t>。</w:t>
      </w:r>
      <w:r>
        <w:rPr>
          <w:rFonts w:hint="eastAsia" w:cs="仿宋_GB2312"/>
          <w:color w:val="000000" w:themeColor="text1"/>
          <w:szCs w:val="28"/>
          <w14:textFill>
            <w14:solidFill>
              <w14:schemeClr w14:val="tx1"/>
            </w14:solidFill>
          </w14:textFill>
        </w:rPr>
        <w:t>郴州市</w:t>
      </w:r>
      <w:r>
        <w:rPr>
          <w:rFonts w:hint="eastAsia" w:cs="仿宋_GB2312"/>
          <w:color w:val="000000" w:themeColor="text1"/>
          <w:szCs w:val="28"/>
          <w:lang w:val="en-US" w:eastAsia="zh-CN"/>
          <w14:textFill>
            <w14:solidFill>
              <w14:schemeClr w14:val="tx1"/>
            </w14:solidFill>
          </w14:textFill>
        </w:rPr>
        <w:t>第六次党代会明确指出了“十四五”期间的总战略</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lang w:val="en-US" w:eastAsia="zh-CN"/>
          <w14:textFill>
            <w14:solidFill>
              <w14:schemeClr w14:val="tx1"/>
            </w14:solidFill>
          </w14:textFill>
        </w:rPr>
        <w:t>要充分发挥湖南“南大门”的区位优势，将郴州打造成国家可持续发展议程创新示范区、开放度更高的自由贸易试验区、资源型产业转型升级示范区、传承红色基因推动绿色发展示范区、湘南湘西承接产业转移示范区、湘赣边区域合作示范区。</w:t>
      </w:r>
    </w:p>
    <w:p w14:paraId="082D2DF2">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hint="eastAsia"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我县坚持“五个临武”发展战略推动高质量发展</w:t>
      </w:r>
      <w:r>
        <w:rPr>
          <w:rFonts w:hint="eastAsia" w:cs="仿宋_GB2312"/>
          <w:color w:val="000000" w:themeColor="text1"/>
          <w:szCs w:val="28"/>
          <w14:textFill>
            <w14:solidFill>
              <w14:schemeClr w14:val="tx1"/>
            </w14:solidFill>
          </w14:textFill>
        </w:rPr>
        <w:t>。我县积极落实省委“三高四新”</w:t>
      </w:r>
      <w:r>
        <w:rPr>
          <w:rFonts w:hint="eastAsia" w:cs="仿宋_GB2312"/>
          <w:color w:val="000000" w:themeColor="text1"/>
          <w:szCs w:val="28"/>
          <w:lang w:val="en-US" w:eastAsia="zh-CN"/>
          <w14:textFill>
            <w14:solidFill>
              <w14:schemeClr w14:val="tx1"/>
            </w14:solidFill>
          </w14:textFill>
        </w:rPr>
        <w:t>战略定位和使命任务</w:t>
      </w:r>
      <w:r>
        <w:rPr>
          <w:rFonts w:hint="eastAsia" w:cs="仿宋_GB2312"/>
          <w:color w:val="000000" w:themeColor="text1"/>
          <w:szCs w:val="28"/>
          <w14:textFill>
            <w14:solidFill>
              <w14:schemeClr w14:val="tx1"/>
            </w14:solidFill>
          </w14:textFill>
        </w:rPr>
        <w:t>、市委“一极六区”战略部署，加快实施“五个临武”发展战略，突出推动高质量发展主题，积极开展“七大创建行动”，把临武打造成郴州“一极”的先行区，“六区”的重要增长极，努力建设实力强劲、开放创新、绿色生态、民主法治、社会和谐的现代化新临武。</w:t>
      </w:r>
    </w:p>
    <w:p w14:paraId="5D2C9314">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hint="eastAsia" w:cs="仿宋_GB2312"/>
          <w:color w:val="000000" w:themeColor="text1"/>
          <w:szCs w:val="28"/>
          <w14:textFill>
            <w14:solidFill>
              <w14:schemeClr w14:val="tx1"/>
            </w14:solidFill>
          </w14:textFill>
        </w:rPr>
      </w:pPr>
    </w:p>
    <w:p w14:paraId="314533F8">
      <w:pPr>
        <w:pStyle w:val="4"/>
        <w:keepNext w:val="0"/>
        <w:keepLines w:val="0"/>
        <w:pageBreakBefore w:val="0"/>
        <w:widowControl w:val="0"/>
        <w:kinsoku/>
        <w:wordWrap w:val="0"/>
        <w:overflowPunct/>
        <w:topLinePunct/>
        <w:autoSpaceDE/>
        <w:autoSpaceDN/>
        <w:bidi w:val="0"/>
        <w:adjustRightInd/>
        <w:snapToGrid/>
        <w:spacing w:before="0" w:after="0" w:line="580" w:lineRule="exact"/>
        <w:textAlignment w:val="auto"/>
        <w:rPr>
          <w:rFonts w:hint="eastAsia" w:ascii="方正大标宋简体" w:hAnsi="方正大标宋简体" w:eastAsia="方正大标宋简体" w:cs="方正大标宋简体"/>
          <w:sz w:val="36"/>
          <w:szCs w:val="36"/>
        </w:rPr>
      </w:pPr>
      <w:bookmarkStart w:id="6" w:name="_Toc59639449"/>
      <w:bookmarkEnd w:id="6"/>
      <w:bookmarkStart w:id="7" w:name="_Toc59530240"/>
      <w:bookmarkEnd w:id="7"/>
      <w:bookmarkStart w:id="8" w:name="_Toc59639450"/>
      <w:bookmarkEnd w:id="8"/>
      <w:bookmarkStart w:id="9" w:name="_Toc59639634"/>
      <w:bookmarkEnd w:id="9"/>
      <w:bookmarkStart w:id="10" w:name="_Toc59648589"/>
      <w:bookmarkEnd w:id="10"/>
      <w:bookmarkStart w:id="11" w:name="_Toc59639262"/>
      <w:bookmarkEnd w:id="11"/>
      <w:bookmarkStart w:id="12" w:name="_Toc59648588"/>
      <w:bookmarkEnd w:id="12"/>
      <w:bookmarkStart w:id="13" w:name="_Toc59639448"/>
      <w:bookmarkEnd w:id="13"/>
      <w:bookmarkStart w:id="14" w:name="_Toc59530238"/>
      <w:bookmarkEnd w:id="14"/>
      <w:bookmarkStart w:id="15" w:name="_Toc59648587"/>
      <w:bookmarkEnd w:id="15"/>
      <w:bookmarkStart w:id="16" w:name="_Toc59634739"/>
      <w:bookmarkEnd w:id="16"/>
      <w:bookmarkStart w:id="17" w:name="_Toc59634740"/>
      <w:bookmarkEnd w:id="17"/>
      <w:bookmarkStart w:id="18" w:name="_Toc59639264"/>
      <w:bookmarkEnd w:id="18"/>
      <w:bookmarkStart w:id="19" w:name="_Toc59639263"/>
      <w:bookmarkEnd w:id="19"/>
      <w:bookmarkStart w:id="20" w:name="_Toc59639636"/>
      <w:bookmarkEnd w:id="20"/>
      <w:bookmarkStart w:id="21" w:name="_Toc59639635"/>
      <w:bookmarkEnd w:id="21"/>
      <w:bookmarkStart w:id="22" w:name="_Toc59634738"/>
      <w:bookmarkEnd w:id="22"/>
      <w:bookmarkStart w:id="23" w:name="_Toc59530239"/>
      <w:bookmarkEnd w:id="23"/>
      <w:bookmarkStart w:id="24" w:name="_Toc88315700"/>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指导思想和基本原则</w:t>
      </w:r>
      <w:bookmarkEnd w:id="24"/>
    </w:p>
    <w:p w14:paraId="5BC4AB6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25" w:name="_Toc88315701"/>
      <w:r>
        <w:rPr>
          <w:rFonts w:hint="eastAsia" w:ascii="黑体" w:hAnsi="黑体" w:eastAsia="黑体" w:cs="黑体"/>
          <w:b w:val="0"/>
          <w:bCs w:val="0"/>
          <w:color w:val="000000" w:themeColor="text1"/>
          <w:szCs w:val="28"/>
          <w14:textFill>
            <w14:solidFill>
              <w14:schemeClr w14:val="tx1"/>
            </w14:solidFill>
          </w14:textFill>
        </w:rPr>
        <w:t>第一节  指导思想</w:t>
      </w:r>
      <w:bookmarkEnd w:id="25"/>
    </w:p>
    <w:p w14:paraId="43B57EAD">
      <w:pPr>
        <w:pStyle w:val="57"/>
        <w:keepNext w:val="0"/>
        <w:keepLines w:val="0"/>
        <w:pageBreakBefore w:val="0"/>
        <w:widowControl w:val="0"/>
        <w:kinsoku/>
        <w:wordWrap w:val="0"/>
        <w:overflowPunct/>
        <w:topLinePunct/>
        <w:autoSpaceDE/>
        <w:autoSpaceDN/>
        <w:bidi w:val="0"/>
        <w:adjustRightInd/>
        <w:snapToGrid/>
        <w:spacing w:line="55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五位一体”总体布局，协调推进“四个全面”战略布局，以习近平总书记考察湖南、考察郴州重要讲话</w:t>
      </w:r>
      <w:r>
        <w:rPr>
          <w:rFonts w:hint="eastAsia" w:cs="仿宋_GB2312"/>
          <w:color w:val="000000" w:themeColor="text1"/>
          <w:szCs w:val="28"/>
          <w:lang w:val="en-US" w:eastAsia="zh-CN"/>
          <w14:textFill>
            <w14:solidFill>
              <w14:schemeClr w14:val="tx1"/>
            </w14:solidFill>
          </w14:textFill>
        </w:rPr>
        <w:t>和重要</w:t>
      </w:r>
      <w:r>
        <w:rPr>
          <w:rFonts w:hint="eastAsia" w:cs="仿宋_GB2312"/>
          <w:color w:val="000000" w:themeColor="text1"/>
          <w:szCs w:val="28"/>
          <w14:textFill>
            <w14:solidFill>
              <w14:schemeClr w14:val="tx1"/>
            </w14:solidFill>
          </w14:textFill>
        </w:rPr>
        <w:t>指示精神为根本遵循和行动指南，坚定不移贯彻新发展理念，坚持稳中求进工作总基调，以推进高质量发展为主题，以深化供给侧结构性改革为主线，强化需求侧管理，以改革创新为根本动力，以满足人民日益增长的美好生活需要为根本</w:t>
      </w:r>
      <w:r>
        <w:rPr>
          <w:rFonts w:hint="eastAsia" w:cs="仿宋_GB2312"/>
          <w:color w:val="auto"/>
          <w:szCs w:val="28"/>
        </w:rPr>
        <w:t>目的，统筹发展和安全，推进治理体系和治理能力现代化，全面落实省委“三高四新”</w:t>
      </w:r>
      <w:r>
        <w:rPr>
          <w:rFonts w:hint="eastAsia" w:cs="仿宋_GB2312"/>
          <w:color w:val="auto"/>
          <w:szCs w:val="28"/>
          <w:lang w:val="en-US" w:eastAsia="zh-CN"/>
        </w:rPr>
        <w:t>战略定位和使命任务</w:t>
      </w:r>
      <w:r>
        <w:rPr>
          <w:rFonts w:hint="eastAsia" w:cs="仿宋_GB2312"/>
          <w:color w:val="auto"/>
          <w:szCs w:val="28"/>
        </w:rPr>
        <w:t>、市委“一极六区”战略，深入实施“五个临武”发展战略，凝聚全县智慧力量，提振干</w:t>
      </w:r>
      <w:bookmarkStart w:id="202" w:name="_GoBack"/>
      <w:bookmarkEnd w:id="202"/>
      <w:r>
        <w:rPr>
          <w:rFonts w:hint="eastAsia" w:cs="仿宋_GB2312"/>
          <w:color w:val="auto"/>
          <w:szCs w:val="28"/>
        </w:rPr>
        <w:t>事创业精气神，奋力谱写新时代临武现代化建设新篇章。</w:t>
      </w:r>
    </w:p>
    <w:p w14:paraId="30FFDAA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26" w:name="_Toc88315702"/>
      <w:r>
        <w:rPr>
          <w:rFonts w:hint="eastAsia" w:ascii="黑体" w:hAnsi="黑体" w:eastAsia="黑体" w:cs="黑体"/>
          <w:b w:val="0"/>
          <w:bCs w:val="0"/>
          <w:color w:val="000000" w:themeColor="text1"/>
          <w:szCs w:val="28"/>
          <w14:textFill>
            <w14:solidFill>
              <w14:schemeClr w14:val="tx1"/>
            </w14:solidFill>
          </w14:textFill>
        </w:rPr>
        <w:t>第二节  基本原则</w:t>
      </w:r>
      <w:bookmarkEnd w:id="26"/>
    </w:p>
    <w:p w14:paraId="3F2ECFA3">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坚持党的全面领导。</w:t>
      </w:r>
      <w:r>
        <w:rPr>
          <w:rFonts w:hint="eastAsia" w:cs="仿宋_GB2312"/>
          <w:color w:val="000000" w:themeColor="text1"/>
          <w:szCs w:val="28"/>
          <w14:textFill>
            <w14:solidFill>
              <w14:schemeClr w14:val="tx1"/>
            </w14:solidFill>
          </w14:textFill>
        </w:rPr>
        <w:t>坚持党领导经济社会发展的体制机制，增强“四个意识”、坚定“四个自信”、做到“两个维护”，不断提高贯彻新发展理念、构建新发展格局能力和水平，为实现高质量发展提供根本保证。</w:t>
      </w:r>
    </w:p>
    <w:p w14:paraId="3FD9B761">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坚持以人民为中心。</w:t>
      </w:r>
      <w:r>
        <w:rPr>
          <w:rFonts w:hint="eastAsia" w:cs="仿宋_GB2312"/>
          <w:color w:val="000000" w:themeColor="text1"/>
          <w:szCs w:val="28"/>
          <w14:textFill>
            <w14:solidFill>
              <w14:schemeClr w14:val="tx1"/>
            </w14:solidFill>
          </w14:textFill>
        </w:rPr>
        <w:t>坚持人民主体地位，坚持共同富裕方向，始终做到发展为了人民、发展依靠人民、发展成果由人民共享，维护人民根本利益，激发全体人民积极性、主动性、创造性，促进社会公平，增进民生福祉，不断增强人民群众获得感、幸福感、安全感。</w:t>
      </w:r>
    </w:p>
    <w:p w14:paraId="7688779C">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坚持新发展理念。</w:t>
      </w:r>
      <w:r>
        <w:rPr>
          <w:rFonts w:hint="eastAsia" w:cs="仿宋_GB2312"/>
          <w:color w:val="000000" w:themeColor="text1"/>
          <w:szCs w:val="28"/>
          <w14:textFill>
            <w14:solidFill>
              <w14:schemeClr w14:val="tx1"/>
            </w14:solidFill>
          </w14:textFill>
        </w:rPr>
        <w:t>把创新、协调、绿色、开放、共享的新发展理念贯穿发展全过程和各领域，融入新发展格局，转变发展方式，推动人与自然和谐、城乡一体化发展，实现更高质量、更有效率、更加公平、更可持续、更为安全的发展。</w:t>
      </w:r>
    </w:p>
    <w:p w14:paraId="15295D9A">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坚持深化改革开放。</w:t>
      </w:r>
      <w:r>
        <w:rPr>
          <w:rFonts w:hint="eastAsia" w:cs="仿宋_GB2312"/>
          <w:color w:val="000000" w:themeColor="text1"/>
          <w:szCs w:val="28"/>
          <w14:textFill>
            <w14:solidFill>
              <w14:schemeClr w14:val="tx1"/>
            </w14:solidFill>
          </w14:textFill>
        </w:rPr>
        <w:t>坚定不移推进改革开放，加强治理体系和治理能力现代化建设，破除制约高质量发展、高品质生活的体制机制障碍。推动供给侧和需求侧机构性改革，加快建设现代化经济体系，激发市场主体活力，加快政府职能转变。坚持对外开放与对内合作并重，推动立体全面开放和多层次、宽领域合作，形成新时代开放新格局。</w:t>
      </w:r>
    </w:p>
    <w:p w14:paraId="0B1B35CE">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auto"/>
          <w:szCs w:val="28"/>
        </w:rPr>
      </w:pPr>
      <w:r>
        <w:rPr>
          <w:rFonts w:hint="eastAsia" w:ascii="楷体_GB2312" w:hAnsi="楷体_GB2312" w:eastAsia="楷体_GB2312" w:cs="楷体_GB2312"/>
          <w:b/>
          <w:bCs/>
          <w:color w:val="000000"/>
          <w:szCs w:val="28"/>
        </w:rPr>
        <w:t>坚持系统观念。</w:t>
      </w:r>
      <w:r>
        <w:rPr>
          <w:rFonts w:hint="eastAsia" w:cs="仿宋_GB2312"/>
          <w:color w:val="000000" w:themeColor="text1"/>
          <w:szCs w:val="28"/>
          <w14:textFill>
            <w14:solidFill>
              <w14:schemeClr w14:val="tx1"/>
            </w14:solidFill>
          </w14:textFill>
        </w:rPr>
        <w:t>加强前瞻性思考、全局性谋划、战略性布局、整体性推进，办好发展安全两件大事，积极融入“双循环”新发展</w:t>
      </w:r>
      <w:r>
        <w:rPr>
          <w:rFonts w:hint="eastAsia" w:cs="仿宋_GB2312"/>
          <w:color w:val="auto"/>
          <w:szCs w:val="28"/>
        </w:rPr>
        <w:t>格局，发挥各方面积极性，着力固根基、扬优势、补短板、强弱项，注重防范化解重大风险挑战，实现发展质量、结构、规模、速度、效益、安全相统一。</w:t>
      </w:r>
    </w:p>
    <w:p w14:paraId="15D62BE3">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hint="eastAsia" w:cs="仿宋_GB2312"/>
          <w:color w:val="auto"/>
          <w:szCs w:val="28"/>
        </w:rPr>
      </w:pPr>
      <w:r>
        <w:rPr>
          <w:rFonts w:hint="eastAsia" w:ascii="楷体_GB2312" w:hAnsi="楷体_GB2312" w:eastAsia="楷体_GB2312" w:cs="楷体_GB2312"/>
          <w:b/>
          <w:bCs/>
          <w:color w:val="auto"/>
          <w:szCs w:val="28"/>
        </w:rPr>
        <w:t>坚持目标引领。</w:t>
      </w:r>
      <w:r>
        <w:rPr>
          <w:rFonts w:hint="eastAsia" w:cs="仿宋_GB2312"/>
          <w:color w:val="auto"/>
          <w:szCs w:val="28"/>
        </w:rPr>
        <w:t>牢记习近平总书记嘱托，聚焦“三个高地”定位和“四新”使命，大力实施“三高四新”战略</w:t>
      </w:r>
      <w:r>
        <w:rPr>
          <w:rFonts w:hint="eastAsia" w:cs="仿宋_GB2312"/>
          <w:color w:val="auto"/>
          <w:szCs w:val="28"/>
          <w:lang w:val="en-US" w:eastAsia="zh-CN"/>
        </w:rPr>
        <w:t>定位和使命任务</w:t>
      </w:r>
      <w:r>
        <w:rPr>
          <w:rFonts w:hint="eastAsia" w:cs="仿宋_GB2312"/>
          <w:color w:val="auto"/>
          <w:szCs w:val="28"/>
        </w:rPr>
        <w:t>，打造“一极”先行区，“六区”增长极，系统设计、统筹推进、精准施策、务求实效，努力建设实力强劲、开放创新、绿色生态、民主法治、社会和谐的现代化新临武。</w:t>
      </w:r>
    </w:p>
    <w:p w14:paraId="0FFE0150">
      <w:pPr>
        <w:pStyle w:val="57"/>
        <w:keepNext w:val="0"/>
        <w:keepLines w:val="0"/>
        <w:pageBreakBefore w:val="0"/>
        <w:widowControl w:val="0"/>
        <w:kinsoku/>
        <w:wordWrap w:val="0"/>
        <w:overflowPunct/>
        <w:topLinePunct/>
        <w:autoSpaceDE/>
        <w:autoSpaceDN/>
        <w:bidi w:val="0"/>
        <w:spacing w:line="600" w:lineRule="exact"/>
        <w:ind w:firstLine="643"/>
        <w:rPr>
          <w:rFonts w:hint="eastAsia" w:cs="仿宋_GB2312"/>
          <w:color w:val="000000" w:themeColor="text1"/>
          <w:szCs w:val="28"/>
          <w14:textFill>
            <w14:solidFill>
              <w14:schemeClr w14:val="tx1"/>
            </w14:solidFill>
          </w14:textFill>
        </w:rPr>
      </w:pPr>
    </w:p>
    <w:p w14:paraId="56F78CB7">
      <w:pPr>
        <w:pStyle w:val="4"/>
        <w:keepNext w:val="0"/>
        <w:keepLines w:val="0"/>
        <w:pageBreakBefore w:val="0"/>
        <w:widowControl w:val="0"/>
        <w:kinsoku/>
        <w:wordWrap w:val="0"/>
        <w:overflowPunct/>
        <w:topLinePunct/>
        <w:autoSpaceDE/>
        <w:autoSpaceDN/>
        <w:bidi w:val="0"/>
        <w:adjustRightInd/>
        <w:snapToGrid/>
        <w:spacing w:before="0" w:after="0" w:line="600" w:lineRule="exact"/>
        <w:ind w:left="0" w:firstLine="0"/>
        <w:textAlignment w:val="auto"/>
        <w:rPr>
          <w:rFonts w:hint="eastAsia" w:ascii="方正大标宋简体" w:hAnsi="方正大标宋简体" w:eastAsia="方正大标宋简体" w:cs="方正大标宋简体"/>
          <w:sz w:val="36"/>
          <w:szCs w:val="36"/>
        </w:rPr>
      </w:pPr>
      <w:bookmarkStart w:id="27" w:name="_Toc88315703"/>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发展目标</w:t>
      </w:r>
      <w:bookmarkEnd w:id="27"/>
    </w:p>
    <w:p w14:paraId="40BF9507">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28" w:name="_Toc88315704"/>
      <w:r>
        <w:rPr>
          <w:rFonts w:hint="eastAsia" w:ascii="黑体" w:hAnsi="黑体" w:eastAsia="黑体" w:cs="黑体"/>
          <w:b w:val="0"/>
          <w:bCs w:val="0"/>
          <w:color w:val="000000" w:themeColor="text1"/>
          <w:szCs w:val="28"/>
          <w14:textFill>
            <w14:solidFill>
              <w14:schemeClr w14:val="tx1"/>
            </w14:solidFill>
          </w14:textFill>
        </w:rPr>
        <w:t>第一节  二</w:t>
      </w:r>
      <w:r>
        <w:rPr>
          <w:rFonts w:hint="eastAsia" w:ascii="黑体" w:hAnsi="黑体" w:eastAsia="黑体" w:cs="黑体"/>
          <w:b w:val="0"/>
          <w:bCs w:val="0"/>
          <w:color w:val="000000" w:themeColor="text1"/>
          <w:szCs w:val="28"/>
          <w:lang w:eastAsia="zh-CN"/>
          <w14:textFill>
            <w14:solidFill>
              <w14:schemeClr w14:val="tx1"/>
            </w14:solidFill>
          </w14:textFill>
        </w:rPr>
        <w:t>○</w:t>
      </w:r>
      <w:r>
        <w:rPr>
          <w:rFonts w:hint="eastAsia" w:ascii="黑体" w:hAnsi="黑体" w:eastAsia="黑体" w:cs="黑体"/>
          <w:b w:val="0"/>
          <w:bCs w:val="0"/>
          <w:color w:val="000000" w:themeColor="text1"/>
          <w:szCs w:val="28"/>
          <w14:textFill>
            <w14:solidFill>
              <w14:schemeClr w14:val="tx1"/>
            </w14:solidFill>
          </w14:textFill>
        </w:rPr>
        <w:t>三五年远景目标</w:t>
      </w:r>
      <w:bookmarkEnd w:id="28"/>
    </w:p>
    <w:p w14:paraId="6CC32BE6">
      <w:pPr>
        <w:pStyle w:val="57"/>
        <w:keepNext w:val="0"/>
        <w:keepLines w:val="0"/>
        <w:pageBreakBefore w:val="0"/>
        <w:widowControl w:val="0"/>
        <w:kinsoku/>
        <w:wordWrap w:val="0"/>
        <w:overflowPunct/>
        <w:topLinePunct/>
        <w:autoSpaceDE/>
        <w:autoSpaceDN/>
        <w:bidi w:val="0"/>
        <w:adjustRightInd/>
        <w:snapToGrid/>
        <w:spacing w:line="63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到2035年，临武基本实现社会主义现代化，经济实力大幅跃升，居郴州发展前列，经济总量和城乡居民人均收入再迈上新的大台阶，人均地区生产总值达到中等发达国家水平。基本实现新型工业化、信息化、城镇化、农业现代化，建成现代化经济体系，形成对外开放新格局。人民生活更为宽裕、人居环境全面改善，城乡间实现一体化发展，基本公共服务实现均等化，生态环境全面好转，绿色生产生活方式广泛形成，人与自然和谐共生。实现社会治理体系和治理能力现代化，法治临武、法治政府、法治社会基本建成，人民平等参与、平等发展权利得到充分保障，国民素质和社会文明程度达到更高水平。</w:t>
      </w:r>
    </w:p>
    <w:p w14:paraId="480F167B">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29" w:name="_Toc88315705"/>
      <w:r>
        <w:rPr>
          <w:rFonts w:hint="eastAsia" w:ascii="黑体" w:hAnsi="黑体" w:eastAsia="黑体" w:cs="黑体"/>
          <w:b w:val="0"/>
          <w:bCs w:val="0"/>
          <w:color w:val="000000" w:themeColor="text1"/>
          <w:szCs w:val="28"/>
          <w14:textFill>
            <w14:solidFill>
              <w14:schemeClr w14:val="tx1"/>
            </w14:solidFill>
          </w14:textFill>
        </w:rPr>
        <w:t>第二节  “十四五”主要目标</w:t>
      </w:r>
      <w:bookmarkEnd w:id="29"/>
    </w:p>
    <w:p w14:paraId="4CC53155">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到2025年，临武综合发展水平在郴州实现跃升，成为郴州经济重要增长极，产业实现大跨越，六大产业和五个集聚区做大做强，产业集聚水平和创新能力不断提升，综合实力更强。协调发展水平更高，产业间、产城间、区域间、城乡间融合更好、互补性更强。绿色发展取得明显成效，水污染治理、矿山治理、土壤治理等全面推进，低碳生产生活方式逐步形成。社会治理体系进一步完善，法治体系基本建立。人民生活更美好，教育体育、医疗卫生、健康养老、社保住房等体系进一步完善，人民群众获得感、幸福感和安全感不断增强。</w:t>
      </w:r>
    </w:p>
    <w:p w14:paraId="2BF610BB">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临武县“十四五”时期经济社会发展目标</w:t>
      </w:r>
    </w:p>
    <w:tbl>
      <w:tblPr>
        <w:tblStyle w:val="29"/>
        <w:tblW w:w="51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4115"/>
        <w:gridCol w:w="1015"/>
        <w:gridCol w:w="1019"/>
        <w:gridCol w:w="960"/>
        <w:gridCol w:w="920"/>
      </w:tblGrid>
      <w:tr w14:paraId="27AB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388" w:type="pct"/>
            <w:shd w:val="clear" w:color="auto" w:fill="auto"/>
            <w:tcMar>
              <w:top w:w="0" w:type="dxa"/>
              <w:left w:w="0" w:type="dxa"/>
              <w:bottom w:w="0" w:type="dxa"/>
              <w:right w:w="0" w:type="dxa"/>
            </w:tcMar>
            <w:vAlign w:val="center"/>
          </w:tcPr>
          <w:p w14:paraId="3D580233">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类别</w:t>
            </w:r>
          </w:p>
        </w:tc>
        <w:tc>
          <w:tcPr>
            <w:tcW w:w="2363" w:type="pct"/>
            <w:shd w:val="clear" w:color="auto" w:fill="auto"/>
            <w:tcMar>
              <w:top w:w="0" w:type="dxa"/>
              <w:left w:w="0" w:type="dxa"/>
              <w:bottom w:w="0" w:type="dxa"/>
              <w:right w:w="0" w:type="dxa"/>
            </w:tcMar>
            <w:vAlign w:val="center"/>
          </w:tcPr>
          <w:p w14:paraId="0C3A931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w:t>
            </w:r>
          </w:p>
        </w:tc>
        <w:tc>
          <w:tcPr>
            <w:tcW w:w="583" w:type="pct"/>
            <w:shd w:val="clear" w:color="auto" w:fill="auto"/>
            <w:tcMar>
              <w:top w:w="0" w:type="dxa"/>
              <w:left w:w="0" w:type="dxa"/>
              <w:bottom w:w="0" w:type="dxa"/>
              <w:right w:w="0" w:type="dxa"/>
            </w:tcMar>
            <w:vAlign w:val="center"/>
          </w:tcPr>
          <w:p w14:paraId="43799AD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2020年</w:t>
            </w:r>
          </w:p>
        </w:tc>
        <w:tc>
          <w:tcPr>
            <w:tcW w:w="585" w:type="pct"/>
            <w:shd w:val="clear" w:color="auto" w:fill="auto"/>
            <w:tcMar>
              <w:top w:w="0" w:type="dxa"/>
              <w:left w:w="0" w:type="dxa"/>
              <w:bottom w:w="0" w:type="dxa"/>
              <w:right w:w="0" w:type="dxa"/>
            </w:tcMar>
            <w:vAlign w:val="center"/>
          </w:tcPr>
          <w:p w14:paraId="3755449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2025年</w:t>
            </w:r>
          </w:p>
        </w:tc>
        <w:tc>
          <w:tcPr>
            <w:tcW w:w="550" w:type="pct"/>
            <w:shd w:val="clear" w:color="auto" w:fill="auto"/>
            <w:tcMar>
              <w:top w:w="0" w:type="dxa"/>
              <w:left w:w="0" w:type="dxa"/>
              <w:bottom w:w="0" w:type="dxa"/>
              <w:right w:w="0" w:type="dxa"/>
            </w:tcMar>
            <w:vAlign w:val="center"/>
          </w:tcPr>
          <w:p w14:paraId="059C2788">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增长</w:t>
            </w:r>
          </w:p>
        </w:tc>
        <w:tc>
          <w:tcPr>
            <w:tcW w:w="528" w:type="pct"/>
            <w:shd w:val="clear" w:color="auto" w:fill="auto"/>
            <w:tcMar>
              <w:top w:w="0" w:type="dxa"/>
              <w:left w:w="0" w:type="dxa"/>
              <w:bottom w:w="0" w:type="dxa"/>
              <w:right w:w="0" w:type="dxa"/>
            </w:tcMar>
            <w:vAlign w:val="center"/>
          </w:tcPr>
          <w:p w14:paraId="619CD844">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属性</w:t>
            </w:r>
          </w:p>
        </w:tc>
      </w:tr>
      <w:tr w14:paraId="5446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8" w:type="pct"/>
            <w:vMerge w:val="restart"/>
            <w:shd w:val="clear" w:color="auto" w:fill="auto"/>
            <w:tcMar>
              <w:top w:w="0" w:type="dxa"/>
              <w:left w:w="0" w:type="dxa"/>
              <w:bottom w:w="0" w:type="dxa"/>
              <w:right w:w="0" w:type="dxa"/>
            </w:tcMar>
            <w:vAlign w:val="center"/>
          </w:tcPr>
          <w:p w14:paraId="523E975A">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w:t>
            </w:r>
          </w:p>
          <w:p w14:paraId="03CDC0CC">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发展</w:t>
            </w:r>
          </w:p>
        </w:tc>
        <w:tc>
          <w:tcPr>
            <w:tcW w:w="2363" w:type="pct"/>
            <w:shd w:val="clear" w:color="auto" w:fill="auto"/>
            <w:tcMar>
              <w:top w:w="0" w:type="dxa"/>
              <w:left w:w="0" w:type="dxa"/>
              <w:bottom w:w="0" w:type="dxa"/>
              <w:right w:w="0" w:type="dxa"/>
            </w:tcMar>
            <w:vAlign w:val="center"/>
          </w:tcPr>
          <w:p w14:paraId="4CC3EF77">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国内生产总值</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GDP</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06542308">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146</w:t>
            </w:r>
          </w:p>
        </w:tc>
        <w:tc>
          <w:tcPr>
            <w:tcW w:w="585" w:type="pct"/>
            <w:shd w:val="clear" w:color="auto" w:fill="auto"/>
            <w:tcMar>
              <w:top w:w="0" w:type="dxa"/>
              <w:left w:w="0" w:type="dxa"/>
              <w:bottom w:w="0" w:type="dxa"/>
              <w:right w:w="0" w:type="dxa"/>
            </w:tcMar>
            <w:vAlign w:val="center"/>
          </w:tcPr>
          <w:p w14:paraId="612481C4">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215</w:t>
            </w:r>
          </w:p>
        </w:tc>
        <w:tc>
          <w:tcPr>
            <w:tcW w:w="550" w:type="pct"/>
            <w:shd w:val="clear" w:color="auto" w:fill="auto"/>
            <w:tcMar>
              <w:top w:w="0" w:type="dxa"/>
              <w:left w:w="0" w:type="dxa"/>
              <w:bottom w:w="0" w:type="dxa"/>
              <w:right w:w="0" w:type="dxa"/>
            </w:tcMar>
            <w:vAlign w:val="center"/>
          </w:tcPr>
          <w:p w14:paraId="2490309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7.0以上</w:t>
            </w:r>
          </w:p>
        </w:tc>
        <w:tc>
          <w:tcPr>
            <w:tcW w:w="528" w:type="pct"/>
            <w:shd w:val="clear" w:color="auto" w:fill="auto"/>
            <w:tcMar>
              <w:top w:w="0" w:type="dxa"/>
              <w:left w:w="0" w:type="dxa"/>
              <w:bottom w:w="0" w:type="dxa"/>
              <w:right w:w="0" w:type="dxa"/>
            </w:tcMar>
            <w:vAlign w:val="center"/>
          </w:tcPr>
          <w:p w14:paraId="26004751">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7653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8" w:type="pct"/>
            <w:vMerge w:val="continue"/>
            <w:shd w:val="clear" w:color="auto" w:fill="auto"/>
            <w:tcMar>
              <w:top w:w="0" w:type="dxa"/>
              <w:left w:w="0" w:type="dxa"/>
              <w:bottom w:w="0" w:type="dxa"/>
              <w:right w:w="0" w:type="dxa"/>
            </w:tcMar>
            <w:vAlign w:val="center"/>
          </w:tcPr>
          <w:p w14:paraId="51923982">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0" w:type="dxa"/>
            </w:tcMar>
            <w:vAlign w:val="center"/>
          </w:tcPr>
          <w:p w14:paraId="6AAA286D">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制造业增加值占GDP比重</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1D03883E">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18.89</w:t>
            </w:r>
          </w:p>
        </w:tc>
        <w:tc>
          <w:tcPr>
            <w:tcW w:w="585" w:type="pct"/>
            <w:shd w:val="clear" w:color="auto" w:fill="auto"/>
            <w:tcMar>
              <w:top w:w="0" w:type="dxa"/>
              <w:left w:w="0" w:type="dxa"/>
              <w:bottom w:w="0" w:type="dxa"/>
              <w:right w:w="0" w:type="dxa"/>
            </w:tcMar>
            <w:vAlign w:val="center"/>
          </w:tcPr>
          <w:p w14:paraId="279D8AA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550" w:type="pct"/>
            <w:shd w:val="clear" w:color="auto" w:fill="auto"/>
            <w:tcMar>
              <w:top w:w="0" w:type="dxa"/>
              <w:left w:w="0" w:type="dxa"/>
              <w:bottom w:w="0" w:type="dxa"/>
              <w:right w:w="0" w:type="dxa"/>
            </w:tcMar>
            <w:vAlign w:val="center"/>
          </w:tcPr>
          <w:p w14:paraId="684D086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7A1A3D03">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r>
      <w:tr w14:paraId="6562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8" w:type="pct"/>
            <w:vMerge w:val="continue"/>
            <w:shd w:val="clear" w:color="auto" w:fill="auto"/>
            <w:tcMar>
              <w:top w:w="0" w:type="dxa"/>
              <w:left w:w="0" w:type="dxa"/>
              <w:bottom w:w="0" w:type="dxa"/>
              <w:right w:w="0" w:type="dxa"/>
            </w:tcMar>
            <w:vAlign w:val="center"/>
          </w:tcPr>
          <w:p w14:paraId="14C499A4">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0" w:type="dxa"/>
            </w:tcMar>
            <w:vAlign w:val="center"/>
          </w:tcPr>
          <w:p w14:paraId="25248381">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社会消费品零售总额</w:t>
            </w:r>
          </w:p>
        </w:tc>
        <w:tc>
          <w:tcPr>
            <w:tcW w:w="583" w:type="pct"/>
            <w:shd w:val="clear" w:color="auto" w:fill="auto"/>
            <w:tcMar>
              <w:top w:w="0" w:type="dxa"/>
              <w:left w:w="0" w:type="dxa"/>
              <w:bottom w:w="0" w:type="dxa"/>
              <w:right w:w="0" w:type="dxa"/>
            </w:tcMar>
            <w:vAlign w:val="center"/>
          </w:tcPr>
          <w:p w14:paraId="1AAD2574">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585" w:type="pct"/>
            <w:shd w:val="clear" w:color="auto" w:fill="auto"/>
            <w:tcMar>
              <w:top w:w="0" w:type="dxa"/>
              <w:left w:w="0" w:type="dxa"/>
              <w:bottom w:w="0" w:type="dxa"/>
              <w:right w:w="0" w:type="dxa"/>
            </w:tcMar>
            <w:vAlign w:val="center"/>
          </w:tcPr>
          <w:p w14:paraId="6FDEF1D9">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550" w:type="pct"/>
            <w:shd w:val="clear" w:color="auto" w:fill="auto"/>
            <w:tcMar>
              <w:top w:w="0" w:type="dxa"/>
              <w:left w:w="0" w:type="dxa"/>
              <w:bottom w:w="0" w:type="dxa"/>
              <w:right w:w="0" w:type="dxa"/>
            </w:tcMar>
            <w:vAlign w:val="center"/>
          </w:tcPr>
          <w:p w14:paraId="56A22638">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1C86C7C7">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7FEB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8" w:type="pct"/>
            <w:vMerge w:val="continue"/>
            <w:shd w:val="clear" w:color="auto" w:fill="auto"/>
            <w:tcMar>
              <w:top w:w="0" w:type="dxa"/>
              <w:left w:w="0" w:type="dxa"/>
              <w:bottom w:w="0" w:type="dxa"/>
              <w:right w:w="0" w:type="dxa"/>
            </w:tcMar>
            <w:vAlign w:val="center"/>
          </w:tcPr>
          <w:p w14:paraId="1AB0D733">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0" w:type="dxa"/>
            </w:tcMar>
            <w:vAlign w:val="center"/>
          </w:tcPr>
          <w:p w14:paraId="5B29A071">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常住人口城镇化率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7524289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50.9</w:t>
            </w:r>
          </w:p>
        </w:tc>
        <w:tc>
          <w:tcPr>
            <w:tcW w:w="585" w:type="pct"/>
            <w:shd w:val="clear" w:color="auto" w:fill="auto"/>
            <w:tcMar>
              <w:top w:w="0" w:type="dxa"/>
              <w:left w:w="0" w:type="dxa"/>
              <w:bottom w:w="0" w:type="dxa"/>
              <w:right w:w="0" w:type="dxa"/>
            </w:tcMar>
            <w:vAlign w:val="center"/>
          </w:tcPr>
          <w:p w14:paraId="2C427DB8">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550" w:type="pct"/>
            <w:shd w:val="clear" w:color="auto" w:fill="auto"/>
            <w:tcMar>
              <w:top w:w="0" w:type="dxa"/>
              <w:left w:w="0" w:type="dxa"/>
              <w:bottom w:w="0" w:type="dxa"/>
              <w:right w:w="0" w:type="dxa"/>
            </w:tcMar>
            <w:vAlign w:val="center"/>
          </w:tcPr>
          <w:p w14:paraId="495C650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019B5203">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5927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8" w:type="pct"/>
            <w:vMerge w:val="restart"/>
            <w:shd w:val="clear" w:color="auto" w:fill="auto"/>
            <w:tcMar>
              <w:top w:w="0" w:type="dxa"/>
              <w:left w:w="0" w:type="dxa"/>
              <w:bottom w:w="0" w:type="dxa"/>
              <w:right w:w="0" w:type="dxa"/>
            </w:tcMar>
            <w:vAlign w:val="center"/>
          </w:tcPr>
          <w:p w14:paraId="7D566A5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创新</w:t>
            </w:r>
          </w:p>
          <w:p w14:paraId="6362221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驱动</w:t>
            </w:r>
          </w:p>
        </w:tc>
        <w:tc>
          <w:tcPr>
            <w:tcW w:w="2363" w:type="pct"/>
            <w:shd w:val="clear" w:color="auto" w:fill="auto"/>
            <w:tcMar>
              <w:top w:w="0" w:type="dxa"/>
              <w:left w:w="0" w:type="dxa"/>
              <w:bottom w:w="0" w:type="dxa"/>
              <w:right w:w="0" w:type="dxa"/>
            </w:tcMar>
            <w:vAlign w:val="center"/>
          </w:tcPr>
          <w:p w14:paraId="124BE295">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研发经费投入占GDP比重</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25564F4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585" w:type="pct"/>
            <w:shd w:val="clear" w:color="auto" w:fill="auto"/>
            <w:tcMar>
              <w:top w:w="0" w:type="dxa"/>
              <w:left w:w="0" w:type="dxa"/>
              <w:bottom w:w="0" w:type="dxa"/>
              <w:right w:w="0" w:type="dxa"/>
            </w:tcMar>
            <w:vAlign w:val="center"/>
          </w:tcPr>
          <w:p w14:paraId="2161ECB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550" w:type="pct"/>
            <w:shd w:val="clear" w:color="auto" w:fill="auto"/>
            <w:tcMar>
              <w:top w:w="0" w:type="dxa"/>
              <w:left w:w="0" w:type="dxa"/>
              <w:bottom w:w="0" w:type="dxa"/>
              <w:right w:w="0" w:type="dxa"/>
            </w:tcMar>
            <w:vAlign w:val="center"/>
          </w:tcPr>
          <w:p w14:paraId="343A654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19853D21">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2373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8" w:type="pct"/>
            <w:vMerge w:val="continue"/>
            <w:shd w:val="clear" w:color="auto" w:fill="auto"/>
            <w:tcMar>
              <w:top w:w="0" w:type="dxa"/>
              <w:left w:w="0" w:type="dxa"/>
              <w:bottom w:w="0" w:type="dxa"/>
              <w:right w:w="0" w:type="dxa"/>
            </w:tcMar>
            <w:vAlign w:val="center"/>
          </w:tcPr>
          <w:p w14:paraId="5FA304D7">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0" w:type="dxa"/>
            </w:tcMar>
            <w:vAlign w:val="center"/>
          </w:tcPr>
          <w:p w14:paraId="3A42C8A1">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每万人口高价值发明专利拥有量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件</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5ABEB835">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585" w:type="pct"/>
            <w:shd w:val="clear" w:color="auto" w:fill="auto"/>
            <w:tcMar>
              <w:top w:w="0" w:type="dxa"/>
              <w:left w:w="0" w:type="dxa"/>
              <w:bottom w:w="0" w:type="dxa"/>
              <w:right w:w="0" w:type="dxa"/>
            </w:tcMar>
            <w:vAlign w:val="center"/>
          </w:tcPr>
          <w:p w14:paraId="297BF596">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550" w:type="pct"/>
            <w:shd w:val="clear" w:color="auto" w:fill="auto"/>
            <w:tcMar>
              <w:top w:w="0" w:type="dxa"/>
              <w:left w:w="0" w:type="dxa"/>
              <w:bottom w:w="0" w:type="dxa"/>
              <w:right w:w="0" w:type="dxa"/>
            </w:tcMar>
            <w:vAlign w:val="center"/>
          </w:tcPr>
          <w:p w14:paraId="510B2FB7">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_</w:t>
            </w:r>
          </w:p>
        </w:tc>
        <w:tc>
          <w:tcPr>
            <w:tcW w:w="528" w:type="pct"/>
            <w:shd w:val="clear" w:color="auto" w:fill="auto"/>
            <w:tcMar>
              <w:top w:w="0" w:type="dxa"/>
              <w:left w:w="0" w:type="dxa"/>
              <w:bottom w:w="0" w:type="dxa"/>
              <w:right w:w="0" w:type="dxa"/>
            </w:tcMar>
            <w:vAlign w:val="center"/>
          </w:tcPr>
          <w:p w14:paraId="523562C1">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6747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8" w:type="pct"/>
            <w:vMerge w:val="continue"/>
            <w:shd w:val="clear" w:color="auto" w:fill="auto"/>
            <w:tcMar>
              <w:top w:w="0" w:type="dxa"/>
              <w:left w:w="0" w:type="dxa"/>
              <w:bottom w:w="0" w:type="dxa"/>
              <w:right w:w="0" w:type="dxa"/>
            </w:tcMar>
            <w:vAlign w:val="center"/>
          </w:tcPr>
          <w:p w14:paraId="5A5442D2">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0" w:type="dxa"/>
            </w:tcMar>
            <w:vAlign w:val="center"/>
          </w:tcPr>
          <w:p w14:paraId="07E27264">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使用5G网络人口占比</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7B4F92DD">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14.5</w:t>
            </w:r>
          </w:p>
        </w:tc>
        <w:tc>
          <w:tcPr>
            <w:tcW w:w="585" w:type="pct"/>
            <w:shd w:val="clear" w:color="auto" w:fill="auto"/>
            <w:tcMar>
              <w:top w:w="0" w:type="dxa"/>
              <w:left w:w="0" w:type="dxa"/>
              <w:bottom w:w="0" w:type="dxa"/>
              <w:right w:w="0" w:type="dxa"/>
            </w:tcMar>
            <w:vAlign w:val="center"/>
          </w:tcPr>
          <w:p w14:paraId="6BB429E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550" w:type="pct"/>
            <w:shd w:val="clear" w:color="auto" w:fill="auto"/>
            <w:tcMar>
              <w:top w:w="0" w:type="dxa"/>
              <w:left w:w="0" w:type="dxa"/>
              <w:bottom w:w="0" w:type="dxa"/>
              <w:right w:w="0" w:type="dxa"/>
            </w:tcMar>
            <w:vAlign w:val="center"/>
          </w:tcPr>
          <w:p w14:paraId="63379A2A">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_</w:t>
            </w:r>
          </w:p>
        </w:tc>
        <w:tc>
          <w:tcPr>
            <w:tcW w:w="528" w:type="pct"/>
            <w:shd w:val="clear" w:color="auto" w:fill="auto"/>
            <w:tcMar>
              <w:top w:w="0" w:type="dxa"/>
              <w:left w:w="0" w:type="dxa"/>
              <w:bottom w:w="0" w:type="dxa"/>
              <w:right w:w="0" w:type="dxa"/>
            </w:tcMar>
            <w:vAlign w:val="center"/>
          </w:tcPr>
          <w:p w14:paraId="0F78514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3AE8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restart"/>
            <w:shd w:val="clear" w:color="auto" w:fill="auto"/>
            <w:tcMar>
              <w:top w:w="0" w:type="dxa"/>
              <w:left w:w="0" w:type="dxa"/>
              <w:bottom w:w="0" w:type="dxa"/>
              <w:right w:w="0" w:type="dxa"/>
            </w:tcMar>
            <w:vAlign w:val="center"/>
          </w:tcPr>
          <w:p w14:paraId="57F8A87F">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民生</w:t>
            </w:r>
          </w:p>
          <w:p w14:paraId="152B55DC">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福祉</w:t>
            </w:r>
          </w:p>
        </w:tc>
        <w:tc>
          <w:tcPr>
            <w:tcW w:w="2363" w:type="pct"/>
            <w:shd w:val="clear" w:color="auto" w:fill="auto"/>
            <w:tcMar>
              <w:top w:w="0" w:type="dxa"/>
              <w:left w:w="0" w:type="dxa"/>
              <w:bottom w:w="0" w:type="dxa"/>
              <w:right w:w="0" w:type="dxa"/>
            </w:tcMar>
            <w:vAlign w:val="center"/>
          </w:tcPr>
          <w:p w14:paraId="11BE080A">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城镇居民人均可支配收入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元</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3A4DC508">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31591</w:t>
            </w:r>
          </w:p>
        </w:tc>
        <w:tc>
          <w:tcPr>
            <w:tcW w:w="585" w:type="pct"/>
            <w:shd w:val="clear" w:color="auto" w:fill="auto"/>
            <w:tcMar>
              <w:top w:w="0" w:type="dxa"/>
              <w:left w:w="0" w:type="dxa"/>
              <w:bottom w:w="0" w:type="dxa"/>
              <w:right w:w="0" w:type="dxa"/>
            </w:tcMar>
            <w:vAlign w:val="center"/>
          </w:tcPr>
          <w:p w14:paraId="462C6775">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46000</w:t>
            </w:r>
          </w:p>
        </w:tc>
        <w:tc>
          <w:tcPr>
            <w:tcW w:w="550" w:type="pct"/>
            <w:shd w:val="clear" w:color="auto" w:fill="auto"/>
            <w:tcMar>
              <w:top w:w="0" w:type="dxa"/>
              <w:left w:w="0" w:type="dxa"/>
              <w:bottom w:w="0" w:type="dxa"/>
              <w:right w:w="0" w:type="dxa"/>
            </w:tcMar>
            <w:vAlign w:val="center"/>
          </w:tcPr>
          <w:p w14:paraId="40579CB8">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3ABCDACA">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6481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2B5F0C52">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0" w:type="dxa"/>
            </w:tcMar>
            <w:vAlign w:val="center"/>
          </w:tcPr>
          <w:p w14:paraId="3C619A08">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农村居民人均可支配收入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元</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29020ED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15378</w:t>
            </w:r>
          </w:p>
        </w:tc>
        <w:tc>
          <w:tcPr>
            <w:tcW w:w="585" w:type="pct"/>
            <w:shd w:val="clear" w:color="auto" w:fill="auto"/>
            <w:tcMar>
              <w:top w:w="0" w:type="dxa"/>
              <w:left w:w="0" w:type="dxa"/>
              <w:bottom w:w="0" w:type="dxa"/>
              <w:right w:w="0" w:type="dxa"/>
            </w:tcMar>
            <w:vAlign w:val="center"/>
          </w:tcPr>
          <w:p w14:paraId="0148AA53">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25000</w:t>
            </w:r>
          </w:p>
        </w:tc>
        <w:tc>
          <w:tcPr>
            <w:tcW w:w="550" w:type="pct"/>
            <w:shd w:val="clear" w:color="auto" w:fill="auto"/>
            <w:tcMar>
              <w:top w:w="0" w:type="dxa"/>
              <w:left w:w="0" w:type="dxa"/>
              <w:bottom w:w="0" w:type="dxa"/>
              <w:right w:w="0" w:type="dxa"/>
            </w:tcMar>
            <w:vAlign w:val="center"/>
          </w:tcPr>
          <w:p w14:paraId="1013619C">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752E572F">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r>
      <w:tr w14:paraId="7CD0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32A0593F">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sz w:val="24"/>
                <w:szCs w:val="24"/>
              </w:rPr>
            </w:pPr>
          </w:p>
        </w:tc>
        <w:tc>
          <w:tcPr>
            <w:tcW w:w="2363" w:type="pct"/>
            <w:shd w:val="clear" w:color="auto" w:fill="auto"/>
            <w:tcMar>
              <w:top w:w="0" w:type="dxa"/>
              <w:left w:w="0" w:type="dxa"/>
              <w:bottom w:w="0" w:type="dxa"/>
              <w:right w:w="0" w:type="dxa"/>
            </w:tcMar>
            <w:vAlign w:val="center"/>
          </w:tcPr>
          <w:p w14:paraId="06B98A7B">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城镇调查失业率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18C87B1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2.11</w:t>
            </w:r>
          </w:p>
        </w:tc>
        <w:tc>
          <w:tcPr>
            <w:tcW w:w="585" w:type="pct"/>
            <w:shd w:val="clear" w:color="auto" w:fill="auto"/>
            <w:tcMar>
              <w:top w:w="0" w:type="dxa"/>
              <w:left w:w="0" w:type="dxa"/>
              <w:bottom w:w="0" w:type="dxa"/>
              <w:right w:w="0" w:type="dxa"/>
            </w:tcMar>
            <w:vAlign w:val="center"/>
          </w:tcPr>
          <w:p w14:paraId="560B9DB9">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&lt;5.5</w:t>
            </w:r>
          </w:p>
        </w:tc>
        <w:tc>
          <w:tcPr>
            <w:tcW w:w="550" w:type="pct"/>
            <w:shd w:val="clear" w:color="auto" w:fill="auto"/>
            <w:tcMar>
              <w:top w:w="0" w:type="dxa"/>
              <w:left w:w="0" w:type="dxa"/>
              <w:bottom w:w="0" w:type="dxa"/>
              <w:right w:w="0" w:type="dxa"/>
            </w:tcMar>
            <w:vAlign w:val="center"/>
          </w:tcPr>
          <w:p w14:paraId="73D67A32">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528" w:type="pct"/>
            <w:shd w:val="clear" w:color="auto" w:fill="auto"/>
            <w:tcMar>
              <w:top w:w="0" w:type="dxa"/>
              <w:left w:w="0" w:type="dxa"/>
              <w:bottom w:w="0" w:type="dxa"/>
              <w:right w:w="0" w:type="dxa"/>
            </w:tcMar>
            <w:vAlign w:val="center"/>
          </w:tcPr>
          <w:p w14:paraId="1B309603">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7929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5966E66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sz w:val="24"/>
                <w:szCs w:val="24"/>
              </w:rPr>
            </w:pPr>
          </w:p>
        </w:tc>
        <w:tc>
          <w:tcPr>
            <w:tcW w:w="2363" w:type="pct"/>
            <w:shd w:val="clear" w:color="auto" w:fill="auto"/>
            <w:tcMar>
              <w:top w:w="0" w:type="dxa"/>
              <w:left w:w="0" w:type="dxa"/>
              <w:bottom w:w="0" w:type="dxa"/>
              <w:right w:w="0" w:type="dxa"/>
            </w:tcMar>
            <w:vAlign w:val="center"/>
          </w:tcPr>
          <w:p w14:paraId="7B479BCF">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每千人口拥有执业</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助理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医师数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人</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37E242B6">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585" w:type="pct"/>
            <w:shd w:val="clear" w:color="auto" w:fill="auto"/>
            <w:tcMar>
              <w:top w:w="0" w:type="dxa"/>
              <w:left w:w="0" w:type="dxa"/>
              <w:bottom w:w="0" w:type="dxa"/>
              <w:right w:w="0" w:type="dxa"/>
            </w:tcMar>
            <w:vAlign w:val="center"/>
          </w:tcPr>
          <w:p w14:paraId="7B065414">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2.77</w:t>
            </w:r>
          </w:p>
        </w:tc>
        <w:tc>
          <w:tcPr>
            <w:tcW w:w="550" w:type="pct"/>
            <w:shd w:val="clear" w:color="auto" w:fill="auto"/>
            <w:tcMar>
              <w:top w:w="0" w:type="dxa"/>
              <w:left w:w="0" w:type="dxa"/>
              <w:bottom w:w="0" w:type="dxa"/>
              <w:right w:w="0" w:type="dxa"/>
            </w:tcMar>
            <w:vAlign w:val="center"/>
          </w:tcPr>
          <w:p w14:paraId="5A58048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24331149">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2223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73AAFB51">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sz w:val="24"/>
                <w:szCs w:val="24"/>
              </w:rPr>
            </w:pPr>
          </w:p>
        </w:tc>
        <w:tc>
          <w:tcPr>
            <w:tcW w:w="2363" w:type="pct"/>
            <w:shd w:val="clear" w:color="auto" w:fill="auto"/>
            <w:tcMar>
              <w:top w:w="0" w:type="dxa"/>
              <w:left w:w="0" w:type="dxa"/>
              <w:bottom w:w="0" w:type="dxa"/>
              <w:right w:w="0" w:type="dxa"/>
            </w:tcMar>
            <w:vAlign w:val="center"/>
          </w:tcPr>
          <w:p w14:paraId="2972E7EE">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基本养老保险参保率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37325AE3">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585" w:type="pct"/>
            <w:shd w:val="clear" w:color="auto" w:fill="auto"/>
            <w:tcMar>
              <w:top w:w="0" w:type="dxa"/>
              <w:left w:w="0" w:type="dxa"/>
              <w:bottom w:w="0" w:type="dxa"/>
              <w:right w:w="0" w:type="dxa"/>
            </w:tcMar>
            <w:vAlign w:val="center"/>
          </w:tcPr>
          <w:p w14:paraId="1F721BA4">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&gt;95</w:t>
            </w:r>
          </w:p>
        </w:tc>
        <w:tc>
          <w:tcPr>
            <w:tcW w:w="550" w:type="pct"/>
            <w:shd w:val="clear" w:color="auto" w:fill="auto"/>
            <w:tcMar>
              <w:top w:w="0" w:type="dxa"/>
              <w:left w:w="0" w:type="dxa"/>
              <w:bottom w:w="0" w:type="dxa"/>
              <w:right w:w="0" w:type="dxa"/>
            </w:tcMar>
            <w:vAlign w:val="center"/>
          </w:tcPr>
          <w:p w14:paraId="1B2B9FB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52DCA843">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4D1C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3B9A6116">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sz w:val="24"/>
                <w:szCs w:val="24"/>
              </w:rPr>
            </w:pPr>
          </w:p>
        </w:tc>
        <w:tc>
          <w:tcPr>
            <w:tcW w:w="2363" w:type="pct"/>
            <w:shd w:val="clear" w:color="auto" w:fill="auto"/>
            <w:tcMar>
              <w:top w:w="0" w:type="dxa"/>
              <w:left w:w="0" w:type="dxa"/>
              <w:bottom w:w="0" w:type="dxa"/>
              <w:right w:w="0" w:type="dxa"/>
            </w:tcMar>
            <w:vAlign w:val="center"/>
          </w:tcPr>
          <w:p w14:paraId="7745ABED">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每千人口拥有3岁以下婴幼儿托位数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个</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0C0E551F">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0.97</w:t>
            </w:r>
          </w:p>
        </w:tc>
        <w:tc>
          <w:tcPr>
            <w:tcW w:w="585" w:type="pct"/>
            <w:shd w:val="clear" w:color="auto" w:fill="auto"/>
            <w:tcMar>
              <w:top w:w="0" w:type="dxa"/>
              <w:left w:w="0" w:type="dxa"/>
              <w:bottom w:w="0" w:type="dxa"/>
              <w:right w:w="0" w:type="dxa"/>
            </w:tcMar>
            <w:vAlign w:val="center"/>
          </w:tcPr>
          <w:p w14:paraId="6D951EB7">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50" w:type="pct"/>
            <w:shd w:val="clear" w:color="auto" w:fill="auto"/>
            <w:tcMar>
              <w:top w:w="0" w:type="dxa"/>
              <w:left w:w="0" w:type="dxa"/>
              <w:bottom w:w="0" w:type="dxa"/>
              <w:right w:w="0" w:type="dxa"/>
            </w:tcMar>
            <w:vAlign w:val="center"/>
          </w:tcPr>
          <w:p w14:paraId="00702038">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28556C5A">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6692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148FA4A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sz w:val="24"/>
                <w:szCs w:val="24"/>
              </w:rPr>
            </w:pPr>
          </w:p>
        </w:tc>
        <w:tc>
          <w:tcPr>
            <w:tcW w:w="2363" w:type="pct"/>
            <w:shd w:val="clear" w:color="auto" w:fill="auto"/>
            <w:tcMar>
              <w:top w:w="0" w:type="dxa"/>
              <w:left w:w="0" w:type="dxa"/>
              <w:bottom w:w="0" w:type="dxa"/>
              <w:right w:w="0" w:type="dxa"/>
            </w:tcMar>
            <w:vAlign w:val="center"/>
          </w:tcPr>
          <w:p w14:paraId="5A1C553B">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普惠性学前教育占比</w:t>
            </w:r>
          </w:p>
        </w:tc>
        <w:tc>
          <w:tcPr>
            <w:tcW w:w="583" w:type="pct"/>
            <w:shd w:val="clear" w:color="auto" w:fill="auto"/>
            <w:tcMar>
              <w:top w:w="0" w:type="dxa"/>
              <w:left w:w="0" w:type="dxa"/>
              <w:bottom w:w="0" w:type="dxa"/>
              <w:right w:w="0" w:type="dxa"/>
            </w:tcMar>
            <w:vAlign w:val="center"/>
          </w:tcPr>
          <w:p w14:paraId="774A87E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99.6</w:t>
            </w:r>
          </w:p>
        </w:tc>
        <w:tc>
          <w:tcPr>
            <w:tcW w:w="585" w:type="pct"/>
            <w:shd w:val="clear" w:color="auto" w:fill="auto"/>
            <w:tcMar>
              <w:top w:w="0" w:type="dxa"/>
              <w:left w:w="0" w:type="dxa"/>
              <w:bottom w:w="0" w:type="dxa"/>
              <w:right w:w="0" w:type="dxa"/>
            </w:tcMar>
            <w:vAlign w:val="center"/>
          </w:tcPr>
          <w:p w14:paraId="72E178B4">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&gt;99</w:t>
            </w:r>
          </w:p>
        </w:tc>
        <w:tc>
          <w:tcPr>
            <w:tcW w:w="550" w:type="pct"/>
            <w:shd w:val="clear" w:color="auto" w:fill="auto"/>
            <w:tcMar>
              <w:top w:w="0" w:type="dxa"/>
              <w:left w:w="0" w:type="dxa"/>
              <w:bottom w:w="0" w:type="dxa"/>
              <w:right w:w="0" w:type="dxa"/>
            </w:tcMar>
            <w:vAlign w:val="center"/>
          </w:tcPr>
          <w:p w14:paraId="3C1E3FF1">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72A95A32">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r>
      <w:tr w14:paraId="2EC0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5ADDBF3D">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sz w:val="24"/>
                <w:szCs w:val="24"/>
              </w:rPr>
            </w:pPr>
          </w:p>
        </w:tc>
        <w:tc>
          <w:tcPr>
            <w:tcW w:w="2363" w:type="pct"/>
            <w:shd w:val="clear" w:color="auto" w:fill="auto"/>
            <w:tcMar>
              <w:top w:w="0" w:type="dxa"/>
              <w:left w:w="0" w:type="dxa"/>
              <w:bottom w:w="0" w:type="dxa"/>
              <w:right w:w="0" w:type="dxa"/>
            </w:tcMar>
            <w:vAlign w:val="center"/>
          </w:tcPr>
          <w:p w14:paraId="265C6163">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高中教育阶段毛入学率</w:t>
            </w:r>
          </w:p>
        </w:tc>
        <w:tc>
          <w:tcPr>
            <w:tcW w:w="583" w:type="pct"/>
            <w:shd w:val="clear" w:color="auto" w:fill="auto"/>
            <w:tcMar>
              <w:top w:w="0" w:type="dxa"/>
              <w:left w:w="0" w:type="dxa"/>
              <w:bottom w:w="0" w:type="dxa"/>
              <w:right w:w="0" w:type="dxa"/>
            </w:tcMar>
            <w:vAlign w:val="center"/>
          </w:tcPr>
          <w:p w14:paraId="2FFD7C2F">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93.41</w:t>
            </w:r>
          </w:p>
        </w:tc>
        <w:tc>
          <w:tcPr>
            <w:tcW w:w="585" w:type="pct"/>
            <w:shd w:val="clear" w:color="auto" w:fill="auto"/>
            <w:tcMar>
              <w:top w:w="0" w:type="dxa"/>
              <w:left w:w="0" w:type="dxa"/>
              <w:bottom w:w="0" w:type="dxa"/>
              <w:right w:w="0" w:type="dxa"/>
            </w:tcMar>
            <w:vAlign w:val="center"/>
          </w:tcPr>
          <w:p w14:paraId="74BF7A91">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&gt;93</w:t>
            </w:r>
          </w:p>
        </w:tc>
        <w:tc>
          <w:tcPr>
            <w:tcW w:w="550" w:type="pct"/>
            <w:shd w:val="clear" w:color="auto" w:fill="auto"/>
            <w:tcMar>
              <w:top w:w="0" w:type="dxa"/>
              <w:left w:w="0" w:type="dxa"/>
              <w:bottom w:w="0" w:type="dxa"/>
              <w:right w:w="0" w:type="dxa"/>
            </w:tcMar>
            <w:vAlign w:val="center"/>
          </w:tcPr>
          <w:p w14:paraId="71CD8B9C">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4EC96687">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r>
      <w:tr w14:paraId="3DB1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4082065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0" w:type="dxa"/>
            </w:tcMar>
            <w:vAlign w:val="center"/>
          </w:tcPr>
          <w:p w14:paraId="20C57E1E">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人均预期寿命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岁</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1756819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w:t>
            </w:r>
          </w:p>
        </w:tc>
        <w:tc>
          <w:tcPr>
            <w:tcW w:w="585" w:type="pct"/>
            <w:shd w:val="clear" w:color="auto" w:fill="auto"/>
            <w:tcMar>
              <w:top w:w="0" w:type="dxa"/>
              <w:left w:w="0" w:type="dxa"/>
              <w:bottom w:w="0" w:type="dxa"/>
              <w:right w:w="0" w:type="dxa"/>
            </w:tcMar>
            <w:vAlign w:val="center"/>
          </w:tcPr>
          <w:p w14:paraId="08C94636">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78.5</w:t>
            </w:r>
          </w:p>
        </w:tc>
        <w:tc>
          <w:tcPr>
            <w:tcW w:w="550" w:type="pct"/>
            <w:shd w:val="clear" w:color="auto" w:fill="auto"/>
            <w:tcMar>
              <w:top w:w="0" w:type="dxa"/>
              <w:left w:w="0" w:type="dxa"/>
              <w:bottom w:w="0" w:type="dxa"/>
              <w:right w:w="0" w:type="dxa"/>
            </w:tcMar>
            <w:vAlign w:val="center"/>
          </w:tcPr>
          <w:p w14:paraId="5844C43E">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58F724E8">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预期性</w:t>
            </w:r>
          </w:p>
        </w:tc>
      </w:tr>
      <w:tr w14:paraId="1C53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restart"/>
            <w:shd w:val="clear" w:color="auto" w:fill="auto"/>
            <w:tcMar>
              <w:top w:w="0" w:type="dxa"/>
              <w:left w:w="0" w:type="dxa"/>
              <w:bottom w:w="0" w:type="dxa"/>
              <w:right w:w="0" w:type="dxa"/>
            </w:tcMar>
            <w:vAlign w:val="center"/>
          </w:tcPr>
          <w:p w14:paraId="2F82C421">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绿色</w:t>
            </w:r>
          </w:p>
          <w:p w14:paraId="6D3CF7AF">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生态</w:t>
            </w:r>
          </w:p>
        </w:tc>
        <w:tc>
          <w:tcPr>
            <w:tcW w:w="2363" w:type="pct"/>
            <w:shd w:val="clear" w:color="auto" w:fill="auto"/>
            <w:tcMar>
              <w:top w:w="0" w:type="dxa"/>
              <w:left w:w="0" w:type="dxa"/>
              <w:bottom w:w="0" w:type="dxa"/>
              <w:right w:w="0" w:type="dxa"/>
            </w:tcMar>
            <w:vAlign w:val="center"/>
          </w:tcPr>
          <w:p w14:paraId="08816F74">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单位GDP能源消耗降低</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430D7B6C">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_</w:t>
            </w:r>
          </w:p>
        </w:tc>
        <w:tc>
          <w:tcPr>
            <w:tcW w:w="1136" w:type="pct"/>
            <w:gridSpan w:val="2"/>
            <w:shd w:val="clear" w:color="auto" w:fill="auto"/>
            <w:tcMar>
              <w:top w:w="0" w:type="dxa"/>
              <w:left w:w="0" w:type="dxa"/>
              <w:bottom w:w="0" w:type="dxa"/>
              <w:right w:w="0" w:type="dxa"/>
            </w:tcMar>
            <w:vAlign w:val="center"/>
          </w:tcPr>
          <w:p w14:paraId="413AF6F1">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完成省定目标</w:t>
            </w:r>
          </w:p>
        </w:tc>
        <w:tc>
          <w:tcPr>
            <w:tcW w:w="528" w:type="pct"/>
            <w:shd w:val="clear" w:color="auto" w:fill="auto"/>
            <w:tcMar>
              <w:top w:w="0" w:type="dxa"/>
              <w:left w:w="0" w:type="dxa"/>
              <w:bottom w:w="0" w:type="dxa"/>
              <w:right w:w="0" w:type="dxa"/>
            </w:tcMar>
            <w:vAlign w:val="center"/>
          </w:tcPr>
          <w:p w14:paraId="51BA0F2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r w14:paraId="0CAB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401FD6FE">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0" w:type="dxa"/>
            </w:tcMar>
            <w:vAlign w:val="center"/>
          </w:tcPr>
          <w:p w14:paraId="59D3526C">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单位GDP二氧化碳排放降低</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05C437F2">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_</w:t>
            </w:r>
          </w:p>
        </w:tc>
        <w:tc>
          <w:tcPr>
            <w:tcW w:w="1136" w:type="pct"/>
            <w:gridSpan w:val="2"/>
            <w:shd w:val="clear" w:color="auto" w:fill="auto"/>
            <w:tcMar>
              <w:top w:w="0" w:type="dxa"/>
              <w:left w:w="0" w:type="dxa"/>
              <w:bottom w:w="0" w:type="dxa"/>
              <w:right w:w="0" w:type="dxa"/>
            </w:tcMar>
            <w:vAlign w:val="center"/>
          </w:tcPr>
          <w:p w14:paraId="73D5EEE9">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完成省定目标</w:t>
            </w:r>
          </w:p>
        </w:tc>
        <w:tc>
          <w:tcPr>
            <w:tcW w:w="528" w:type="pct"/>
            <w:shd w:val="clear" w:color="auto" w:fill="auto"/>
            <w:tcMar>
              <w:top w:w="0" w:type="dxa"/>
              <w:left w:w="0" w:type="dxa"/>
              <w:bottom w:w="0" w:type="dxa"/>
              <w:right w:w="0" w:type="dxa"/>
            </w:tcMar>
            <w:vAlign w:val="center"/>
          </w:tcPr>
          <w:p w14:paraId="6B8FF168">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r w14:paraId="46D0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152C3869">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40" w:type="dxa"/>
            </w:tcMar>
            <w:vAlign w:val="center"/>
          </w:tcPr>
          <w:p w14:paraId="3CB60869">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空气质量优良天数比率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40" w:type="dxa"/>
            </w:tcMar>
            <w:vAlign w:val="center"/>
          </w:tcPr>
          <w:p w14:paraId="2E07FE54">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585" w:type="pct"/>
            <w:shd w:val="clear" w:color="auto" w:fill="auto"/>
            <w:tcMar>
              <w:top w:w="0" w:type="dxa"/>
              <w:left w:w="0" w:type="dxa"/>
              <w:bottom w:w="0" w:type="dxa"/>
              <w:right w:w="40" w:type="dxa"/>
            </w:tcMar>
            <w:vAlign w:val="center"/>
          </w:tcPr>
          <w:p w14:paraId="21B4365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&gt;91</w:t>
            </w:r>
          </w:p>
        </w:tc>
        <w:tc>
          <w:tcPr>
            <w:tcW w:w="550" w:type="pct"/>
            <w:shd w:val="clear" w:color="auto" w:fill="auto"/>
            <w:tcMar>
              <w:top w:w="0" w:type="dxa"/>
              <w:left w:w="0" w:type="dxa"/>
              <w:bottom w:w="0" w:type="dxa"/>
              <w:right w:w="0" w:type="dxa"/>
            </w:tcMar>
            <w:vAlign w:val="center"/>
          </w:tcPr>
          <w:p w14:paraId="01F7F751">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bCs/>
                <w:sz w:val="24"/>
                <w:szCs w:val="24"/>
              </w:rPr>
            </w:pPr>
          </w:p>
        </w:tc>
        <w:tc>
          <w:tcPr>
            <w:tcW w:w="528" w:type="pct"/>
            <w:shd w:val="clear" w:color="auto" w:fill="auto"/>
            <w:tcMar>
              <w:top w:w="0" w:type="dxa"/>
              <w:left w:w="0" w:type="dxa"/>
              <w:bottom w:w="0" w:type="dxa"/>
              <w:right w:w="0" w:type="dxa"/>
            </w:tcMar>
            <w:vAlign w:val="center"/>
          </w:tcPr>
          <w:p w14:paraId="5A288FFE">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r w14:paraId="6FC2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60C4D115">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0" w:type="dxa"/>
            </w:tcMar>
            <w:vAlign w:val="center"/>
          </w:tcPr>
          <w:p w14:paraId="1F56B901">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地表水达到或好于Ⅲ类水体比例</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578DE037">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_</w:t>
            </w:r>
          </w:p>
        </w:tc>
        <w:tc>
          <w:tcPr>
            <w:tcW w:w="1136" w:type="pct"/>
            <w:gridSpan w:val="2"/>
            <w:shd w:val="clear" w:color="auto" w:fill="auto"/>
            <w:tcMar>
              <w:top w:w="0" w:type="dxa"/>
              <w:left w:w="0" w:type="dxa"/>
              <w:bottom w:w="0" w:type="dxa"/>
              <w:right w:w="0" w:type="dxa"/>
            </w:tcMar>
            <w:vAlign w:val="center"/>
          </w:tcPr>
          <w:p w14:paraId="4A27ECCC">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完成省定目标</w:t>
            </w:r>
          </w:p>
        </w:tc>
        <w:tc>
          <w:tcPr>
            <w:tcW w:w="528" w:type="pct"/>
            <w:shd w:val="clear" w:color="auto" w:fill="auto"/>
            <w:tcMar>
              <w:top w:w="0" w:type="dxa"/>
              <w:left w:w="0" w:type="dxa"/>
              <w:bottom w:w="0" w:type="dxa"/>
              <w:right w:w="0" w:type="dxa"/>
            </w:tcMar>
            <w:vAlign w:val="center"/>
          </w:tcPr>
          <w:p w14:paraId="5D4C28C7">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r w14:paraId="354A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0C1ACCE9">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0" w:type="dxa"/>
            </w:tcMar>
            <w:vAlign w:val="center"/>
          </w:tcPr>
          <w:p w14:paraId="454720C0">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森林覆盖率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3FAC1A92">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63.09</w:t>
            </w:r>
          </w:p>
        </w:tc>
        <w:tc>
          <w:tcPr>
            <w:tcW w:w="585" w:type="pct"/>
            <w:shd w:val="clear" w:color="auto" w:fill="auto"/>
            <w:tcMar>
              <w:top w:w="0" w:type="dxa"/>
              <w:left w:w="0" w:type="dxa"/>
              <w:bottom w:w="0" w:type="dxa"/>
              <w:right w:w="0" w:type="dxa"/>
            </w:tcMar>
            <w:vAlign w:val="center"/>
          </w:tcPr>
          <w:p w14:paraId="43B3D370">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&gt;68.1</w:t>
            </w:r>
          </w:p>
        </w:tc>
        <w:tc>
          <w:tcPr>
            <w:tcW w:w="550" w:type="pct"/>
            <w:shd w:val="clear" w:color="auto" w:fill="auto"/>
            <w:tcMar>
              <w:top w:w="0" w:type="dxa"/>
              <w:left w:w="0" w:type="dxa"/>
              <w:bottom w:w="0" w:type="dxa"/>
              <w:right w:w="0" w:type="dxa"/>
            </w:tcMar>
            <w:vAlign w:val="center"/>
          </w:tcPr>
          <w:p w14:paraId="20796228">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2717955C">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r w14:paraId="18C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restart"/>
            <w:shd w:val="clear" w:color="auto" w:fill="auto"/>
            <w:tcMar>
              <w:top w:w="0" w:type="dxa"/>
              <w:left w:w="0" w:type="dxa"/>
              <w:bottom w:w="0" w:type="dxa"/>
              <w:right w:w="0" w:type="dxa"/>
            </w:tcMar>
            <w:vAlign w:val="center"/>
          </w:tcPr>
          <w:p w14:paraId="3936904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w:t>
            </w:r>
          </w:p>
          <w:p w14:paraId="0A340BB7">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保障</w:t>
            </w:r>
          </w:p>
        </w:tc>
        <w:tc>
          <w:tcPr>
            <w:tcW w:w="2363" w:type="pct"/>
            <w:shd w:val="clear" w:color="auto" w:fill="auto"/>
            <w:tcMar>
              <w:top w:w="0" w:type="dxa"/>
              <w:left w:w="0" w:type="dxa"/>
              <w:bottom w:w="0" w:type="dxa"/>
              <w:right w:w="0" w:type="dxa"/>
            </w:tcMar>
            <w:vAlign w:val="center"/>
          </w:tcPr>
          <w:p w14:paraId="206A4059">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粮食综合生产能力</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万吨</w:t>
            </w:r>
            <w:r>
              <w:rPr>
                <w:rFonts w:hint="eastAsia" w:ascii="宋体" w:hAnsi="宋体" w:eastAsia="宋体" w:cs="宋体"/>
                <w:color w:val="000000"/>
                <w:kern w:val="0"/>
                <w:sz w:val="24"/>
                <w:szCs w:val="24"/>
                <w:lang w:eastAsia="zh-CN"/>
              </w:rPr>
              <w:t>）</w:t>
            </w:r>
          </w:p>
        </w:tc>
        <w:tc>
          <w:tcPr>
            <w:tcW w:w="583" w:type="pct"/>
            <w:shd w:val="clear" w:color="auto" w:fill="auto"/>
            <w:tcMar>
              <w:top w:w="0" w:type="dxa"/>
              <w:left w:w="0" w:type="dxa"/>
              <w:bottom w:w="0" w:type="dxa"/>
              <w:right w:w="0" w:type="dxa"/>
            </w:tcMar>
            <w:vAlign w:val="center"/>
          </w:tcPr>
          <w:p w14:paraId="3FDEFD15">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85" w:type="pct"/>
            <w:shd w:val="clear" w:color="auto" w:fill="auto"/>
            <w:tcMar>
              <w:top w:w="0" w:type="dxa"/>
              <w:left w:w="0" w:type="dxa"/>
              <w:bottom w:w="0" w:type="dxa"/>
              <w:right w:w="0" w:type="dxa"/>
            </w:tcMar>
            <w:vAlign w:val="center"/>
          </w:tcPr>
          <w:p w14:paraId="2242FECF">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&gt;12</w:t>
            </w:r>
          </w:p>
        </w:tc>
        <w:tc>
          <w:tcPr>
            <w:tcW w:w="550" w:type="pct"/>
            <w:shd w:val="clear" w:color="auto" w:fill="auto"/>
            <w:tcMar>
              <w:top w:w="0" w:type="dxa"/>
              <w:left w:w="0" w:type="dxa"/>
              <w:bottom w:w="0" w:type="dxa"/>
              <w:right w:w="0" w:type="dxa"/>
            </w:tcMar>
            <w:vAlign w:val="center"/>
          </w:tcPr>
          <w:p w14:paraId="31595F46">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528" w:type="pct"/>
            <w:shd w:val="clear" w:color="auto" w:fill="auto"/>
            <w:tcMar>
              <w:top w:w="0" w:type="dxa"/>
              <w:left w:w="0" w:type="dxa"/>
              <w:bottom w:w="0" w:type="dxa"/>
              <w:right w:w="0" w:type="dxa"/>
            </w:tcMar>
            <w:vAlign w:val="center"/>
          </w:tcPr>
          <w:p w14:paraId="65D23878">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r w14:paraId="2B31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8" w:type="pct"/>
            <w:vMerge w:val="continue"/>
            <w:shd w:val="clear" w:color="auto" w:fill="auto"/>
            <w:tcMar>
              <w:top w:w="0" w:type="dxa"/>
              <w:left w:w="0" w:type="dxa"/>
              <w:bottom w:w="0" w:type="dxa"/>
              <w:right w:w="0" w:type="dxa"/>
            </w:tcMar>
            <w:vAlign w:val="center"/>
          </w:tcPr>
          <w:p w14:paraId="1D02DB3D">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p>
        </w:tc>
        <w:tc>
          <w:tcPr>
            <w:tcW w:w="2363" w:type="pct"/>
            <w:shd w:val="clear" w:color="auto" w:fill="auto"/>
            <w:tcMar>
              <w:top w:w="0" w:type="dxa"/>
              <w:left w:w="0" w:type="dxa"/>
              <w:bottom w:w="0" w:type="dxa"/>
              <w:right w:w="0" w:type="dxa"/>
            </w:tcMar>
            <w:vAlign w:val="center"/>
          </w:tcPr>
          <w:p w14:paraId="5CB95AA2">
            <w:pPr>
              <w:pStyle w:val="54"/>
              <w:keepNext w:val="0"/>
              <w:keepLines w:val="0"/>
              <w:pageBreakBefore w:val="0"/>
              <w:widowControl w:val="0"/>
              <w:numPr>
                <w:ilvl w:val="0"/>
                <w:numId w:val="6"/>
              </w:numPr>
              <w:kinsoku/>
              <w:wordWrap w:val="0"/>
              <w:overflowPunct/>
              <w:topLinePunct/>
              <w:autoSpaceDE/>
              <w:autoSpaceDN/>
              <w:bidi w:val="0"/>
              <w:adjustRightInd w:val="0"/>
              <w:snapToGrid w:val="0"/>
              <w:spacing w:line="320" w:lineRule="exact"/>
              <w:ind w:left="0" w:firstLine="0" w:firstLineChars="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耕地保有量</w:t>
            </w:r>
          </w:p>
        </w:tc>
        <w:tc>
          <w:tcPr>
            <w:tcW w:w="583" w:type="pct"/>
            <w:shd w:val="clear" w:color="auto" w:fill="auto"/>
            <w:tcMar>
              <w:top w:w="0" w:type="dxa"/>
              <w:left w:w="0" w:type="dxa"/>
              <w:bottom w:w="0" w:type="dxa"/>
              <w:right w:w="0" w:type="dxa"/>
            </w:tcMar>
            <w:vAlign w:val="center"/>
          </w:tcPr>
          <w:p w14:paraId="3E0AD873">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_</w:t>
            </w:r>
          </w:p>
        </w:tc>
        <w:tc>
          <w:tcPr>
            <w:tcW w:w="1136" w:type="pct"/>
            <w:gridSpan w:val="2"/>
            <w:shd w:val="clear" w:color="auto" w:fill="auto"/>
            <w:tcMar>
              <w:top w:w="0" w:type="dxa"/>
              <w:left w:w="0" w:type="dxa"/>
              <w:bottom w:w="0" w:type="dxa"/>
              <w:right w:w="0" w:type="dxa"/>
            </w:tcMar>
            <w:vAlign w:val="center"/>
          </w:tcPr>
          <w:p w14:paraId="32A5E186">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不低于省下达指标</w:t>
            </w:r>
          </w:p>
        </w:tc>
        <w:tc>
          <w:tcPr>
            <w:tcW w:w="528" w:type="pct"/>
            <w:shd w:val="clear" w:color="auto" w:fill="auto"/>
            <w:tcMar>
              <w:top w:w="0" w:type="dxa"/>
              <w:left w:w="0" w:type="dxa"/>
              <w:bottom w:w="0" w:type="dxa"/>
              <w:right w:w="0" w:type="dxa"/>
            </w:tcMar>
            <w:vAlign w:val="center"/>
          </w:tcPr>
          <w:p w14:paraId="21795A0B">
            <w:pPr>
              <w:keepNext w:val="0"/>
              <w:keepLines w:val="0"/>
              <w:pageBreakBefore w:val="0"/>
              <w:widowControl w:val="0"/>
              <w:kinsoku/>
              <w:wordWrap w:val="0"/>
              <w:overflowPunct/>
              <w:topLinePunct/>
              <w:autoSpaceDE/>
              <w:autoSpaceDN/>
              <w:bidi w:val="0"/>
              <w:adjustRightInd w:val="0"/>
              <w:snapToGrid w:val="0"/>
              <w:spacing w:line="320" w:lineRule="exact"/>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约束性</w:t>
            </w:r>
          </w:p>
        </w:tc>
      </w:tr>
    </w:tbl>
    <w:p w14:paraId="57AAC601">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p>
    <w:p w14:paraId="09A41D94">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sectPr>
          <w:footerReference r:id="rId6" w:type="default"/>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33FEF830">
      <w:pPr>
        <w:pStyle w:val="57"/>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pPr>
      <w:bookmarkStart w:id="30" w:name="_Toc88315706"/>
      <w:r>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t>第二篇  精心打造湘南产业发展新高地</w:t>
      </w:r>
    </w:p>
    <w:bookmarkEnd w:id="30"/>
    <w:p w14:paraId="742512FB">
      <w:pPr>
        <w:pStyle w:val="57"/>
        <w:keepNext w:val="0"/>
        <w:keepLines w:val="0"/>
        <w:pageBreakBefore w:val="0"/>
        <w:widowControl w:val="0"/>
        <w:kinsoku/>
        <w:wordWrap w:val="0"/>
        <w:overflowPunct/>
        <w:topLinePunct/>
        <w:autoSpaceDE/>
        <w:autoSpaceDN/>
        <w:bidi w:val="0"/>
        <w:adjustRightInd/>
        <w:snapToGrid/>
        <w:spacing w:line="560" w:lineRule="exact"/>
        <w:ind w:firstLine="640"/>
        <w:textAlignment w:val="auto"/>
        <w:rPr>
          <w:rFonts w:hint="eastAsia" w:cs="仿宋_GB2312"/>
          <w:color w:val="000000" w:themeColor="text1"/>
          <w:szCs w:val="28"/>
          <w14:textFill>
            <w14:solidFill>
              <w14:schemeClr w14:val="tx1"/>
            </w14:solidFill>
          </w14:textFill>
        </w:rPr>
      </w:pPr>
    </w:p>
    <w:p w14:paraId="48E87AFE">
      <w:pPr>
        <w:pStyle w:val="57"/>
        <w:keepNext w:val="0"/>
        <w:keepLines w:val="0"/>
        <w:pageBreakBefore w:val="0"/>
        <w:widowControl w:val="0"/>
        <w:kinsoku/>
        <w:wordWrap w:val="0"/>
        <w:overflowPunct/>
        <w:topLinePunct/>
        <w:autoSpaceDE/>
        <w:autoSpaceDN/>
        <w:bidi w:val="0"/>
        <w:adjustRightInd/>
        <w:snapToGrid/>
        <w:spacing w:line="560" w:lineRule="exact"/>
        <w:ind w:firstLine="640"/>
        <w:textAlignment w:val="auto"/>
        <w:rPr>
          <w:rFonts w:hint="eastAsia" w:cs="仿宋_GB2312"/>
          <w:color w:val="auto"/>
          <w:szCs w:val="28"/>
        </w:rPr>
      </w:pPr>
      <w:r>
        <w:rPr>
          <w:rFonts w:hint="eastAsia" w:cs="仿宋_GB2312"/>
          <w:color w:val="auto"/>
          <w:szCs w:val="28"/>
        </w:rPr>
        <w:t>实施“</w:t>
      </w:r>
      <w:r>
        <w:rPr>
          <w:rFonts w:hint="eastAsia" w:cs="仿宋_GB2312"/>
          <w:color w:val="auto"/>
          <w:szCs w:val="28"/>
          <w:lang w:val="en-US" w:eastAsia="zh-CN"/>
        </w:rPr>
        <w:t>三高四新</w:t>
      </w:r>
      <w:r>
        <w:rPr>
          <w:rFonts w:hint="eastAsia" w:cs="仿宋_GB2312"/>
          <w:color w:val="auto"/>
          <w:szCs w:val="28"/>
        </w:rPr>
        <w:t>”</w:t>
      </w:r>
      <w:r>
        <w:rPr>
          <w:rFonts w:hint="eastAsia" w:cs="仿宋_GB2312"/>
          <w:color w:val="auto"/>
          <w:szCs w:val="28"/>
          <w:lang w:val="en-US" w:eastAsia="zh-CN"/>
        </w:rPr>
        <w:t>战略定位和使命任务，“一极六区”</w:t>
      </w:r>
      <w:r>
        <w:rPr>
          <w:rFonts w:hint="eastAsia" w:cs="仿宋_GB2312"/>
          <w:color w:val="auto"/>
          <w:szCs w:val="28"/>
        </w:rPr>
        <w:t>战略</w:t>
      </w:r>
      <w:r>
        <w:rPr>
          <w:rFonts w:hint="eastAsia" w:cs="仿宋_GB2312"/>
          <w:color w:val="auto"/>
          <w:szCs w:val="28"/>
          <w:lang w:val="en-US" w:eastAsia="zh-CN"/>
        </w:rPr>
        <w:t>部署</w:t>
      </w:r>
      <w:r>
        <w:rPr>
          <w:rFonts w:hint="eastAsia" w:cs="仿宋_GB2312"/>
          <w:color w:val="auto"/>
          <w:szCs w:val="28"/>
        </w:rPr>
        <w:t>，加快发展六大主导产业，积极培育特色县域经济，大力推动园区建设，构建工业与服务业融合发展、双轮驱动产业格局。</w:t>
      </w:r>
    </w:p>
    <w:p w14:paraId="78666A6F">
      <w:pPr>
        <w:pStyle w:val="57"/>
        <w:keepNext w:val="0"/>
        <w:keepLines w:val="0"/>
        <w:pageBreakBefore w:val="0"/>
        <w:widowControl w:val="0"/>
        <w:kinsoku/>
        <w:wordWrap w:val="0"/>
        <w:overflowPunct/>
        <w:topLinePunct/>
        <w:autoSpaceDE/>
        <w:autoSpaceDN/>
        <w:bidi w:val="0"/>
        <w:adjustRightInd/>
        <w:snapToGrid/>
        <w:spacing w:line="560" w:lineRule="exact"/>
        <w:ind w:firstLine="640"/>
        <w:textAlignment w:val="auto"/>
        <w:rPr>
          <w:rFonts w:hint="eastAsia" w:cs="仿宋_GB2312"/>
          <w:color w:val="000000" w:themeColor="text1"/>
          <w:szCs w:val="28"/>
          <w14:textFill>
            <w14:solidFill>
              <w14:schemeClr w14:val="tx1"/>
            </w14:solidFill>
          </w14:textFill>
        </w:rPr>
      </w:pPr>
    </w:p>
    <w:p w14:paraId="1553082E">
      <w:pPr>
        <w:pStyle w:val="4"/>
        <w:keepNext w:val="0"/>
        <w:keepLines w:val="0"/>
        <w:pageBreakBefore w:val="0"/>
        <w:widowControl w:val="0"/>
        <w:kinsoku/>
        <w:wordWrap w:val="0"/>
        <w:overflowPunct/>
        <w:topLinePunct/>
        <w:autoSpaceDE/>
        <w:autoSpaceDN/>
        <w:bidi w:val="0"/>
        <w:adjustRightInd/>
        <w:snapToGrid/>
        <w:spacing w:before="0" w:after="0" w:line="560" w:lineRule="exact"/>
        <w:textAlignment w:val="auto"/>
        <w:rPr>
          <w:rFonts w:hint="eastAsia" w:ascii="方正大标宋简体" w:hAnsi="方正大标宋简体" w:eastAsia="方正大标宋简体" w:cs="方正大标宋简体"/>
          <w:sz w:val="36"/>
          <w:szCs w:val="36"/>
        </w:rPr>
      </w:pPr>
      <w:bookmarkStart w:id="31" w:name="_Toc88315707"/>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打造现代化工业强县</w:t>
      </w:r>
      <w:bookmarkEnd w:id="31"/>
    </w:p>
    <w:p w14:paraId="440A90EB">
      <w:pPr>
        <w:keepNext w:val="0"/>
        <w:keepLines w:val="0"/>
        <w:pageBreakBefore w:val="0"/>
        <w:widowControl w:val="0"/>
        <w:kinsoku/>
        <w:overflowPunct/>
        <w:autoSpaceDE/>
        <w:autoSpaceDN/>
        <w:bidi w:val="0"/>
        <w:adjustRightInd/>
        <w:snapToGrid/>
        <w:spacing w:line="560" w:lineRule="exact"/>
        <w:textAlignment w:val="auto"/>
      </w:pPr>
    </w:p>
    <w:p w14:paraId="19767F41">
      <w:pPr>
        <w:pStyle w:val="57"/>
        <w:keepNext w:val="0"/>
        <w:keepLines w:val="0"/>
        <w:pageBreakBefore w:val="0"/>
        <w:widowControl w:val="0"/>
        <w:kinsoku/>
        <w:wordWrap w:val="0"/>
        <w:overflowPunct/>
        <w:topLinePunct/>
        <w:autoSpaceDE/>
        <w:autoSpaceDN/>
        <w:bidi w:val="0"/>
        <w:adjustRightInd/>
        <w:snapToGrid/>
        <w:spacing w:line="56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坚持补短板与锻长板相结合，引导产业链向两端延伸、价值链向高端攀升。依托临武县特色资源和龙头企业，积极承接粤港澳大湾区及东南沿海产业转移，打造产业集聚区，提升产业竞争力。积极引导企业争创“市长质量奖”和“省长质量奖”。</w:t>
      </w:r>
    </w:p>
    <w:p w14:paraId="60B723C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32" w:name="_Toc88315708"/>
      <w:r>
        <w:rPr>
          <w:rFonts w:hint="eastAsia" w:ascii="黑体" w:hAnsi="黑体" w:eastAsia="黑体" w:cs="黑体"/>
          <w:b w:val="0"/>
          <w:bCs w:val="0"/>
          <w:color w:val="000000" w:themeColor="text1"/>
          <w:szCs w:val="28"/>
          <w14:textFill>
            <w14:solidFill>
              <w14:schemeClr w14:val="tx1"/>
            </w14:solidFill>
          </w14:textFill>
        </w:rPr>
        <w:t>第一节  积极推动农产品加工业发展</w:t>
      </w:r>
      <w:bookmarkEnd w:id="32"/>
    </w:p>
    <w:p w14:paraId="2BD8AEA9">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全面提升农产品加工水平</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依托临武特色农产品资源和舜华鸭业、小徐瓜瓜等龙头企业，推进农产品初加工、精深加工、综合利用协调</w:t>
      </w:r>
      <w:r>
        <w:rPr>
          <w:rFonts w:hint="eastAsia" w:cs="仿宋_GB2312"/>
          <w:color w:val="000000" w:themeColor="text1"/>
          <w:spacing w:val="-6"/>
          <w:szCs w:val="28"/>
          <w14:textFill>
            <w14:solidFill>
              <w14:schemeClr w14:val="tx1"/>
            </w14:solidFill>
          </w14:textFill>
        </w:rPr>
        <w:t>发展，以健康和代餐的理念导入，高标准建设农业特色产业园，推进大冲辣椒调味品精深加工、油茶深加工与肉食品产业链对接配套，着力构建农产品冷链物流系统，大力提升农产品品牌影响力，着力打造临武鸭、大冲辣椒、优质水果、生猪、肉牛及茶油等农产品加工品牌。</w:t>
      </w:r>
    </w:p>
    <w:p w14:paraId="2B7D7F34">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拓展农产品加工业发展空间。</w:t>
      </w:r>
      <w:r>
        <w:rPr>
          <w:rFonts w:hint="eastAsia" w:cs="仿宋_GB2312"/>
          <w:color w:val="000000" w:themeColor="text1"/>
          <w:szCs w:val="28"/>
          <w14:textFill>
            <w14:solidFill>
              <w14:schemeClr w14:val="tx1"/>
            </w14:solidFill>
          </w14:textFill>
        </w:rPr>
        <w:t>充分利用区域优势农业资源，推动湘粤食品加工产业集聚区建设，引进粤港澳大湾区先进农产品加工企业，构建农产品加工产业链。支持种养加工一体化企业发展，探索发展“农户+合作社+加工流通企业”、“龙头企业+专业合作组织+家庭农场”等经营模式，开展农副产品综合利用试点，推广“生产基地+中央厨房+餐饮门店”、“生产基地+加工企业+商超销售”、“作坊置换+联合发展”等新模式。构建“产学研推用”有机融合的科技创新体系，建设一批农产品加工技术集成基地，建立研究平台及产业化应用平台。</w:t>
      </w:r>
    </w:p>
    <w:p w14:paraId="3F2532B8">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推动农产加工产业集聚。</w:t>
      </w:r>
      <w:r>
        <w:rPr>
          <w:rFonts w:hint="eastAsia" w:cs="仿宋_GB2312"/>
          <w:color w:val="000000" w:themeColor="text1"/>
          <w:szCs w:val="28"/>
          <w14:textFill>
            <w14:solidFill>
              <w14:schemeClr w14:val="tx1"/>
            </w14:solidFill>
          </w14:textFill>
        </w:rPr>
        <w:t>实施农产品加工业提升行动，开展农产品产地初加工示范基地建设，引导农产品加工企业向园区集聚、向特色产业集聚、向资源区集聚。按照“生产+加工+科技”的现代农业产业园模式，鼓励农业产业领军企业建设临武县农业产业园，实现农业产业的链式构建、企业化运营、平台化发展。建设农副产品集散中心和农副产品检验检测中心，提高产品加工效益和质量。</w:t>
      </w:r>
    </w:p>
    <w:p w14:paraId="42F8385F">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33" w:name="_Toc88315709"/>
      <w:r>
        <w:rPr>
          <w:rFonts w:hint="eastAsia" w:ascii="黑体" w:hAnsi="黑体" w:eastAsia="黑体" w:cs="黑体"/>
          <w:b w:val="0"/>
          <w:bCs w:val="0"/>
          <w:color w:val="000000" w:themeColor="text1"/>
          <w:szCs w:val="28"/>
          <w14:textFill>
            <w14:solidFill>
              <w14:schemeClr w14:val="tx1"/>
            </w14:solidFill>
          </w14:textFill>
        </w:rPr>
        <w:t>第二节  大力发展战略性新兴产业</w:t>
      </w:r>
      <w:bookmarkEnd w:id="33"/>
    </w:p>
    <w:p w14:paraId="1171C6E4">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shd w:val="clear" w:color="auto" w:fill="FFFF00"/>
          <w14:textFill>
            <w14:solidFill>
              <w14:schemeClr w14:val="tx1"/>
            </w14:solidFill>
          </w14:textFill>
        </w:rPr>
      </w:pPr>
      <w:r>
        <w:rPr>
          <w:rFonts w:hint="eastAsia" w:ascii="楷体_GB2312" w:hAnsi="楷体_GB2312" w:eastAsia="楷体_GB2312" w:cs="楷体_GB2312"/>
          <w:b/>
          <w:bCs/>
          <w:color w:val="000000"/>
          <w:szCs w:val="28"/>
        </w:rPr>
        <w:t>培育新型电子信息产业。</w:t>
      </w:r>
      <w:r>
        <w:rPr>
          <w:rFonts w:hint="eastAsia" w:cs="仿宋_GB2312"/>
          <w:color w:val="000000" w:themeColor="text1"/>
          <w:szCs w:val="28"/>
          <w14:textFill>
            <w14:solidFill>
              <w14:schemeClr w14:val="tx1"/>
            </w14:solidFill>
          </w14:textFill>
        </w:rPr>
        <w:t>围绕东佳电子大力发展电子信息技术产业，积极引进产业上下游配套企业，打造东佳电子高科技产业集聚区。围绕电子信息产业，主动承接后端封装和产品应用等环节，构建电子材料－电子元器件生产－消费类电子产品的产业集群，重点发展以电容、电感、滤波器为主的电子元器件产业，以封装和配件生产为主的LED产业；培育以电子焊接材料为主的电子材料产业、人工智能设备制造产业。到2025年，电子信息产业实现产值20亿元。</w:t>
      </w:r>
    </w:p>
    <w:p w14:paraId="5DC370C3">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hint="eastAsia"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继续壮大新能源装备制造。</w:t>
      </w:r>
      <w:r>
        <w:rPr>
          <w:rFonts w:hint="eastAsia" w:cs="仿宋_GB2312"/>
          <w:color w:val="000000" w:themeColor="text1"/>
          <w:szCs w:val="28"/>
          <w14:textFill>
            <w14:solidFill>
              <w14:schemeClr w14:val="tx1"/>
            </w14:solidFill>
          </w14:textFill>
        </w:rPr>
        <w:t>紧抓国家加快新能源产业发展重大机遇，推动新能源产业继续发展壮大，坚持以资源定规划、规划定项目，重点加强对香花、万水、麦市等区域风能的开发，推动县域风电装备制造业发展。以临武久森新能源为依托，重点开发以锂电池正极材料为代表的先进储能电池、大型公交车用燃料电池等，以项目带动新能源电池产业发展，建设湘粤</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临武</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国家高新电池产业集聚区。到2025年，新能源电池产业实现产值500亿元。</w:t>
      </w:r>
    </w:p>
    <w:p w14:paraId="2922AD5C">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进一步强化产研融合。</w:t>
      </w:r>
      <w:r>
        <w:rPr>
          <w:rFonts w:hint="eastAsia" w:cs="仿宋_GB2312"/>
          <w:color w:val="000000" w:themeColor="text1"/>
          <w:szCs w:val="28"/>
          <w14:textFill>
            <w14:solidFill>
              <w14:schemeClr w14:val="tx1"/>
            </w14:solidFill>
          </w14:textFill>
        </w:rPr>
        <w:t>积极推动指导久森新能源、舜鼎生物、嘉宇矿业等重点企业进一步完善科研机制，加大科研投入并申报国家高新技术企业。鼓励东佳电子等企业主动与国内外大专院校和科研院所对接，通过组建技术研发团队，建立工程技术开发中心，强化产学研合作关系，不断开发新技术、研发新产品、改进新工艺。到</w:t>
      </w:r>
      <w:r>
        <w:rPr>
          <w:rFonts w:cs="仿宋_GB2312"/>
          <w:color w:val="000000" w:themeColor="text1"/>
          <w:szCs w:val="28"/>
          <w14:textFill>
            <w14:solidFill>
              <w14:schemeClr w14:val="tx1"/>
            </w14:solidFill>
          </w14:textFill>
        </w:rPr>
        <w:t>2025年实现研发投入占GDP比重达2.6%，高新技术产业增加值占GDP比重达20%，国家高新技术企业总量突破25家，完成技术合同交易额1.1亿元。</w:t>
      </w:r>
    </w:p>
    <w:p w14:paraId="3B495FCA">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34" w:name="_Toc88315710"/>
      <w:r>
        <w:rPr>
          <w:rFonts w:hint="eastAsia" w:ascii="黑体" w:hAnsi="黑体" w:eastAsia="黑体" w:cs="黑体"/>
          <w:b w:val="0"/>
          <w:bCs w:val="0"/>
          <w:color w:val="000000" w:themeColor="text1"/>
          <w:szCs w:val="28"/>
          <w14:textFill>
            <w14:solidFill>
              <w14:schemeClr w14:val="tx1"/>
            </w14:solidFill>
          </w14:textFill>
        </w:rPr>
        <w:t>第三节  挖掘资源产业潜力</w:t>
      </w:r>
      <w:bookmarkEnd w:id="34"/>
    </w:p>
    <w:p w14:paraId="5F12661E">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hint="eastAsia"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做大做优碳酸钙产业。</w:t>
      </w:r>
      <w:r>
        <w:rPr>
          <w:rFonts w:hint="eastAsia" w:cs="仿宋_GB2312"/>
          <w:color w:val="000000" w:themeColor="text1"/>
          <w:szCs w:val="28"/>
          <w14:textFill>
            <w14:solidFill>
              <w14:schemeClr w14:val="tx1"/>
            </w14:solidFill>
          </w14:textFill>
        </w:rPr>
        <w:t>紧抓郴州国家可持续发展议程创新示范区建设和全省五个100重大产业项目实施的机遇，贯彻绿色发展理念，依托丰富碳酸钙</w:t>
      </w:r>
      <w:r>
        <w:rPr>
          <w:rFonts w:hint="eastAsia" w:cs="仿宋_GB2312"/>
          <w:color w:val="000000" w:themeColor="text1"/>
          <w:szCs w:val="28"/>
          <w:lang w:eastAsia="zh-CN"/>
          <w14:textFill>
            <w14:solidFill>
              <w14:schemeClr w14:val="tx1"/>
            </w14:solidFill>
          </w14:textFill>
        </w:rPr>
        <w:t>资源</w:t>
      </w:r>
      <w:r>
        <w:rPr>
          <w:rFonts w:hint="eastAsia" w:cs="仿宋_GB2312"/>
          <w:color w:val="000000" w:themeColor="text1"/>
          <w:szCs w:val="28"/>
          <w14:textFill>
            <w14:solidFill>
              <w14:schemeClr w14:val="tx1"/>
            </w14:solidFill>
          </w14:textFill>
        </w:rPr>
        <w:t>，将碳酸钙产业打造成百亿产业。依托沙田煤区矿山废弃地，盘活闲置土地资源，实行开采与加工分离，加快建设碳酸钙产业园，培育发展多品种、高性能的碳酸钙粉体材料。鼓励发展碳酸钙产业向下游造纸、塑料、涂料、制药和化妆品等方向延伸，完成产业增链、补链，构建融“开采</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加工</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销售</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应用”为一体的完整的碳酸钙产业链。着力培育和引进龙头企业，打造碳酸钙产品品牌，打造具有较强竞争力的绿色碳酸钙产业示范基地。到2025年，碳酸钙产业实现产值100亿元。</w:t>
      </w:r>
    </w:p>
    <w:p w14:paraId="78706E36">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推进宝石产业健康快速发展。</w:t>
      </w:r>
      <w:r>
        <w:rPr>
          <w:rFonts w:hint="eastAsia" w:cs="仿宋_GB2312"/>
          <w:color w:val="000000" w:themeColor="text1"/>
          <w:szCs w:val="28"/>
          <w14:textFill>
            <w14:solidFill>
              <w14:schemeClr w14:val="tx1"/>
            </w14:solidFill>
          </w14:textFill>
        </w:rPr>
        <w:t>立足宝玉石特色优势，树立差异化发展理念，推动宝玉石产业形成“开采—公盘—加工—商贸旅游—文化创意—鉴定鉴赏—科普展览”为一体的产业链。坚持标准和规划先行，实行保护性开发，加快落实好通天玉、香花玉储量报告、探矿权和采矿权。大力引进宝玉石产品精深加工生产企业，引进和培育优秀玉石雕刻、创意设计、营销人才，提升宝玉石产品工艺技术。积极研究、设计、开发适合市场需求和玉石资源特点的产品，大力提升临武宝玉石知名度，加快宝玉石交易网建设步伐，推动宝玉石电子商务中心建设，打造“跨境宝玉石电商交易平台”，促推舜通宝玉石文化产业园持续健康发展。到2025年，宝玉石产业实现产值达20亿元。</w:t>
      </w:r>
    </w:p>
    <w:p w14:paraId="5C12B2BE">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进一步优化有色金属产业。</w:t>
      </w:r>
      <w:r>
        <w:rPr>
          <w:rFonts w:hint="eastAsia" w:cs="仿宋_GB2312"/>
          <w:color w:val="000000" w:themeColor="text1"/>
          <w:szCs w:val="28"/>
          <w14:textFill>
            <w14:solidFill>
              <w14:schemeClr w14:val="tx1"/>
            </w14:solidFill>
          </w14:textFill>
        </w:rPr>
        <w:t>借助可持续发展议程创新示范区建设机遇，提高有色金属产品附加值，将有色金属产业推向高端化、绿色化，积极勘探新资源矿区，鼓励尾矿综合利用，建立“僵尸矿山”退出机制。推进泡金山矿区矿产资源整合工作，和南方矿业、嘉宇矿业、香锡公司一并形成“四大矿区，四大矿企”共同发展的有色金属产业格局。鼓励企业进行品牌建设，打造国内外有色产品知名品牌。</w:t>
      </w:r>
    </w:p>
    <w:p w14:paraId="0669237F">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35" w:name="_Toc88315711"/>
      <w:r>
        <w:rPr>
          <w:rFonts w:hint="eastAsia" w:ascii="黑体" w:hAnsi="黑体" w:eastAsia="黑体" w:cs="黑体"/>
          <w:b w:val="0"/>
          <w:bCs w:val="0"/>
          <w:color w:val="000000" w:themeColor="text1"/>
          <w:szCs w:val="28"/>
          <w14:textFill>
            <w14:solidFill>
              <w14:schemeClr w14:val="tx1"/>
            </w14:solidFill>
          </w14:textFill>
        </w:rPr>
        <w:t>第四节  推进工业园区建设</w:t>
      </w:r>
      <w:bookmarkEnd w:id="35"/>
    </w:p>
    <w:p w14:paraId="4364DDE8">
      <w:pPr>
        <w:pStyle w:val="57"/>
        <w:keepNext w:val="0"/>
        <w:keepLines w:val="0"/>
        <w:pageBreakBefore w:val="0"/>
        <w:widowControl w:val="0"/>
        <w:kinsoku/>
        <w:wordWrap w:val="0"/>
        <w:overflowPunct/>
        <w:topLinePunct/>
        <w:autoSpaceDE/>
        <w:autoSpaceDN/>
        <w:bidi w:val="0"/>
        <w:adjustRightInd/>
        <w:snapToGrid/>
        <w:spacing w:line="56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着力推动“城园联动”，将临武工业园区与县城发展同步规划，统筹相关设施建设，实现园区与城区功能明确、产城并进、以产促城、以城兴产的融合发展格局。提升临武工业园区产业承载能力，增强产业对就业的吸纳能力。推动园区“景观再造”，打造“一面三轴三区多节点”景观风貌系统。建立制造业项目购地入园目标导向标准，推行“亩产效益”承诺制，明确亩均投资、亩均税收和亩均产值指标要求。加强土地集约利用，积极推进高标准厂房建设。加强临武工业园区对外通道建设，重点谋划铁路到临武工业园区建设项目。</w:t>
      </w:r>
    </w:p>
    <w:p w14:paraId="35CB4E42">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工业产业集聚项目</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0"/>
      </w:tblGrid>
      <w:tr w14:paraId="3FCC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0" w:type="dxa"/>
            <w:shd w:val="clear" w:color="auto" w:fill="auto"/>
            <w:vAlign w:val="center"/>
          </w:tcPr>
          <w:p w14:paraId="22379A99">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rPr>
              <w:t>东佳高科技产业集聚区建设项目、湖南声海电子有限公司建设项目、湘粤食品加工产业集聚区建设项目、湘粤</w:t>
            </w:r>
            <w:r>
              <w:rPr>
                <w:rFonts w:hint="eastAsia"/>
                <w:lang w:eastAsia="zh-CN"/>
              </w:rPr>
              <w:t>（</w:t>
            </w:r>
            <w:r>
              <w:rPr>
                <w:rFonts w:hint="eastAsia"/>
              </w:rPr>
              <w:t>临武</w:t>
            </w:r>
            <w:r>
              <w:rPr>
                <w:rFonts w:hint="eastAsia"/>
                <w:lang w:eastAsia="zh-CN"/>
              </w:rPr>
              <w:t>）</w:t>
            </w:r>
            <w:r>
              <w:rPr>
                <w:rFonts w:hint="eastAsia"/>
              </w:rPr>
              <w:t>高新电池产业集聚区建设项目、中汇鑫科技园建设项目、亿达石材花岗岩产业集中加工区项目、铁路到临武工业园区建设项目</w:t>
            </w:r>
          </w:p>
        </w:tc>
      </w:tr>
    </w:tbl>
    <w:p w14:paraId="2020D7B7">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560" w:lineRule="exact"/>
        <w:ind w:left="420" w:hanging="420"/>
        <w:textAlignment w:val="auto"/>
        <w:rPr>
          <w:rFonts w:hint="eastAsia" w:ascii="方正大标宋简体" w:hAnsi="方正大标宋简体" w:eastAsia="方正大标宋简体" w:cs="方正大标宋简体"/>
          <w:sz w:val="36"/>
          <w:szCs w:val="36"/>
        </w:rPr>
      </w:pPr>
      <w:bookmarkStart w:id="36" w:name="_Toc88315712"/>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加快发展现代服务业</w:t>
      </w:r>
      <w:bookmarkEnd w:id="36"/>
    </w:p>
    <w:p w14:paraId="33AF46A6">
      <w:pPr>
        <w:pStyle w:val="57"/>
        <w:keepNext w:val="0"/>
        <w:keepLines w:val="0"/>
        <w:pageBreakBefore w:val="0"/>
        <w:widowControl w:val="0"/>
        <w:kinsoku/>
        <w:wordWrap w:val="0"/>
        <w:overflowPunct/>
        <w:topLinePunct/>
        <w:autoSpaceDE/>
        <w:autoSpaceDN/>
        <w:bidi w:val="0"/>
        <w:adjustRightInd/>
        <w:snapToGrid/>
        <w:spacing w:line="54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加快构建临武现代服务业新体系，推动生产性服务业向专业化和价值链高端延伸，促进生活性服务业标准化、品牌化和多样化升级，引导消费性服务业健康发展，不断增加基础性、公益性服务业供给。</w:t>
      </w:r>
    </w:p>
    <w:p w14:paraId="1AF79C44">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4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37" w:name="_Toc88315713"/>
      <w:r>
        <w:rPr>
          <w:rFonts w:hint="eastAsia" w:ascii="黑体" w:hAnsi="黑体" w:eastAsia="黑体" w:cs="黑体"/>
          <w:b w:val="0"/>
          <w:bCs w:val="0"/>
          <w:color w:val="000000" w:themeColor="text1"/>
          <w:szCs w:val="28"/>
          <w14:textFill>
            <w14:solidFill>
              <w14:schemeClr w14:val="tx1"/>
            </w14:solidFill>
          </w14:textFill>
        </w:rPr>
        <w:t>第一节  加快发展生产性服务业</w:t>
      </w:r>
      <w:bookmarkEnd w:id="37"/>
    </w:p>
    <w:p w14:paraId="57D82ED6">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大力推动现代物流业发展</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加快发展专业类物流交易中心和综合型物流园区、物流综合信息平台，推进临武县临东物流集散中心、临武B型保税物流中心等物流枢纽项目，推动临武冷链物流建设。以沿衡武高速、临连公路、S214三条向区外联络线建设物流服务业走廊。打造麦市</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临嘉区域性商贸物流基地、南强对粤农产品物流集散基地、汾市苗木产业物流集散基地。</w:t>
      </w:r>
    </w:p>
    <w:p w14:paraId="328002AA">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推动制造业服务业融合发展。</w:t>
      </w:r>
      <w:r>
        <w:rPr>
          <w:rFonts w:hint="eastAsia" w:cs="仿宋_GB2312"/>
          <w:color w:val="000000" w:themeColor="text1"/>
          <w:szCs w:val="28"/>
          <w14:textFill>
            <w14:solidFill>
              <w14:schemeClr w14:val="tx1"/>
            </w14:solidFill>
          </w14:textFill>
        </w:rPr>
        <w:t>围绕宝石玉、有色金属、特色农产品、新能源、碳酸钙等产业，着力发展技术转移服务、培育创业孵化，鼓励科技中介产业发展，建立科技成果转移、落地、产业化服务体系。深度挖掘商务、科技、研发等领域服务需求，培育电子信息、新能源、特色农业、文化创意等服务贸易。积极落实制造业与服务业融合发展政策，推动产业孵化、升级、产业链延伸。</w:t>
      </w:r>
    </w:p>
    <w:p w14:paraId="47F515CF">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推动网络服务业发展。</w:t>
      </w:r>
      <w:r>
        <w:rPr>
          <w:rFonts w:hint="eastAsia" w:cs="仿宋_GB2312"/>
          <w:color w:val="000000" w:themeColor="text1"/>
          <w:szCs w:val="28"/>
          <w14:textFill>
            <w14:solidFill>
              <w14:schemeClr w14:val="tx1"/>
            </w14:solidFill>
          </w14:textFill>
        </w:rPr>
        <w:t>推动电商、直播等新销售模式与本地特色农产品、宝玉石等特色产业产品相结合，大力培育“网红”农产品和推广宝玉石。积极组织引导农民专业合作社、农业产业化龙头企业与电商平台对接，开展媒体策划、品牌塑造及网络营销专项活动，提高临武农产品网络销售的知名度、信誉度和美誉度。实施“宝玉石+互联网”发展战略，建设和完善“宝玉石+互联网”交易平台，宣传推介临武宝玉石、矿晶。</w:t>
      </w:r>
    </w:p>
    <w:p w14:paraId="01B06BE1">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4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38" w:name="_Toc88315714"/>
      <w:r>
        <w:rPr>
          <w:rFonts w:hint="eastAsia" w:ascii="黑体" w:hAnsi="黑体" w:eastAsia="黑体" w:cs="黑体"/>
          <w:b w:val="0"/>
          <w:bCs w:val="0"/>
          <w:color w:val="000000" w:themeColor="text1"/>
          <w:szCs w:val="28"/>
          <w14:textFill>
            <w14:solidFill>
              <w14:schemeClr w14:val="tx1"/>
            </w14:solidFill>
          </w14:textFill>
        </w:rPr>
        <w:t>第二节  培育高品质生活性服务业</w:t>
      </w:r>
      <w:bookmarkEnd w:id="38"/>
    </w:p>
    <w:p w14:paraId="72D191A2">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科学布局城市商业。</w:t>
      </w:r>
      <w:r>
        <w:rPr>
          <w:rFonts w:hint="eastAsia" w:cs="仿宋_GB2312"/>
          <w:color w:val="000000" w:themeColor="text1"/>
          <w:szCs w:val="28"/>
          <w14:textFill>
            <w14:solidFill>
              <w14:schemeClr w14:val="tx1"/>
            </w14:solidFill>
          </w14:textFill>
        </w:rPr>
        <w:t>以全局性原则，布局一批农产品批发、生产资源批发、物流配送等基地，完善城市服务功能。以便利性为原则，在县城鼓励购物中心、大型百货等调整业态布局，形成文化、艺术、教育、餐饮娱乐、体验和零售多业态聚合的新型生活服务中心，提升城市生活品质；在工业集聚区域临近乡镇，布局集超市、商场、餐饮等生活性服务为一体的生活配套服务区，推动水东、金江等碳酸钙产业临近乡镇生活服务区建设。</w:t>
      </w:r>
    </w:p>
    <w:p w14:paraId="4F03D362">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加强农贸市场建设。</w:t>
      </w:r>
      <w:r>
        <w:rPr>
          <w:rFonts w:hint="eastAsia" w:cs="仿宋_GB2312"/>
          <w:color w:val="000000" w:themeColor="text1"/>
          <w:szCs w:val="28"/>
          <w14:textFill>
            <w14:solidFill>
              <w14:schemeClr w14:val="tx1"/>
            </w14:solidFill>
          </w14:textFill>
        </w:rPr>
        <w:t>以龙翔商贸广场项目为主要抓手，打造集农贸市场、果蔬批发区、水产批发区、活禽交易区、日用百货区，配套商务酒店、公厕、垃圾站、地下车库等综合一体的商贸市场。加快农贸市场质量安全标准和监控体系建设，加强大型超市与农民专业合作社的“农超对接”，建设农产品直接采购基地。建立和完善信息网络平台、公共服务平台，定期收集发布农产品生产、供求、质量、价格等信息。</w:t>
      </w:r>
    </w:p>
    <w:p w14:paraId="16AD9D7D">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szCs w:val="28"/>
        </w:rPr>
        <w:t>积极发展电子商务。</w:t>
      </w:r>
      <w:r>
        <w:rPr>
          <w:rFonts w:hint="eastAsia" w:cs="仿宋_GB2312"/>
          <w:color w:val="000000" w:themeColor="text1"/>
          <w:szCs w:val="28"/>
          <w14:textFill>
            <w14:solidFill>
              <w14:schemeClr w14:val="tx1"/>
            </w14:solidFill>
          </w14:textFill>
        </w:rPr>
        <w:t>依托本地特色资源产业，继续巩固“国家电子商务进农村综合示范县”创建成果，积极利用电子商务平台优化采购分销体系，提升企业经营效率。在农村完善电子商务配送及综合服务网络，着力解决农副产品标准化、物流标准化、冷链仓储建设等关键问题，发展农产品个性化定制服务。依托中欣国际商贸博览城，打造城市大型综合商贸体，鼓励利用网络销售，构建区域家居贸易市场。</w:t>
      </w:r>
    </w:p>
    <w:p w14:paraId="7D55AA74">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4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39" w:name="_Toc88315715"/>
      <w:r>
        <w:rPr>
          <w:rFonts w:hint="eastAsia" w:ascii="黑体" w:hAnsi="黑体" w:eastAsia="黑体" w:cs="黑体"/>
          <w:b w:val="0"/>
          <w:bCs w:val="0"/>
          <w:color w:val="000000" w:themeColor="text1"/>
          <w:szCs w:val="28"/>
          <w14:textFill>
            <w14:solidFill>
              <w14:schemeClr w14:val="tx1"/>
            </w14:solidFill>
          </w14:textFill>
        </w:rPr>
        <w:t>第三节  积极促进消费性服务业</w:t>
      </w:r>
      <w:bookmarkEnd w:id="39"/>
    </w:p>
    <w:p w14:paraId="7002629B">
      <w:pPr>
        <w:pStyle w:val="57"/>
        <w:keepNext w:val="0"/>
        <w:keepLines w:val="0"/>
        <w:pageBreakBefore w:val="0"/>
        <w:widowControl w:val="0"/>
        <w:kinsoku/>
        <w:wordWrap w:val="0"/>
        <w:overflowPunct/>
        <w:topLinePunct/>
        <w:autoSpaceDE/>
        <w:autoSpaceDN/>
        <w:bidi w:val="0"/>
        <w:adjustRightInd/>
        <w:snapToGrid/>
        <w:spacing w:line="540" w:lineRule="exact"/>
        <w:ind w:firstLine="640"/>
        <w:textAlignment w:val="auto"/>
        <w:rPr>
          <w:rFonts w:hint="eastAsia"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进一步完善社区生活服务，结合城市社区建设补短板、城镇老旧小区改造、已建社区房屋建筑和设施整治利用，因地制宜对社区早餐店、家政服务网点、理发店以及提供养老、托育服务的生活服务经营场所给予用地、办证、内部改造等方面支持。依托优良生态环境发展康养服务，依托临武县南国红豆庄园老年公寓康养中心、临西瑶谷富塘康养建设等项目，在汾市镇南福村、西瑶绿谷等有条件的乡镇和生态区，引进规模化、专业化医疗康养机构，着力打造临武生态康养项目品牌。</w:t>
      </w:r>
    </w:p>
    <w:p w14:paraId="7FE2570A">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540" w:lineRule="exact"/>
        <w:ind w:left="420" w:hanging="420"/>
        <w:textAlignment w:val="auto"/>
        <w:rPr>
          <w:rFonts w:hint="eastAsia" w:ascii="方正大标宋简体" w:hAnsi="方正大标宋简体" w:eastAsia="方正大标宋简体" w:cs="方正大标宋简体"/>
          <w:sz w:val="36"/>
          <w:szCs w:val="36"/>
        </w:rPr>
      </w:pPr>
      <w:bookmarkStart w:id="40" w:name="_Toc88315716"/>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加快数字经济发展</w:t>
      </w:r>
      <w:bookmarkEnd w:id="40"/>
    </w:p>
    <w:p w14:paraId="1F35D285">
      <w:pPr>
        <w:pStyle w:val="57"/>
        <w:keepNext w:val="0"/>
        <w:keepLines w:val="0"/>
        <w:pageBreakBefore w:val="0"/>
        <w:widowControl w:val="0"/>
        <w:kinsoku/>
        <w:wordWrap w:val="0"/>
        <w:overflowPunct/>
        <w:topLinePunct/>
        <w:autoSpaceDE/>
        <w:autoSpaceDN/>
        <w:bidi w:val="0"/>
        <w:adjustRightInd/>
        <w:snapToGrid/>
        <w:spacing w:line="54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依托新一代信息技术，加快推动产业数字化、数字产业化，培育新产业新业态新模式新动能，大力推动数字经济和实体经济深度融合，构建现代化数字经济体系。</w:t>
      </w:r>
    </w:p>
    <w:p w14:paraId="743E9FC7">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4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41" w:name="_Toc88315717"/>
      <w:r>
        <w:rPr>
          <w:rFonts w:hint="eastAsia" w:ascii="黑体" w:hAnsi="黑体" w:eastAsia="黑体" w:cs="黑体"/>
          <w:b w:val="0"/>
          <w:bCs w:val="0"/>
          <w:color w:val="000000" w:themeColor="text1"/>
          <w:szCs w:val="28"/>
          <w14:textFill>
            <w14:solidFill>
              <w14:schemeClr w14:val="tx1"/>
            </w14:solidFill>
          </w14:textFill>
        </w:rPr>
        <w:t>第一节  加快促进数字化产业发展</w:t>
      </w:r>
      <w:bookmarkEnd w:id="41"/>
    </w:p>
    <w:p w14:paraId="6676A0E6">
      <w:pPr>
        <w:pStyle w:val="57"/>
        <w:keepNext w:val="0"/>
        <w:keepLines w:val="0"/>
        <w:pageBreakBefore w:val="0"/>
        <w:widowControl w:val="0"/>
        <w:kinsoku/>
        <w:wordWrap w:val="0"/>
        <w:overflowPunct/>
        <w:topLinePunct/>
        <w:autoSpaceDE/>
        <w:autoSpaceDN/>
        <w:bidi w:val="0"/>
        <w:adjustRightInd/>
        <w:snapToGrid/>
        <w:spacing w:line="54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加快建设新一代信息网络基础设施，推动大数据在医疗健康、社会保障、教育文化和交通旅游等领域的创新应用，支持面向电子商务、全域旅游、大健康等重点领域的云服务平台建设。积极引进和培育软件服务企业，面向商务、交通、教育、医疗、文化、旅游、警务等重点领域，开展软件创新研发。</w:t>
      </w:r>
    </w:p>
    <w:p w14:paraId="26901105">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4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42" w:name="_Toc88315718"/>
      <w:r>
        <w:rPr>
          <w:rFonts w:hint="eastAsia" w:ascii="黑体" w:hAnsi="黑体" w:eastAsia="黑体" w:cs="黑体"/>
          <w:b w:val="0"/>
          <w:bCs w:val="0"/>
          <w:color w:val="000000" w:themeColor="text1"/>
          <w:szCs w:val="28"/>
          <w14:textFill>
            <w14:solidFill>
              <w14:schemeClr w14:val="tx1"/>
            </w14:solidFill>
          </w14:textFill>
        </w:rPr>
        <w:t>第二节  推动产业与数字化融合发展</w:t>
      </w:r>
      <w:bookmarkEnd w:id="42"/>
    </w:p>
    <w:p w14:paraId="45762A69">
      <w:pPr>
        <w:pStyle w:val="57"/>
        <w:keepNext w:val="0"/>
        <w:keepLines w:val="0"/>
        <w:pageBreakBefore w:val="0"/>
        <w:widowControl w:val="0"/>
        <w:kinsoku/>
        <w:wordWrap w:val="0"/>
        <w:overflowPunct/>
        <w:topLinePunct/>
        <w:autoSpaceDE/>
        <w:autoSpaceDN/>
        <w:bidi w:val="0"/>
        <w:adjustRightInd/>
        <w:snapToGrid/>
        <w:spacing w:line="54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推进农业生产智能化</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利用现代信息技术对生产要素进行合理分配，探索构建农业农村智慧产业体系，推进一批小而精的农业数字化基地建设。推进智能化、自动化成套装备技术集成应用，实现节水灌溉、测土配方施肥、饲料精准投放等智能化作业。积极对接省、市农业农村大数据平台建设，加快农业资源数据库和现代农业地理信息系统建设，加强农业遥感应用，发展农用航空，推进临武县涉农数据互联互通、共建共享，实现资源环境、灾害防御、质量追溯等动态监测和精准化管理。</w:t>
      </w:r>
    </w:p>
    <w:p w14:paraId="058A01A2">
      <w:pPr>
        <w:pStyle w:val="57"/>
        <w:keepNext w:val="0"/>
        <w:keepLines w:val="0"/>
        <w:pageBreakBefore w:val="0"/>
        <w:widowControl w:val="0"/>
        <w:kinsoku/>
        <w:wordWrap w:val="0"/>
        <w:overflowPunct/>
        <w:topLinePunct/>
        <w:autoSpaceDE/>
        <w:autoSpaceDN/>
        <w:bidi w:val="0"/>
        <w:adjustRightInd/>
        <w:snapToGrid/>
        <w:spacing w:line="54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推动制造业数字化转型。</w:t>
      </w:r>
      <w:r>
        <w:rPr>
          <w:rFonts w:hint="eastAsia" w:cs="仿宋_GB2312"/>
          <w:color w:val="000000" w:themeColor="text1"/>
          <w:szCs w:val="28"/>
          <w14:textFill>
            <w14:solidFill>
              <w14:schemeClr w14:val="tx1"/>
            </w14:solidFill>
          </w14:textFill>
        </w:rPr>
        <w:t>基于互联网+和5G技术的推广应用，加快工业互联网应用及向数字经济转型，推进网络协同制造，鼓励龙头企业整合资源构建产业链设计、生产与供应链资源有效组织的协同制造体系，推动制造业网络化、服务化、协同化、个性化发展。支持中小企业围绕产业链提供协作，引导信息技术企业与制造业企业开展多层次的合作，加快推进“大数据+”产业发展。</w:t>
      </w:r>
    </w:p>
    <w:p w14:paraId="5A73F31B">
      <w:pPr>
        <w:pStyle w:val="57"/>
        <w:keepNext w:val="0"/>
        <w:keepLines w:val="0"/>
        <w:pageBreakBefore w:val="0"/>
        <w:widowControl w:val="0"/>
        <w:kinsoku/>
        <w:wordWrap w:val="0"/>
        <w:overflowPunct/>
        <w:topLinePunct/>
        <w:autoSpaceDE/>
        <w:autoSpaceDN/>
        <w:bidi w:val="0"/>
        <w:adjustRightInd/>
        <w:snapToGrid/>
        <w:spacing w:line="54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推动智慧旅游发展，</w:t>
      </w:r>
      <w:r>
        <w:rPr>
          <w:rFonts w:hint="eastAsia" w:cs="仿宋_GB2312"/>
          <w:color w:val="000000" w:themeColor="text1"/>
          <w:szCs w:val="28"/>
          <w14:textFill>
            <w14:solidFill>
              <w14:schemeClr w14:val="tx1"/>
            </w14:solidFill>
          </w14:textFill>
        </w:rPr>
        <w:t>推进全域旅游信息化和智慧化建设，构建临武县旅游大数据支撑体系，为旅游行业管理、产业监管、统计分析、应急指挥、信息查询、宣传营销等提供决策支持。整合旅游产业运行监测数据，为旅客提供基础数据支撑。积极推进旅游应急指挥监控系统建设，强化西瑶绿谷、通天山、滴水源等重要旅游景区的实时应急指挥监控，推动景区智慧管理。完善景区通信网络基础设施，提升景区宽带网络能力。</w:t>
      </w:r>
    </w:p>
    <w:p w14:paraId="532B1F56">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43" w:name="_Toc88315719"/>
      <w:r>
        <w:rPr>
          <w:rFonts w:hint="eastAsia" w:ascii="黑体" w:hAnsi="黑体" w:eastAsia="黑体" w:cs="黑体"/>
          <w:b w:val="0"/>
          <w:bCs w:val="0"/>
          <w:color w:val="000000" w:themeColor="text1"/>
          <w:szCs w:val="28"/>
          <w14:textFill>
            <w14:solidFill>
              <w14:schemeClr w14:val="tx1"/>
            </w14:solidFill>
          </w14:textFill>
        </w:rPr>
        <w:t>第三节  大力培育数字市场化主体</w:t>
      </w:r>
      <w:bookmarkEnd w:id="43"/>
    </w:p>
    <w:p w14:paraId="7803A7F9">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引导银行、保险等金融机构加快互联网、云计算、大数据、人工智能、区块链等技术应用，支持传统金融业数字化转型升级，提升金融业务水平和效率。制定个性化、专业化招商服务方案，引进大数据、电子商务等为重点的高技术企业。推动数字经济发展，积极引进国内知名企业在临武落户。</w:t>
      </w:r>
    </w:p>
    <w:p w14:paraId="4E329693">
      <w:pPr>
        <w:keepNext w:val="0"/>
        <w:keepLines w:val="0"/>
        <w:pageBreakBefore w:val="0"/>
        <w:widowControl w:val="0"/>
        <w:kinsoku/>
        <w:wordWrap w:val="0"/>
        <w:overflowPunct/>
        <w:topLinePunct/>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智慧农业示范工程</w:t>
      </w:r>
    </w:p>
    <w:tbl>
      <w:tblPr>
        <w:tblStyle w:val="2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14:paraId="07C5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6" w:hRule="atLeast"/>
          <w:jc w:val="center"/>
        </w:trPr>
        <w:tc>
          <w:tcPr>
            <w:tcW w:w="8504" w:type="dxa"/>
            <w:shd w:val="clear" w:color="auto" w:fill="auto"/>
            <w:vAlign w:val="center"/>
          </w:tcPr>
          <w:p w14:paraId="61E5DAD0">
            <w:pPr>
              <w:pStyle w:val="72"/>
              <w:keepNext w:val="0"/>
              <w:keepLines w:val="0"/>
              <w:pageBreakBefore w:val="0"/>
              <w:widowControl w:val="0"/>
              <w:kinsoku/>
              <w:wordWrap w:val="0"/>
              <w:overflowPunct/>
              <w:topLinePunct/>
              <w:autoSpaceDE/>
              <w:autoSpaceDN/>
              <w:bidi w:val="0"/>
              <w:adjustRightInd/>
              <w:snapToGrid/>
              <w:spacing w:line="500" w:lineRule="exact"/>
              <w:ind w:firstLine="560"/>
              <w:jc w:val="both"/>
              <w:textAlignment w:val="auto"/>
            </w:pPr>
            <w:r>
              <w:rPr>
                <w:rFonts w:hint="eastAsia"/>
                <w:sz w:val="28"/>
                <w:szCs w:val="28"/>
              </w:rPr>
              <w:t>在舜峰镇、西瑶乡建立农业地理信息系统。在武水镇的鸭业养殖基地，东山、西山、桃竹山的肉牛养殖基地采用自动化技术。全方位引入“农作物重大病虫害数字化监测预警系统”、“测土配方施肥数据管理系统”、“土壤墒情监测预警系统”、“全国种子信息网上直报系统”等新型技术系统。依托物联网技术实现“手机种菜”，在临武县现代农业产业园精准推行生产监控、远程诊断以及精准施肥、节水灌溉、智能养殖等信息化管理。推进现代信息技术在东山林场农林管理、农业应急处置、指挥调度、质量追溯、农产品营销促销等方面的应用，积极促进移动互联网企业与农业产业化龙头企业及特色基地对接，重点在武水河、人民河、东山河“三河”沿岸等地建设一批智慧农业示范园区，建成一批集智能感知、智能传输、智能控制为一体的“智慧粮田”、“智慧果</w:t>
            </w:r>
            <w:r>
              <w:rPr>
                <w:rFonts w:hint="eastAsia"/>
                <w:sz w:val="28"/>
                <w:szCs w:val="28"/>
                <w:lang w:eastAsia="zh-CN"/>
              </w:rPr>
              <w:t>（</w:t>
            </w:r>
            <w:r>
              <w:rPr>
                <w:rFonts w:hint="eastAsia"/>
                <w:sz w:val="28"/>
                <w:szCs w:val="28"/>
              </w:rPr>
              <w:t>蔬、茶</w:t>
            </w:r>
            <w:r>
              <w:rPr>
                <w:rFonts w:hint="eastAsia"/>
                <w:sz w:val="28"/>
                <w:szCs w:val="28"/>
                <w:lang w:eastAsia="zh-CN"/>
              </w:rPr>
              <w:t>）</w:t>
            </w:r>
            <w:r>
              <w:rPr>
                <w:rFonts w:hint="eastAsia"/>
                <w:sz w:val="28"/>
                <w:szCs w:val="28"/>
              </w:rPr>
              <w:t>园”、“智慧林</w:t>
            </w:r>
            <w:r>
              <w:rPr>
                <w:rFonts w:hint="eastAsia"/>
                <w:sz w:val="28"/>
                <w:szCs w:val="28"/>
                <w:lang w:eastAsia="zh-CN"/>
              </w:rPr>
              <w:t>（</w:t>
            </w:r>
            <w:r>
              <w:rPr>
                <w:rFonts w:hint="eastAsia"/>
                <w:sz w:val="28"/>
                <w:szCs w:val="28"/>
              </w:rPr>
              <w:t>渔、牧</w:t>
            </w:r>
            <w:r>
              <w:rPr>
                <w:rFonts w:hint="eastAsia"/>
                <w:sz w:val="28"/>
                <w:szCs w:val="28"/>
                <w:lang w:eastAsia="zh-CN"/>
              </w:rPr>
              <w:t>）</w:t>
            </w:r>
            <w:r>
              <w:rPr>
                <w:rFonts w:hint="eastAsia"/>
                <w:sz w:val="28"/>
                <w:szCs w:val="28"/>
              </w:rPr>
              <w:t>场”等智慧农业示范基地。</w:t>
            </w:r>
          </w:p>
        </w:tc>
      </w:tr>
    </w:tbl>
    <w:p w14:paraId="6985FFEE">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420" w:hanging="420"/>
        <w:textAlignment w:val="auto"/>
        <w:rPr>
          <w:rFonts w:hint="eastAsia" w:ascii="方正大标宋简体" w:hAnsi="方正大标宋简体" w:eastAsia="方正大标宋简体" w:cs="方正大标宋简体"/>
          <w:sz w:val="36"/>
          <w:szCs w:val="36"/>
        </w:rPr>
      </w:pPr>
      <w:bookmarkStart w:id="44" w:name="_Toc88315720"/>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打造创新经济新高地</w:t>
      </w:r>
      <w:bookmarkEnd w:id="44"/>
    </w:p>
    <w:p w14:paraId="3E405390">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以落实创新驱动实现转型升级为主线，以园区为主要载体，推动科创产业、科创活动、科创企业、科创人才向临武集聚，将临武县建设成为资源型城市产业生态转型发展创新示范县。</w:t>
      </w:r>
    </w:p>
    <w:p w14:paraId="173A0DF6">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45" w:name="_Toc88315721"/>
      <w:r>
        <w:rPr>
          <w:rFonts w:hint="eastAsia" w:ascii="黑体" w:hAnsi="黑体" w:eastAsia="黑体" w:cs="黑体"/>
          <w:b w:val="0"/>
          <w:bCs w:val="0"/>
          <w:color w:val="000000" w:themeColor="text1"/>
          <w:szCs w:val="28"/>
          <w14:textFill>
            <w14:solidFill>
              <w14:schemeClr w14:val="tx1"/>
            </w14:solidFill>
          </w14:textFill>
        </w:rPr>
        <w:t>第一节  加快构建科技创新体系</w:t>
      </w:r>
      <w:bookmarkEnd w:id="45"/>
    </w:p>
    <w:p w14:paraId="2318E75D">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建设创新创业服务平台。</w:t>
      </w:r>
      <w:r>
        <w:rPr>
          <w:rFonts w:hint="eastAsia" w:cs="仿宋_GB2312"/>
          <w:color w:val="000000" w:themeColor="text1"/>
          <w:szCs w:val="28"/>
          <w14:textFill>
            <w14:solidFill>
              <w14:schemeClr w14:val="tx1"/>
            </w14:solidFill>
          </w14:textFill>
        </w:rPr>
        <w:t>建立县创业指导服务中心，为创新人员提供政策扶持、融资对接、信息咨询与指导、用工招聘等“一条龙”优质、便捷的创业服务。鼓励企业兴建三创载体和技术研发中心，积极参与市级、省级、国家级的认定，认定后政府给予一定奖励支持。支持孵化器主体承办跨地区跨领域的重大创业服务活动。鼓励社会资金建设孵化器和加速器。</w:t>
      </w:r>
    </w:p>
    <w:p w14:paraId="7885CAD8">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推动产研融合。</w:t>
      </w:r>
      <w:r>
        <w:rPr>
          <w:rFonts w:hint="eastAsia" w:cs="仿宋_GB2312"/>
          <w:color w:val="000000" w:themeColor="text1"/>
          <w:szCs w:val="28"/>
          <w14:textFill>
            <w14:solidFill>
              <w14:schemeClr w14:val="tx1"/>
            </w14:solidFill>
          </w14:textFill>
        </w:rPr>
        <w:t>引导企业进行生产设备和技术换代升级、新产品的研发和生产。重点开发共伴生矿、低尾矿产资源综合开发利用技术和贫矿、难选冶矿石利用技术，加强产学研与农科教有机结合等。推进三十六湾水质超标问题解决技术项目、纳米零价铁制备及水体修复技术开发与示范、中科久森新能源技术联合实验室等重大科技项目。鼓励本地龙头企业采取技术合作的方式进入本地重点行业，加快“本体+技术合作者+战略投资者”模式推广。推动企业与国内一流科研院所和高校开展关键技术攻关，围绕食品、电子信息、新能源电池等优势领域，建立一批实验室、工程研究中心、工程技术中心、产品质量监督检验中心和分析检测中心等，加强与北京矿冶研究总院、长沙有色设计研究院、北京有色金属研究总院、中南大学等科研院所合作建设一批产业技术开发平台和技术创新平台。</w:t>
      </w:r>
    </w:p>
    <w:p w14:paraId="7CA97520">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46" w:name="_Toc88315722"/>
      <w:r>
        <w:rPr>
          <w:rFonts w:hint="eastAsia" w:ascii="黑体" w:hAnsi="黑体" w:eastAsia="黑体" w:cs="黑体"/>
          <w:b w:val="0"/>
          <w:bCs w:val="0"/>
          <w:color w:val="000000" w:themeColor="text1"/>
          <w:szCs w:val="28"/>
          <w14:textFill>
            <w14:solidFill>
              <w14:schemeClr w14:val="tx1"/>
            </w14:solidFill>
          </w14:textFill>
        </w:rPr>
        <w:t>第二节  完善创新支撑体系</w:t>
      </w:r>
      <w:bookmarkEnd w:id="46"/>
    </w:p>
    <w:p w14:paraId="582FDAA6">
      <w:pPr>
        <w:pStyle w:val="57"/>
        <w:keepNext w:val="0"/>
        <w:keepLines w:val="0"/>
        <w:pageBreakBefore w:val="0"/>
        <w:widowControl w:val="0"/>
        <w:kinsoku/>
        <w:wordWrap w:val="0"/>
        <w:overflowPunct/>
        <w:topLinePunct/>
        <w:autoSpaceDE/>
        <w:autoSpaceDN/>
        <w:bidi w:val="0"/>
        <w:adjustRightInd/>
        <w:snapToGrid/>
        <w:spacing w:line="578"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发展技术转移推广服务。</w:t>
      </w:r>
      <w:r>
        <w:rPr>
          <w:rFonts w:hint="eastAsia" w:cs="仿宋_GB2312"/>
          <w:color w:val="000000" w:themeColor="text1"/>
          <w:szCs w:val="28"/>
          <w14:textFill>
            <w14:solidFill>
              <w14:schemeClr w14:val="tx1"/>
            </w14:solidFill>
          </w14:textFill>
        </w:rPr>
        <w:t>建立常态化产学研供需对接工作机制，支持高校、科研院所采取转让、许可、入股等方式加快科技成果转移转化。紧跟行业发展趋势，以满足本地产业及龙头企业发展需求为原则，培育创业孵化，鼓励科技中介环节产业发展，积极对接沿海地区技术转移服务机构，完善成果转移、落地、产业化服务体系。政府主导，持续推广“临武鸭孵化”，“鸭苗孵化与养殖”、“水稻的无人机播种”、“油菜、优质稻的小型收割机械”等技术。支持技术转移服务机构发展基于大数据、云计算、移动互联网等现代信息技术的新</w:t>
      </w:r>
      <w:r>
        <w:rPr>
          <w:rFonts w:hint="eastAsia" w:cs="仿宋_GB2312"/>
          <w:color w:val="000000" w:themeColor="text1"/>
          <w:spacing w:val="-6"/>
          <w:szCs w:val="28"/>
          <w14:textFill>
            <w14:solidFill>
              <w14:schemeClr w14:val="tx1"/>
            </w14:solidFill>
          </w14:textFill>
        </w:rPr>
        <w:t>型服务。积极落实技术合同交易补贴政策。搭建知识产权公共服务平台，建设临武县知识产权服务中心，为企业提供专利申报、商标申报等知识产权服务工作；出台知识产权激励等相关资金支持政策，加大扶持资金投入力度，创新研发合作模式，大力推动知识产权质押融资，加大知识产权工作经费投入；推动知识产权转化利用，对接金融机构，加快改革开放比肩沿海地区优惠政策，实现专利评估出资正常化。</w:t>
      </w:r>
    </w:p>
    <w:p w14:paraId="54DF1E18">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强化科技中介作用。</w:t>
      </w:r>
      <w:r>
        <w:rPr>
          <w:rFonts w:hint="eastAsia" w:cs="仿宋_GB2312"/>
          <w:color w:val="000000" w:themeColor="text1"/>
          <w:szCs w:val="28"/>
          <w14:textFill>
            <w14:solidFill>
              <w14:schemeClr w14:val="tx1"/>
            </w14:solidFill>
          </w14:textFill>
        </w:rPr>
        <w:t>在科技创新服务平台上增设中介服务板块，建立科技创新服务中介库，及时为技术型创新企业提供便捷服务。对在特色产业领域建立的行业协会给予充分的政策支持与奖励。培育和引进针对特色产业的科技及金融中介机构。引导并鼓励本地科技中介机构与国内外相关机构的合作与联系，进一步加强科技创新区域合作，搭建科技领域对外交流合作桥梁，组织高水平区域合作活动。</w:t>
      </w:r>
    </w:p>
    <w:p w14:paraId="593ACED3">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推动公共检测认证体系建设。</w:t>
      </w:r>
      <w:r>
        <w:rPr>
          <w:rFonts w:hint="eastAsia" w:cs="仿宋_GB2312"/>
          <w:color w:val="000000" w:themeColor="text1"/>
          <w:szCs w:val="28"/>
          <w14:textFill>
            <w14:solidFill>
              <w14:schemeClr w14:val="tx1"/>
            </w14:solidFill>
          </w14:textFill>
        </w:rPr>
        <w:t>针对特色产业，建立食品安全检测中心、有色金属材料检测中心、宝玉石检测认证中心等，加强公共检验检测技术服务能力建设。支持检验检测认证服务机构延伸综合服务，加快发展标准研发、信息咨询等服务业态，培育发展一批检验检测服务龙头企业。</w:t>
      </w:r>
    </w:p>
    <w:p w14:paraId="57DFA1EB">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47" w:name="_Toc88315723"/>
      <w:r>
        <w:rPr>
          <w:rFonts w:hint="eastAsia" w:ascii="黑体" w:hAnsi="黑体" w:eastAsia="黑体" w:cs="黑体"/>
          <w:b w:val="0"/>
          <w:bCs w:val="0"/>
          <w:color w:val="000000" w:themeColor="text1"/>
          <w:szCs w:val="28"/>
          <w14:textFill>
            <w14:solidFill>
              <w14:schemeClr w14:val="tx1"/>
            </w14:solidFill>
          </w14:textFill>
        </w:rPr>
        <w:t>第三节  增强人才保障能力</w:t>
      </w:r>
      <w:bookmarkEnd w:id="47"/>
    </w:p>
    <w:p w14:paraId="089A239B">
      <w:pPr>
        <w:keepNext w:val="0"/>
        <w:keepLines w:val="0"/>
        <w:pageBreakBefore w:val="0"/>
        <w:widowControl w:val="0"/>
        <w:kinsoku/>
        <w:wordWrap w:val="0"/>
        <w:overflowPunct/>
        <w:topLinePunct/>
        <w:autoSpaceDE/>
        <w:autoSpaceDN/>
        <w:bidi w:val="0"/>
        <w:adjustRightInd/>
        <w:snapToGrid/>
        <w:spacing w:line="610" w:lineRule="exact"/>
        <w:ind w:firstLine="643" w:firstLineChars="200"/>
        <w:textAlignment w:val="auto"/>
        <w:rPr>
          <w:color w:val="FF0000"/>
        </w:rPr>
      </w:pPr>
      <w:r>
        <w:rPr>
          <w:rFonts w:hint="eastAsia" w:ascii="楷体_GB2312" w:hAnsi="楷体_GB2312" w:eastAsia="楷体_GB2312" w:cs="楷体_GB2312"/>
          <w:b/>
          <w:bCs/>
        </w:rPr>
        <w:t>全面加强人才引进和培育。</w:t>
      </w:r>
      <w:r>
        <w:rPr>
          <w:rFonts w:hint="eastAsia"/>
          <w:color w:val="000000" w:themeColor="text1"/>
          <w14:textFill>
            <w14:solidFill>
              <w14:schemeClr w14:val="tx1"/>
            </w14:solidFill>
          </w14:textFill>
        </w:rPr>
        <w:t>充分利用湘粤合作开放机制，积极对外链接，瞄准湖南和广东等地人才市场，完善人才支持性政策，积极吸引产业领军人才、科技研发人才与创新创业人才、高层次管理服务人才。鼓励企业以设立</w:t>
      </w:r>
      <w:r>
        <w:rPr>
          <w:rFonts w:hint="eastAsia"/>
        </w:rPr>
        <w:t>院士、专家</w:t>
      </w:r>
      <w:r>
        <w:rPr>
          <w:rFonts w:hint="eastAsia"/>
          <w:color w:val="000000" w:themeColor="text1"/>
          <w14:textFill>
            <w14:solidFill>
              <w14:schemeClr w14:val="tx1"/>
            </w14:solidFill>
          </w14:textFill>
        </w:rPr>
        <w:t>工作站、建立联合实验室等方式吸引行业人才为临武服务。实施高层次人才特殊支持计划、领军型创新创业团队引进培育计划等重大人才工程，在先进装备制造、新一代信息技术、新材料、新能源、大旅游等重点领域引进培育一批高水平科学家、科技领军人才、工程师和创新团队，建立以增加知识价值分配为导向的人才政策，培育一大批具有工匠精神的高技能人才。完善人才培养、集聚、流动、发展机制，促进产学研用各环节人才自由流动，有效配置高效创新资源。为高端人才提供专家流动工作站和专家公寓，鼓励企业以技术、管理入股的方式留住人才。</w:t>
      </w:r>
      <w:r>
        <w:rPr>
          <w:rFonts w:hint="eastAsia"/>
          <w:color w:val="auto"/>
        </w:rPr>
        <w:t>大力弘扬科学精神和工匠精神，广泛开展科学普及活动，加强青少年科学兴趣引导和培养，形成热爱科学、崇尚创新的社会氛围，提高全民科学素质。</w:t>
      </w:r>
    </w:p>
    <w:p w14:paraId="1A5D38D0">
      <w:pPr>
        <w:keepNext w:val="0"/>
        <w:keepLines w:val="0"/>
        <w:pageBreakBefore w:val="0"/>
        <w:widowControl w:val="0"/>
        <w:kinsoku/>
        <w:wordWrap w:val="0"/>
        <w:overflowPunct/>
        <w:topLinePunct/>
        <w:autoSpaceDE/>
        <w:autoSpaceDN/>
        <w:bidi w:val="0"/>
        <w:adjustRightInd/>
        <w:snapToGrid/>
        <w:spacing w:line="570" w:lineRule="exact"/>
        <w:ind w:firstLine="643" w:firstLineChars="200"/>
        <w:textAlignment w:val="auto"/>
      </w:pPr>
      <w:r>
        <w:rPr>
          <w:rFonts w:hint="eastAsia" w:ascii="楷体_GB2312" w:hAnsi="楷体_GB2312" w:eastAsia="楷体_GB2312" w:cs="楷体_GB2312"/>
          <w:b/>
          <w:bCs/>
          <w:color w:val="000000"/>
          <w:szCs w:val="28"/>
        </w:rPr>
        <w:t>积极创新人才评价机制。</w:t>
      </w:r>
      <w:r>
        <w:rPr>
          <w:rFonts w:hint="eastAsia"/>
        </w:rPr>
        <w:t>改进人才评价考核方式，充分发</w:t>
      </w:r>
      <w:r>
        <w:rPr>
          <w:rFonts w:hint="eastAsia"/>
          <w:color w:val="000000" w:themeColor="text1"/>
          <w14:textFill>
            <w14:solidFill>
              <w14:schemeClr w14:val="tx1"/>
            </w14:solidFill>
          </w14:textFill>
        </w:rPr>
        <w:t>挥政府、市场、专业组织、用人单位等多元评价主体作用，建立完善科学化、社会化、市场化的人才评价制度。要加强评审专家数据库建设，优化入库专家结构。建立评价责任和信誉制度。适当延长基础研究人才评价考核周期。改革职称制度和职业资格制度，探索海外高层次人才、急需紧缺人才职称直接认定办法。突出用人主体在职称评审中的主导作用，合理界定和下放职称评审权限。</w:t>
      </w:r>
    </w:p>
    <w:p w14:paraId="30003C40">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pacing w:val="6"/>
          <w:szCs w:val="28"/>
          <w14:textFill>
            <w14:solidFill>
              <w14:schemeClr w14:val="tx1"/>
            </w14:solidFill>
          </w14:textFill>
        </w:rPr>
      </w:pPr>
      <w:r>
        <w:rPr>
          <w:rFonts w:hint="eastAsia" w:ascii="楷体_GB2312" w:hAnsi="楷体_GB2312" w:eastAsia="楷体_GB2312" w:cs="楷体_GB2312"/>
          <w:b/>
          <w:bCs/>
          <w:szCs w:val="28"/>
        </w:rPr>
        <w:t>加快提升人才优质服务水平。</w:t>
      </w:r>
      <w:r>
        <w:rPr>
          <w:rFonts w:hint="eastAsia" w:cs="仿宋_GB2312"/>
          <w:color w:val="000000" w:themeColor="text1"/>
          <w:szCs w:val="28"/>
          <w14:textFill>
            <w14:solidFill>
              <w14:schemeClr w14:val="tx1"/>
            </w14:solidFill>
          </w14:textFill>
        </w:rPr>
        <w:t>树立“人才第一”的识才用才意识，怀有“没有人才就要落后挨打”的忧患意识，适应市场配置人才资源的形势要求，在薪酬待遇上加强探索、舍得投入，有效解决引才留才难问题。完善人才生活居住条件，出台相关人才优惠政策，全面优化人才发展的硬环境与软环境。围绕“人才链”构建“服务链”，对户籍签证、子女入学、医疗保险、创业投资等</w:t>
      </w:r>
      <w:r>
        <w:rPr>
          <w:rFonts w:hint="eastAsia" w:cs="仿宋_GB2312"/>
          <w:color w:val="000000" w:themeColor="text1"/>
          <w:spacing w:val="-6"/>
          <w:szCs w:val="28"/>
          <w14:textFill>
            <w14:solidFill>
              <w14:schemeClr w14:val="tx1"/>
            </w14:solidFill>
          </w14:textFill>
        </w:rPr>
        <w:t>，实行“一站式”受理服务，千方百计帮助解决工作和生活中的困难。建立上下贯通“一站式”人才公共服务平台，大力营造人人皆可创新、创新惠及人人的社会氛围。</w:t>
      </w:r>
    </w:p>
    <w:p w14:paraId="73EBC45D">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科技创新重大项目</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9"/>
      </w:tblGrid>
      <w:tr w14:paraId="04B6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9" w:type="dxa"/>
            <w:shd w:val="clear" w:color="auto" w:fill="auto"/>
          </w:tcPr>
          <w:p w14:paraId="2D18E969">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三十六湾水质超标问题解决技术项目。</w:t>
            </w:r>
            <w:r>
              <w:rPr>
                <w:rFonts w:hint="eastAsia"/>
              </w:rPr>
              <w:t>对甘溪河流域地下暗河分布及流向、流量开展勘测，绘制图件，提出地下水重金属污染低成本、高效率治理方案；对甘溪河流域现存的两家合法采选企业</w:t>
            </w:r>
            <w:r>
              <w:rPr>
                <w:rFonts w:hint="eastAsia"/>
                <w:lang w:eastAsia="zh-CN"/>
              </w:rPr>
              <w:t>（</w:t>
            </w:r>
            <w:r>
              <w:rPr>
                <w:rFonts w:hint="eastAsia"/>
              </w:rPr>
              <w:t>南方矿业和香锡公司</w:t>
            </w:r>
            <w:r>
              <w:rPr>
                <w:rFonts w:hint="eastAsia"/>
                <w:lang w:eastAsia="zh-CN"/>
              </w:rPr>
              <w:t>）</w:t>
            </w:r>
            <w:r>
              <w:rPr>
                <w:rFonts w:hint="eastAsia"/>
              </w:rPr>
              <w:t>的尾矿库防渗性能开展跟踪检测，核实两个企业尾矿库是否存在渗漏，渗漏水去向，制定尾矿库整改方案。</w:t>
            </w:r>
          </w:p>
          <w:p w14:paraId="6C09AE83">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纳米零价铁制备及水体修复技术开发与示范。</w:t>
            </w:r>
            <w:r>
              <w:rPr>
                <w:rFonts w:hint="eastAsia"/>
              </w:rPr>
              <w:t>开发纳米零价铁稳定化制备和保存技术；开发纳米零价铁的注入与提取技术，构建水体原位修复技术集成；构建矿区水系修复示范区，并向省内同类型矿区进行推广应用。</w:t>
            </w:r>
          </w:p>
          <w:p w14:paraId="135C578E">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牧草临武鸭环保养殖与绿色加工关键技术研究与应用。</w:t>
            </w:r>
            <w:r>
              <w:rPr>
                <w:rFonts w:hint="eastAsia"/>
              </w:rPr>
              <w:t>实施牧草养殖临武鸭中试，制定牧草临武鸭标准化养殖技术规程，实施鲜草喂养、颗粒饲料喂养，实施鸭子理化指标对比测试、养殖成本对比核算；开展低温高湿解冻技术、在线造影捡漏技术、调理式灭菌技术、真空预冷技术、低温烘烤技术在牧草鸭预制菜、冰爽鸭、充氮酱板鸭产品上的应用中试。</w:t>
            </w:r>
          </w:p>
          <w:p w14:paraId="263B1113">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铝容器关键技术及铝质材料固废资源化研究电解电。</w:t>
            </w:r>
            <w:r>
              <w:rPr>
                <w:rFonts w:hint="eastAsia"/>
              </w:rPr>
              <w:t>解决电容器关键技术问题：产品使用温度范围窄、可靠性不高、使用寿命不长等问题；金属铝元素是铝电解电容器生产当中必须使用到的主要原材料，如铝箔、铝壳、导针这些都是高纯度铝质材料。</w:t>
            </w:r>
          </w:p>
          <w:p w14:paraId="05264F51">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北美橡树规范化种植和在土壤重金属污染修复中的潜力与应用。</w:t>
            </w:r>
            <w:r>
              <w:rPr>
                <w:rFonts w:hint="eastAsia"/>
              </w:rPr>
              <w:t>建设4000亩橡树基地。</w:t>
            </w:r>
          </w:p>
          <w:p w14:paraId="563239D4">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微水头新能源高效发电设备及绿色生态微水头电站关键技术研究与应用。</w:t>
            </w:r>
            <w:r>
              <w:rPr>
                <w:rFonts w:hint="eastAsia"/>
              </w:rPr>
              <w:t>围绕超低微水头水能转换机械能再转换到电能国际前沿技术的研究及应用，建设微水头新能源高效发电设备及绿色生态微水头电站重点研发平台。</w:t>
            </w:r>
          </w:p>
          <w:p w14:paraId="6F166D89">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中科久森新能源技术联合实验室。</w:t>
            </w:r>
            <w:r>
              <w:rPr>
                <w:rFonts w:hint="eastAsia"/>
              </w:rPr>
              <w:t>与中国科学研究院深圳先进技术研究院签订合作建设联合实验室。</w:t>
            </w:r>
          </w:p>
          <w:p w14:paraId="0580AEFA">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重大创新平台建设。</w:t>
            </w:r>
            <w:r>
              <w:rPr>
                <w:rFonts w:hint="eastAsia"/>
              </w:rPr>
              <w:t>建设导电性高分子叠层固态电容器重点研发平台，建设临武县农产品</w:t>
            </w:r>
            <w:r>
              <w:rPr>
                <w:rFonts w:hint="eastAsia"/>
                <w:lang w:eastAsia="zh-CN"/>
              </w:rPr>
              <w:t>（</w:t>
            </w:r>
            <w:r>
              <w:rPr>
                <w:rFonts w:hint="eastAsia"/>
              </w:rPr>
              <w:t>食品</w:t>
            </w:r>
            <w:r>
              <w:rPr>
                <w:rFonts w:hint="eastAsia"/>
                <w:lang w:eastAsia="zh-CN"/>
              </w:rPr>
              <w:t>）</w:t>
            </w:r>
            <w:r>
              <w:rPr>
                <w:rFonts w:hint="eastAsia"/>
              </w:rPr>
              <w:t>质量安全检验检测中心，创建食品安全示范县。</w:t>
            </w:r>
          </w:p>
        </w:tc>
      </w:tr>
    </w:tbl>
    <w:p w14:paraId="6198E63A">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p>
    <w:p w14:paraId="12BD9E5E">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sectPr>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7E2A7BAE">
      <w:pPr>
        <w:pStyle w:val="3"/>
        <w:keepNext w:val="0"/>
        <w:keepLines w:val="0"/>
        <w:pageBreakBefore w:val="0"/>
        <w:widowControl w:val="0"/>
        <w:numPr>
          <w:ilvl w:val="0"/>
          <w:numId w:val="0"/>
        </w:numPr>
        <w:shd w:val="clear"/>
        <w:kinsoku/>
        <w:wordWrap w:val="0"/>
        <w:overflowPunct/>
        <w:topLinePunct/>
        <w:autoSpaceDE/>
        <w:autoSpaceDN/>
        <w:bidi w:val="0"/>
        <w:spacing w:before="0" w:after="0" w:line="600" w:lineRule="exact"/>
        <w:ind w:leftChars="0"/>
        <w:jc w:val="center"/>
        <w:rPr>
          <w:shd w:val="clear"/>
        </w:rPr>
      </w:pPr>
      <w:bookmarkStart w:id="48" w:name="_Toc88315724"/>
      <w:r>
        <w:rPr>
          <w:rFonts w:hint="eastAsia"/>
          <w:shd w:val="clear"/>
          <w:lang w:val="en-US" w:eastAsia="zh-CN"/>
        </w:rPr>
        <w:t xml:space="preserve">第三篇  </w:t>
      </w:r>
      <w:r>
        <w:rPr>
          <w:rFonts w:hint="eastAsia"/>
          <w:shd w:val="clear"/>
        </w:rPr>
        <w:t>着力构建湘南改革开放新高地</w:t>
      </w:r>
      <w:bookmarkEnd w:id="48"/>
    </w:p>
    <w:p w14:paraId="4B9DE992">
      <w:pPr>
        <w:pStyle w:val="57"/>
        <w:keepNext w:val="0"/>
        <w:keepLines w:val="0"/>
        <w:pageBreakBefore w:val="0"/>
        <w:widowControl w:val="0"/>
        <w:kinsoku/>
        <w:wordWrap w:val="0"/>
        <w:overflowPunct/>
        <w:topLinePunct/>
        <w:autoSpaceDE/>
        <w:autoSpaceDN/>
        <w:bidi w:val="0"/>
        <w:spacing w:line="600" w:lineRule="exact"/>
        <w:ind w:firstLine="640"/>
        <w:rPr>
          <w:rFonts w:hint="eastAsia" w:cs="仿宋_GB2312"/>
          <w:color w:val="000000" w:themeColor="text1"/>
          <w:szCs w:val="28"/>
          <w14:textFill>
            <w14:solidFill>
              <w14:schemeClr w14:val="tx1"/>
            </w14:solidFill>
          </w14:textFill>
        </w:rPr>
      </w:pPr>
    </w:p>
    <w:p w14:paraId="3E2FBF14">
      <w:pPr>
        <w:pStyle w:val="57"/>
        <w:keepNext w:val="0"/>
        <w:keepLines w:val="0"/>
        <w:pageBreakBefore w:val="0"/>
        <w:widowControl w:val="0"/>
        <w:kinsoku/>
        <w:wordWrap w:val="0"/>
        <w:overflowPunct/>
        <w:topLinePunct/>
        <w:autoSpaceDE/>
        <w:autoSpaceDN/>
        <w:bidi w:val="0"/>
        <w:adjustRightInd/>
        <w:snapToGrid/>
        <w:spacing w:line="610" w:lineRule="exact"/>
        <w:ind w:firstLine="640"/>
        <w:textAlignment w:val="auto"/>
        <w:rPr>
          <w:rFonts w:hint="eastAsia"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坚持社会主义市场经济改革方向，推进要素资源高效配置，改善提升市场环境和质量，完善现代化市场监管机制，畅通市场循环，疏通堵点，努力实现市场准入畅通、开放有序、竞争充分、秩序规范，为构建新发展格局提供有力的制度支撑。</w:t>
      </w:r>
    </w:p>
    <w:p w14:paraId="3A3E462B">
      <w:pPr>
        <w:pStyle w:val="57"/>
        <w:keepNext w:val="0"/>
        <w:keepLines w:val="0"/>
        <w:pageBreakBefore w:val="0"/>
        <w:widowControl w:val="0"/>
        <w:kinsoku/>
        <w:wordWrap w:val="0"/>
        <w:overflowPunct/>
        <w:topLinePunct/>
        <w:autoSpaceDE/>
        <w:autoSpaceDN/>
        <w:bidi w:val="0"/>
        <w:spacing w:line="600" w:lineRule="exact"/>
        <w:ind w:firstLine="640"/>
        <w:rPr>
          <w:rFonts w:hint="eastAsia" w:cs="仿宋_GB2312"/>
          <w:color w:val="000000" w:themeColor="text1"/>
          <w:szCs w:val="28"/>
          <w14:textFill>
            <w14:solidFill>
              <w14:schemeClr w14:val="tx1"/>
            </w14:solidFill>
          </w14:textFill>
        </w:rPr>
      </w:pPr>
    </w:p>
    <w:p w14:paraId="4A93125C">
      <w:pPr>
        <w:pStyle w:val="4"/>
        <w:keepNext w:val="0"/>
        <w:keepLines w:val="0"/>
        <w:pageBreakBefore w:val="0"/>
        <w:widowControl w:val="0"/>
        <w:kinsoku/>
        <w:wordWrap w:val="0"/>
        <w:overflowPunct/>
        <w:topLinePunct/>
        <w:autoSpaceDE/>
        <w:autoSpaceDN/>
        <w:bidi w:val="0"/>
        <w:spacing w:before="0" w:after="0" w:line="600" w:lineRule="exact"/>
        <w:rPr>
          <w:rFonts w:hint="eastAsia" w:ascii="方正大标宋简体" w:hAnsi="方正大标宋简体" w:eastAsia="方正大标宋简体" w:cs="方正大标宋简体"/>
          <w:sz w:val="36"/>
          <w:szCs w:val="36"/>
        </w:rPr>
      </w:pPr>
      <w:bookmarkStart w:id="49" w:name="_Toc88315725"/>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持续优化营商环境</w:t>
      </w:r>
      <w:bookmarkEnd w:id="49"/>
    </w:p>
    <w:p w14:paraId="5D1A10C6"/>
    <w:p w14:paraId="5BC585A5">
      <w:pPr>
        <w:pStyle w:val="57"/>
        <w:keepNext w:val="0"/>
        <w:keepLines w:val="0"/>
        <w:pageBreakBefore w:val="0"/>
        <w:widowControl w:val="0"/>
        <w:kinsoku/>
        <w:wordWrap w:val="0"/>
        <w:overflowPunct/>
        <w:topLinePunct/>
        <w:autoSpaceDE/>
        <w:autoSpaceDN/>
        <w:bidi w:val="0"/>
        <w:adjustRightInd/>
        <w:snapToGrid/>
        <w:spacing w:line="61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全面推进审批提速、服务提标，打造服务一流、履职到位、开放包容的政务环境。</w:t>
      </w:r>
    </w:p>
    <w:p w14:paraId="1DDD77CE">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50" w:name="_Toc88315726"/>
      <w:r>
        <w:rPr>
          <w:rFonts w:hint="eastAsia" w:ascii="黑体" w:hAnsi="黑体" w:eastAsia="黑体" w:cs="黑体"/>
          <w:b w:val="0"/>
          <w:bCs w:val="0"/>
          <w:color w:val="000000" w:themeColor="text1"/>
          <w:szCs w:val="28"/>
          <w14:textFill>
            <w14:solidFill>
              <w14:schemeClr w14:val="tx1"/>
            </w14:solidFill>
          </w14:textFill>
        </w:rPr>
        <w:t>第一节  打造良好政务环境</w:t>
      </w:r>
      <w:bookmarkEnd w:id="50"/>
    </w:p>
    <w:p w14:paraId="7C7AAC7D">
      <w:pPr>
        <w:pStyle w:val="57"/>
        <w:keepNext w:val="0"/>
        <w:keepLines w:val="0"/>
        <w:pageBreakBefore w:val="0"/>
        <w:widowControl w:val="0"/>
        <w:kinsoku/>
        <w:wordWrap w:val="0"/>
        <w:overflowPunct/>
        <w:topLinePunct/>
        <w:autoSpaceDE/>
        <w:autoSpaceDN/>
        <w:bidi w:val="0"/>
        <w:adjustRightInd/>
        <w:snapToGrid/>
        <w:spacing w:line="612"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提升政务服务标准化水平</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落实图表化、清单化、手册化、模板化、机制化的“五化”要求，打造“人有工作标准，事有质量标准，物有管理标准”的标准化政务工作格局。推进“权力清单”和“责任清单”两单融合，实施动态管理机制，及时进行调整，并通过政府网站向社会公布；完善行政许可事项的设定依据、实施单位、许可条件、办理程序及时限、申请材料等各种要素，明确其从咨询、预约、受理、审查、告知、送达等各环节的标准化流程。</w:t>
      </w:r>
    </w:p>
    <w:p w14:paraId="39287306">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深化“放管服”改革。</w:t>
      </w:r>
      <w:r>
        <w:rPr>
          <w:rFonts w:hint="eastAsia" w:cs="仿宋_GB2312"/>
          <w:color w:val="000000" w:themeColor="text1"/>
          <w:szCs w:val="28"/>
          <w14:textFill>
            <w14:solidFill>
              <w14:schemeClr w14:val="tx1"/>
            </w14:solidFill>
          </w14:textFill>
        </w:rPr>
        <w:t>进一步实施简政放权，大力推行“零审批”、“承诺制”审批模式，实现审批门槛再降低。继续深化“一件事一次办”、“互联网+政务服务”等政务服务综合改革；继续深化商事登记制度和一照一码、多证合一改革；加快“互联网+政务服务”体系建设，充分利用网络平台，努力实现“网上办”“智能办”模式；推动更多审批服务事项，尤其是涉及重大产业项目、群众重点关注及办理频次较高的事项进驻政务大厅。实施行政审批再提速，将审批由多部门转向一部门，精简办事流程、材料及审批手续，压缩各审批环节时间。</w:t>
      </w:r>
    </w:p>
    <w:p w14:paraId="404DAFC4">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推动监管质量提升。</w:t>
      </w:r>
      <w:r>
        <w:rPr>
          <w:rFonts w:hint="eastAsia" w:cs="仿宋_GB2312"/>
          <w:color w:val="000000" w:themeColor="text1"/>
          <w:szCs w:val="28"/>
          <w14:textFill>
            <w14:solidFill>
              <w14:schemeClr w14:val="tx1"/>
            </w14:solidFill>
          </w14:textFill>
        </w:rPr>
        <w:t>推动“放管服”向纵深方向推进，打破机制体制藩篱，进一步完善审管机制；建立行政审批与监管协调联动工作机制，全面落实“谁审批、谁监管，谁主管、谁监管”的监管责任；按照鼓励创新的原则，对新技术、新业态、新模式等实行审慎监管；全面推进“双随机、一公开”监管；以政务诚信为先导，推动政务合同、产业政策“上网”备案，逐步建立起覆盖全社会的社会信用体系，全力打造“信用临武”，完善信用监管机制；推进大数据监管，加强监管信息共享互联，建立健全跨部门行政执法联合相应和协作机制。</w:t>
      </w:r>
    </w:p>
    <w:p w14:paraId="2F6CC6A3">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构建亲清政商关系。</w:t>
      </w:r>
      <w:r>
        <w:rPr>
          <w:rFonts w:hint="eastAsia" w:cs="仿宋_GB2312"/>
          <w:color w:val="000000" w:themeColor="text1"/>
          <w:szCs w:val="28"/>
          <w14:textFill>
            <w14:solidFill>
              <w14:schemeClr w14:val="tx1"/>
            </w14:solidFill>
          </w14:textFill>
        </w:rPr>
        <w:t>建立规范化机制化政企沟通渠道，定期到民营企业开展调研、召开民营企业家座谈会，听取民营企业家的意见建议；完善涉企政策制定与执行机制，在制定重大规划、改革方案，或涉及市场准入、环境保护、安全生产、招标采购、科技创新、人才引进等政策时，充分听取民营企业家的意见，从源头上为各种所有制经济营造公平公正的政策环境；创新民营企业服务模式，进一步提高政务服务的标准化、透明化，让服务办事有据可依；建立政府诚信履约机制，深入开展政务诚信建设。</w:t>
      </w:r>
    </w:p>
    <w:p w14:paraId="16277C56">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51" w:name="_Toc88315727"/>
      <w:r>
        <w:rPr>
          <w:rFonts w:hint="eastAsia" w:ascii="黑体" w:hAnsi="黑体" w:eastAsia="黑体" w:cs="黑体"/>
          <w:b w:val="0"/>
          <w:bCs w:val="0"/>
          <w:color w:val="000000" w:themeColor="text1"/>
          <w:szCs w:val="28"/>
          <w14:textFill>
            <w14:solidFill>
              <w14:schemeClr w14:val="tx1"/>
            </w14:solidFill>
          </w14:textFill>
        </w:rPr>
        <w:t>第二节  营造公平市场环境</w:t>
      </w:r>
      <w:bookmarkEnd w:id="51"/>
    </w:p>
    <w:p w14:paraId="080B5CA0">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打造宽松便捷市场准入环境。</w:t>
      </w:r>
      <w:r>
        <w:rPr>
          <w:rFonts w:hint="eastAsia" w:cs="仿宋_GB2312"/>
          <w:color w:val="000000" w:themeColor="text1"/>
          <w:szCs w:val="28"/>
          <w14:textFill>
            <w14:solidFill>
              <w14:schemeClr w14:val="tx1"/>
            </w14:solidFill>
          </w14:textFill>
        </w:rPr>
        <w:t>进一步完善市场准入制度，大力实施市场准入负面清单制度，全面推行“非禁即入”准入政策，形成公平统一、开放透明的市场准入规则。持续激发市场活力，着力消除市场领域权力寻租，改革完善事中事后监管制度，不断改善大众创业、万众创新的市场环境。缩减投资办企业时间，促进新增市场主体快速增长、活跃发展，使新设企业生命周期延长，企业数量增长显著。</w:t>
      </w:r>
    </w:p>
    <w:p w14:paraId="43CF63BC">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打造公平有序的市场竞争秩序。</w:t>
      </w:r>
      <w:r>
        <w:rPr>
          <w:rFonts w:hint="eastAsia" w:cs="仿宋_GB2312"/>
          <w:color w:val="000000" w:themeColor="text1"/>
          <w:szCs w:val="28"/>
          <w14:textFill>
            <w14:solidFill>
              <w14:schemeClr w14:val="tx1"/>
            </w14:solidFill>
          </w14:textFill>
        </w:rPr>
        <w:t>全面实施公平竞争审查制度，严格约束政府行为；坚决打击垄断和不正当竞争行为，全力治理侵权假冒、地方保护、行业壁垒、企业垄断等行为，2025年基本建立公平竞争、优胜劣汰机制。全力改善市场秩序，打造“临武品牌”，使商标品牌作用充分发挥，市场主体质量显著提升；主动适应和引领群众新需求、市场新趋势，为新经济、新业态、新模式发展营造宽松有利市场竞争环境。</w:t>
      </w:r>
    </w:p>
    <w:p w14:paraId="69686431">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打造安全放心的市场消费环境。</w:t>
      </w:r>
      <w:r>
        <w:rPr>
          <w:rFonts w:hint="eastAsia" w:cs="仿宋_GB2312"/>
          <w:color w:val="000000" w:themeColor="text1"/>
          <w:szCs w:val="28"/>
          <w14:textFill>
            <w14:solidFill>
              <w14:schemeClr w14:val="tx1"/>
            </w14:solidFill>
          </w14:textFill>
        </w:rPr>
        <w:t>以满足人民群众消费升级美好向往为目标，推进需求供给侧结构性改革；完善消费维权机制，不断壮大消费者协会和其他消费者组织，提高消费维权社会化水平。强化质量服务，进一步提高品牌建设能力和技术创新水平，提高消费者满意度。建立与临武县经济社会发展水平相适应的市场监管安全治理体系，确保不发生区域性、行业性、系统性、源发性事件以及食品、药品、特种设备、重点工业产品重特大安全事故，营造消费者满意放心的市场消费环境。</w:t>
      </w:r>
    </w:p>
    <w:p w14:paraId="250FC703">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hint="eastAsia"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加强产权保护力度。</w:t>
      </w:r>
      <w:r>
        <w:rPr>
          <w:rFonts w:hint="eastAsia" w:cs="仿宋_GB2312"/>
          <w:color w:val="000000" w:themeColor="text1"/>
          <w:szCs w:val="28"/>
          <w14:textFill>
            <w14:solidFill>
              <w14:schemeClr w14:val="tx1"/>
            </w14:solidFill>
          </w14:textFill>
        </w:rPr>
        <w:t>进一步完善执法、司法、守法等体制机制，依法保护所有制经济组织和公民物权、债权、知识产权等财产权；严格规范涉案财产法律处置程序，坚决打击侵害所有制经济组织和公民合法财产权行为；加大产权司法保护力度，依法保护所有制经济组织和公民合法权益；完善产权司法救助体系，健全各层级救助工作网络，畅通司法救助资金渠道，完善司法救助操作规范。</w:t>
      </w:r>
    </w:p>
    <w:p w14:paraId="114A4055">
      <w:pPr>
        <w:pStyle w:val="57"/>
        <w:keepNext w:val="0"/>
        <w:keepLines w:val="0"/>
        <w:pageBreakBefore w:val="0"/>
        <w:widowControl w:val="0"/>
        <w:kinsoku/>
        <w:wordWrap w:val="0"/>
        <w:overflowPunct/>
        <w:topLinePunct/>
        <w:autoSpaceDE/>
        <w:autoSpaceDN/>
        <w:bidi w:val="0"/>
        <w:spacing w:line="600" w:lineRule="exact"/>
        <w:ind w:firstLine="643"/>
        <w:rPr>
          <w:rFonts w:hint="eastAsia" w:cs="仿宋_GB2312"/>
          <w:color w:val="000000" w:themeColor="text1"/>
          <w:szCs w:val="28"/>
          <w14:textFill>
            <w14:solidFill>
              <w14:schemeClr w14:val="tx1"/>
            </w14:solidFill>
          </w14:textFill>
        </w:rPr>
      </w:pPr>
    </w:p>
    <w:p w14:paraId="5239BCD3">
      <w:pPr>
        <w:pStyle w:val="4"/>
        <w:keepNext w:val="0"/>
        <w:keepLines w:val="0"/>
        <w:pageBreakBefore w:val="0"/>
        <w:widowControl w:val="0"/>
        <w:kinsoku/>
        <w:wordWrap w:val="0"/>
        <w:overflowPunct/>
        <w:topLinePunct/>
        <w:autoSpaceDE/>
        <w:autoSpaceDN/>
        <w:bidi w:val="0"/>
        <w:spacing w:before="0" w:after="0" w:line="600" w:lineRule="exact"/>
        <w:rPr>
          <w:rFonts w:hint="eastAsia" w:ascii="方正大标宋简体" w:hAnsi="方正大标宋简体" w:eastAsia="方正大标宋简体" w:cs="方正大标宋简体"/>
          <w:sz w:val="36"/>
          <w:szCs w:val="36"/>
        </w:rPr>
      </w:pPr>
      <w:bookmarkStart w:id="52" w:name="_Toc88315728"/>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加大要素市场改革</w:t>
      </w:r>
      <w:bookmarkEnd w:id="52"/>
    </w:p>
    <w:p w14:paraId="56F22DA4">
      <w:pPr>
        <w:rPr>
          <w:rFonts w:hint="eastAsia"/>
        </w:rPr>
      </w:pPr>
    </w:p>
    <w:p w14:paraId="1F82A833">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加快破除要素自由流动体制机制障碍，扩大要素市场化配置范围，健全要素市场体系，提升要素服务发展能力。</w:t>
      </w:r>
    </w:p>
    <w:p w14:paraId="68646846">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53" w:name="_Toc88315729"/>
      <w:r>
        <w:rPr>
          <w:rFonts w:hint="eastAsia" w:ascii="黑体" w:hAnsi="黑体" w:eastAsia="黑体" w:cs="黑体"/>
          <w:b w:val="0"/>
          <w:bCs w:val="0"/>
          <w:color w:val="000000" w:themeColor="text1"/>
          <w:szCs w:val="28"/>
          <w14:textFill>
            <w14:solidFill>
              <w14:schemeClr w14:val="tx1"/>
            </w14:solidFill>
          </w14:textFill>
        </w:rPr>
        <w:t>第一节  深化金融要素市场化改革</w:t>
      </w:r>
      <w:bookmarkEnd w:id="53"/>
    </w:p>
    <w:p w14:paraId="12A371F7">
      <w:pPr>
        <w:pStyle w:val="57"/>
        <w:keepNext w:val="0"/>
        <w:keepLines w:val="0"/>
        <w:pageBreakBefore w:val="0"/>
        <w:widowControl w:val="0"/>
        <w:kinsoku/>
        <w:wordWrap w:val="0"/>
        <w:overflowPunct/>
        <w:topLinePunct/>
        <w:autoSpaceDE/>
        <w:autoSpaceDN/>
        <w:bidi w:val="0"/>
        <w:adjustRightInd/>
        <w:snapToGrid/>
        <w:spacing w:line="64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推进金融业供给侧结构性改革，挖掘激发实体经济新动能，不断提高金融服务实体经济的质量、效率和动力，促进县域经济和金融服务良性循环、健康发展。加快发展多层次资本市场，全力推动资本市场县域工程，提高企业直接融资比重，推动企业在国内主板、中小板、创业板、科创板上市；积极发展民间融资，包括发展天使融资、股权融资、债权融资、保理融资、企业资产证券化等；深化资本市场改革，引导银行、融资租赁等金融机构在本地布局分支；设立产业引导基金，撬动社会资本，风险补偿资金解决好民营企业和小微企业融资难融资贵问题；全力防范和化解金融风险，提高群众风险防范能力，全力化解政府性债务，牢牢守住不发生区域性金融风险底线。</w:t>
      </w:r>
    </w:p>
    <w:p w14:paraId="51AA51C6">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54" w:name="_Toc88315730"/>
      <w:r>
        <w:rPr>
          <w:rFonts w:hint="eastAsia" w:ascii="黑体" w:hAnsi="黑体" w:eastAsia="黑体" w:cs="黑体"/>
          <w:b w:val="0"/>
          <w:bCs w:val="0"/>
          <w:color w:val="000000" w:themeColor="text1"/>
          <w:szCs w:val="28"/>
          <w14:textFill>
            <w14:solidFill>
              <w14:schemeClr w14:val="tx1"/>
            </w14:solidFill>
          </w14:textFill>
        </w:rPr>
        <w:t>第二节  深化科技要素市场化改革</w:t>
      </w:r>
      <w:bookmarkEnd w:id="54"/>
    </w:p>
    <w:p w14:paraId="0994A698">
      <w:pPr>
        <w:pStyle w:val="57"/>
        <w:keepNext w:val="0"/>
        <w:keepLines w:val="0"/>
        <w:pageBreakBefore w:val="0"/>
        <w:widowControl w:val="0"/>
        <w:kinsoku/>
        <w:wordWrap w:val="0"/>
        <w:overflowPunct/>
        <w:topLinePunct/>
        <w:autoSpaceDE/>
        <w:autoSpaceDN/>
        <w:bidi w:val="0"/>
        <w:adjustRightInd/>
        <w:snapToGrid/>
        <w:spacing w:line="64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按照市场需求优化科技资源空间配置，促进创新要素充分流动，健全需求为导向、企业为主体的产学研一体化创新机制；建立市场化人才激励机制，健全科研人员自主决定科研成果转化机制；加强知识产权保护和运用，形成有效的创新激励机制；深化科技成果使用权、处置权和收益权改革，开展赋予科研人员职务科技成果所有权或长期使用权试点。</w:t>
      </w:r>
    </w:p>
    <w:p w14:paraId="644976EF">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4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55" w:name="_Toc88315731"/>
      <w:r>
        <w:rPr>
          <w:rFonts w:hint="eastAsia" w:ascii="黑体" w:hAnsi="黑体" w:eastAsia="黑体" w:cs="黑体"/>
          <w:b w:val="0"/>
          <w:bCs w:val="0"/>
          <w:color w:val="000000" w:themeColor="text1"/>
          <w:szCs w:val="28"/>
          <w14:textFill>
            <w14:solidFill>
              <w14:schemeClr w14:val="tx1"/>
            </w14:solidFill>
          </w14:textFill>
        </w:rPr>
        <w:t>第三节  深化土地要素市场化改革</w:t>
      </w:r>
      <w:bookmarkEnd w:id="55"/>
    </w:p>
    <w:p w14:paraId="707AB201">
      <w:pPr>
        <w:pStyle w:val="57"/>
        <w:keepNext w:val="0"/>
        <w:keepLines w:val="0"/>
        <w:pageBreakBefore w:val="0"/>
        <w:widowControl w:val="0"/>
        <w:kinsoku/>
        <w:wordWrap w:val="0"/>
        <w:overflowPunct/>
        <w:topLinePunct/>
        <w:autoSpaceDE/>
        <w:autoSpaceDN/>
        <w:bidi w:val="0"/>
        <w:adjustRightInd/>
        <w:snapToGrid/>
        <w:spacing w:line="64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充分发挥市场对土地资源配置的决定作用，完善农村土地产权制度，实行承包地“三权分置”制度，深入推进集体建设性用地入市、宅基地制度改革；探索建立农民自愿有偿退出农村权益制度，促进农村土地资源活化、农民权益保护和社会稳定平衡共赢；积极探索放宽宅基地使用权购买范围，促进农村闲置宅基地和集体建设用地的有效使用。深化工业用地市场化配置改革，健全长期租赁、先租后让、弹性年期供应、作价出资</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入股</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等工业用地市场供应体系，依法合规创新产业用地使用方式；保障重点产业、重点区域土地供应，充分运用市场机制盘活存量土地和低效用地，盘活“僵尸企业”。</w:t>
      </w:r>
    </w:p>
    <w:p w14:paraId="207245B8">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4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56" w:name="_Toc88315732"/>
      <w:r>
        <w:rPr>
          <w:rFonts w:hint="eastAsia" w:ascii="黑体" w:hAnsi="黑体" w:eastAsia="黑体" w:cs="黑体"/>
          <w:b w:val="0"/>
          <w:bCs w:val="0"/>
          <w:color w:val="000000" w:themeColor="text1"/>
          <w:szCs w:val="28"/>
          <w14:textFill>
            <w14:solidFill>
              <w14:schemeClr w14:val="tx1"/>
            </w14:solidFill>
          </w14:textFill>
        </w:rPr>
        <w:t>第四节  深化劳动力要素市场化改革</w:t>
      </w:r>
      <w:bookmarkEnd w:id="56"/>
    </w:p>
    <w:p w14:paraId="641DFCC2">
      <w:pPr>
        <w:pStyle w:val="57"/>
        <w:keepNext w:val="0"/>
        <w:keepLines w:val="0"/>
        <w:pageBreakBefore w:val="0"/>
        <w:widowControl w:val="0"/>
        <w:kinsoku/>
        <w:wordWrap w:val="0"/>
        <w:overflowPunct/>
        <w:topLinePunct/>
        <w:autoSpaceDE/>
        <w:autoSpaceDN/>
        <w:bidi w:val="0"/>
        <w:adjustRightInd/>
        <w:snapToGrid/>
        <w:spacing w:line="64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深化户籍制度改革，农民进城、外来就业要能安家落户；依法纠正身份、性别等就业歧视现象，保障进城农民及外来就业人员平等就业权利；推动城镇教育、就业创业、医疗卫生等基本公共服务与常住人口挂钩机制，推动公共资源按常住人口规模配置，切实保障进城农民、外来就业人员享有基本公共服务，实现公共服务均等化；提高劳动力、人才社会性流动活力和吸纳能力，促进人力资源优化配置。</w:t>
      </w:r>
    </w:p>
    <w:p w14:paraId="550F6322">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420" w:hanging="420"/>
        <w:textAlignment w:val="auto"/>
        <w:rPr>
          <w:rFonts w:hint="eastAsia" w:ascii="方正大标宋简体" w:hAnsi="方正大标宋简体" w:eastAsia="方正大标宋简体" w:cs="方正大标宋简体"/>
          <w:sz w:val="36"/>
          <w:szCs w:val="36"/>
        </w:rPr>
      </w:pPr>
      <w:bookmarkStart w:id="57" w:name="_Toc88315733"/>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激发市场主体活力</w:t>
      </w:r>
      <w:bookmarkEnd w:id="57"/>
    </w:p>
    <w:p w14:paraId="0BBB37B6">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积极推动构建亲清新型政商关系，支持民营企业发展实体经济、开展技术创新等，激活各类市场主体活力。聚焦突出矛盾和关键环节，推动国企国资改革。深化体制机制改革，打通资源要素流动壁垒，建立与高质量发展相适应的社会主义市场经济体制。</w:t>
      </w:r>
    </w:p>
    <w:p w14:paraId="7C60BDA1">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58" w:name="_Toc88315734"/>
      <w:r>
        <w:rPr>
          <w:rFonts w:hint="eastAsia" w:ascii="黑体" w:hAnsi="黑体" w:eastAsia="黑体" w:cs="黑体"/>
          <w:b w:val="0"/>
          <w:bCs w:val="0"/>
          <w:color w:val="000000" w:themeColor="text1"/>
          <w:szCs w:val="28"/>
          <w14:textFill>
            <w14:solidFill>
              <w14:schemeClr w14:val="tx1"/>
            </w14:solidFill>
          </w14:textFill>
        </w:rPr>
        <w:t>第一节  深化国企国资改革</w:t>
      </w:r>
      <w:bookmarkEnd w:id="58"/>
    </w:p>
    <w:p w14:paraId="7E01C690">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持续完善国资监管体系</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转变监管思路，向“管资本”监管体制转变；树立“谁审批、谁监管”理念，结合“授权放权”工作，制定事中、事后监管事项清单，以清单管理为载体，以全面预算管理为重点，以公司治理为手段，以契约考核为抓手，构建国资监管工作闭环；改革国有资本授权经营体制，健全“国</w:t>
      </w:r>
      <w:r>
        <w:rPr>
          <w:rFonts w:hint="eastAsia" w:cs="仿宋_GB2312"/>
          <w:color w:val="000000" w:themeColor="text1"/>
          <w:spacing w:val="-6"/>
          <w:szCs w:val="28"/>
          <w14:textFill>
            <w14:solidFill>
              <w14:schemeClr w14:val="tx1"/>
            </w14:solidFill>
          </w14:textFill>
        </w:rPr>
        <w:t>资监管机构—国有资本投资运营公司—国有专业公司”的管理体制，将国有资本投资运营职能与监管职能区分开来，构造更加符合监管企业实际、符合市场化运作要求的国有资本管理体制。</w:t>
      </w:r>
    </w:p>
    <w:p w14:paraId="78FA0FF0">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推动建设现代企业制度。</w:t>
      </w:r>
      <w:r>
        <w:rPr>
          <w:rFonts w:hint="eastAsia" w:cs="仿宋_GB2312"/>
          <w:color w:val="000000" w:themeColor="text1"/>
          <w:szCs w:val="28"/>
          <w14:textFill>
            <w14:solidFill>
              <w14:schemeClr w14:val="tx1"/>
            </w14:solidFill>
          </w14:textFill>
        </w:rPr>
        <w:t>巩固县属企业法人治理结构等体制机制改革成效，进一步落实董事会、监事会、经理层的权责，推进董事会建设，建立健全权责对等、运转协调、有效制衡的决策执行监督机制，规范董事长、总经理行权行为，积极发挥董事会的决策作用、监事会的监督作用、经理层的经营管理作用、党组织的政治核心作用。坚持差异化、市场化、分类分级管理和依法依规、放管结合的薪酬改革方向，推进县属国企薪酬分配制度改革。</w:t>
      </w:r>
    </w:p>
    <w:p w14:paraId="6BB02A72">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稳步推进混合所有制改革。</w:t>
      </w:r>
      <w:r>
        <w:rPr>
          <w:rFonts w:hint="eastAsia" w:cs="仿宋_GB2312"/>
          <w:color w:val="000000" w:themeColor="text1"/>
          <w:szCs w:val="28"/>
          <w14:textFill>
            <w14:solidFill>
              <w14:schemeClr w14:val="tx1"/>
            </w14:solidFill>
          </w14:textFill>
        </w:rPr>
        <w:t>分类探索国有企业混合所有制改革，实现国有资本和社会资本的有效融合。充分竞争行业和领域的竞争类国有企业，坚持以资本为纽带完善混合所有制企业治理结构和管理方式，使混合所有制企业成为真正市场主体。建设水利工程、重要资源开发等领域的功能类国有企业，保持国有资本控股地位，支持非国有资本参股，以完成战略任务或重大专项为主要目标。引导公交市政公用运营资源等公益类国有企业规范开展混合所有制改革，通过购买服务、特许经营、委托代理、PPP等方式，鼓励非国有企业参与经营。</w:t>
      </w:r>
    </w:p>
    <w:p w14:paraId="0F691EEE">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59" w:name="_Toc88315735"/>
      <w:r>
        <w:rPr>
          <w:rFonts w:hint="eastAsia" w:ascii="黑体" w:hAnsi="黑体" w:eastAsia="黑体" w:cs="黑体"/>
          <w:b w:val="0"/>
          <w:bCs w:val="0"/>
          <w:color w:val="000000" w:themeColor="text1"/>
          <w:szCs w:val="28"/>
          <w14:textFill>
            <w14:solidFill>
              <w14:schemeClr w14:val="tx1"/>
            </w14:solidFill>
          </w14:textFill>
        </w:rPr>
        <w:t>第二节  优化民营企业发展环境</w:t>
      </w:r>
      <w:bookmarkEnd w:id="59"/>
    </w:p>
    <w:p w14:paraId="5FD488DB">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激发和保护企业家精神。</w:t>
      </w:r>
      <w:r>
        <w:rPr>
          <w:rFonts w:hint="eastAsia" w:cs="仿宋_GB2312"/>
          <w:color w:val="000000" w:themeColor="text1"/>
          <w:szCs w:val="28"/>
          <w14:textFill>
            <w14:solidFill>
              <w14:schemeClr w14:val="tx1"/>
            </w14:solidFill>
          </w14:textFill>
        </w:rPr>
        <w:t>完善产权保护制度，切实保障出资人产权权益，完善激励约束机制，持续优化企业家成长环境，保障企业家合法权益。畅通政企沟通渠道，鼓励企业家参与涉企政策制定，完善涉企政策和信息公开制度，切实提高政策的针对性和实用性。建立健全市场准入负面清单管理体制，确保具有创业激情的企业家可以平等进入负面清单之外的所有领域；深化行政审批与招标采购制度改革，纠正排除或限制行政垄断行为，创造公平公正的营商环境。优化金融服务体系，引导各类投资基金与企业家对接，探索设立创新信用担保机制。对企业家合法经营中出现的失误失败给予更多的理解、宽容和帮助，积极推广企业家先进经验，营造利于企业家成长的社会氛围。</w:t>
      </w:r>
    </w:p>
    <w:p w14:paraId="7AA41ADA">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优化公平竞争市场环境。</w:t>
      </w:r>
      <w:r>
        <w:rPr>
          <w:rFonts w:hint="eastAsia" w:cs="仿宋_GB2312"/>
          <w:color w:val="000000" w:themeColor="text1"/>
          <w:szCs w:val="28"/>
          <w14:textFill>
            <w14:solidFill>
              <w14:schemeClr w14:val="tx1"/>
            </w14:solidFill>
          </w14:textFill>
        </w:rPr>
        <w:t>落实放宽民营企业市场准入的政策措施，支持社会资本进入公共服务、基础设施等重点投资领域，鼓励社会资本参与国企混合所有制改革；打造一流营商环境、市场环境；各级领导干部要带头构建</w:t>
      </w:r>
      <w:r>
        <w:rPr>
          <w:rFonts w:hint="eastAsia" w:cs="仿宋_GB2312"/>
          <w:color w:val="000000" w:themeColor="text1"/>
          <w:szCs w:val="28"/>
          <w:lang w:eastAsia="zh-CN"/>
          <w14:textFill>
            <w14:solidFill>
              <w14:schemeClr w14:val="tx1"/>
            </w14:solidFill>
          </w14:textFill>
        </w:rPr>
        <w:t>“亲”“清”新型政商关系</w:t>
      </w:r>
      <w:r>
        <w:rPr>
          <w:rFonts w:hint="eastAsia" w:cs="仿宋_GB2312"/>
          <w:color w:val="000000" w:themeColor="text1"/>
          <w:szCs w:val="28"/>
          <w14:textFill>
            <w14:solidFill>
              <w14:schemeClr w14:val="tx1"/>
            </w14:solidFill>
          </w14:textFill>
        </w:rPr>
        <w:t>，真正把民营企业家当作“自家人”，保护好民营企业家的合法权利；深入贯彻落实好中央《关于营造更好发展环境支持民营企业改革发展的意见》和《湖南省优化经济发展环境规定》，继续营造高效便捷的政务环境、平安稳定的社会环境、公平竞争的市场环境、爱商护商的人文环境，在全社会形成“人人是营商环境、事事是营商环境、处处是营商环境”的浓厚氛围，为民营企业发展提供良好的“气候”与“土壤”。</w:t>
      </w:r>
    </w:p>
    <w:p w14:paraId="51FBE936">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支持民营企业转型升级。</w:t>
      </w:r>
      <w:r>
        <w:rPr>
          <w:rFonts w:hint="eastAsia" w:cs="仿宋_GB2312"/>
          <w:color w:val="000000" w:themeColor="text1"/>
          <w:szCs w:val="28"/>
          <w14:textFill>
            <w14:solidFill>
              <w14:schemeClr w14:val="tx1"/>
            </w14:solidFill>
          </w14:textFill>
        </w:rPr>
        <w:t>推进“个转企、小升规、规改股、股上市”计划，为民营企业发展壮大提供政策性支持。支持民营企业参与本地电子信息、新材料等重点产业的配套，配合壮大本地优势产业链，共享产业集聚红利。建立民营企业转型升级专家库，为民营企业转型升级提供专业咨询与深度指导。建立民营企业转型升级合作机制，依托高等院校及转型升级专家库资源为民营企业转型升级设计路径。支持民营企业组建专业性行业组织，为民营企业争取政策支持发声，为企业间共同发展畅通沟通路径。</w:t>
      </w:r>
    </w:p>
    <w:p w14:paraId="21A5E8FA">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60" w:name="_Toc88315736"/>
      <w:r>
        <w:rPr>
          <w:rFonts w:hint="eastAsia" w:ascii="黑体" w:hAnsi="黑体" w:eastAsia="黑体" w:cs="黑体"/>
          <w:b w:val="0"/>
          <w:bCs w:val="0"/>
          <w:color w:val="000000" w:themeColor="text1"/>
          <w:szCs w:val="28"/>
          <w14:textFill>
            <w14:solidFill>
              <w14:schemeClr w14:val="tx1"/>
            </w14:solidFill>
          </w14:textFill>
        </w:rPr>
        <w:t>第三节  促进中小企业发展</w:t>
      </w:r>
      <w:bookmarkEnd w:id="60"/>
    </w:p>
    <w:p w14:paraId="4D16657F">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优化发展环境。</w:t>
      </w:r>
      <w:r>
        <w:rPr>
          <w:rFonts w:hint="eastAsia" w:cs="仿宋_GB2312"/>
          <w:color w:val="000000" w:themeColor="text1"/>
          <w:szCs w:val="28"/>
          <w14:textFill>
            <w14:solidFill>
              <w14:schemeClr w14:val="tx1"/>
            </w14:solidFill>
          </w14:textFill>
        </w:rPr>
        <w:t>简化审批流程，积极响应国家“放管服”改革，落实“一站式”服务，研究本地实际情况，完善改革机构的职能权限，并充分研究适宜本地的制度和流程，保障“放管服”改革顺利实施。强化事中、事后监管，建立异常经营类清单制度和严重违法企业清单制度，完善企业信息公示制度，并建立相应监管体系，营造诚信规范市场环境。构建完备要素环境，进一步提高要素供应质效，减少不合理收费，发展并完善现代高效物流体系，降低企业负担和成本。</w:t>
      </w:r>
    </w:p>
    <w:p w14:paraId="78C2E531">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解决中小企业融资。</w:t>
      </w:r>
      <w:r>
        <w:rPr>
          <w:rFonts w:hint="eastAsia" w:cs="仿宋_GB2312"/>
          <w:color w:val="000000" w:themeColor="text1"/>
          <w:szCs w:val="28"/>
          <w14:textFill>
            <w14:solidFill>
              <w14:schemeClr w14:val="tx1"/>
            </w14:solidFill>
          </w14:textFill>
        </w:rPr>
        <w:t>优化中小企业融资服务，搭建银企对接平台，拓宽中小企业融资渠道；鼓励金融机构与符合条件的企业建立长期银企关系，优化信贷流程，提高审批效率。健全完善政府性融资担保体系，结合国家、省、市最新政策，完善本地担保分担机制。建立政府性融资担保机构，并通过</w:t>
      </w:r>
      <w:r>
        <w:rPr>
          <w:rFonts w:hint="eastAsia" w:cs="仿宋_GB2312"/>
          <w:color w:val="000000" w:themeColor="text1"/>
          <w:szCs w:val="28"/>
          <w:lang w:eastAsia="zh-CN"/>
          <w14:textFill>
            <w14:solidFill>
              <w14:schemeClr w14:val="tx1"/>
            </w14:solidFill>
          </w14:textFill>
        </w:rPr>
        <w:t>风险</w:t>
      </w:r>
      <w:r>
        <w:rPr>
          <w:rFonts w:hint="eastAsia" w:cs="仿宋_GB2312"/>
          <w:color w:val="000000" w:themeColor="text1"/>
          <w:szCs w:val="28"/>
          <w14:textFill>
            <w14:solidFill>
              <w14:schemeClr w14:val="tx1"/>
            </w14:solidFill>
          </w14:textFill>
        </w:rPr>
        <w:t>、注资等方式与国家、省级担保基金、公司进行合作，提高本地融资机构抗风险能力。探索建立信用保证引导基金，为本地符合条件的中小企业融资进行增信，为银行小微企业贷款、融资担保机构小微担保业务分担风险。</w:t>
      </w:r>
    </w:p>
    <w:p w14:paraId="04477E71">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 w:val="28"/>
          <w:szCs w:val="28"/>
          <w14:textFill>
            <w14:solidFill>
              <w14:schemeClr w14:val="tx1"/>
            </w14:solidFill>
          </w14:textFill>
        </w:rPr>
      </w:pPr>
      <w:r>
        <w:rPr>
          <w:rFonts w:hint="eastAsia" w:ascii="楷体_GB2312" w:hAnsi="楷体_GB2312" w:eastAsia="楷体_GB2312" w:cs="楷体_GB2312"/>
          <w:b/>
          <w:bCs/>
          <w:szCs w:val="28"/>
        </w:rPr>
        <w:t>增加创新创业活力。</w:t>
      </w:r>
      <w:r>
        <w:rPr>
          <w:rFonts w:hint="eastAsia" w:cs="仿宋_GB2312"/>
          <w:color w:val="000000" w:themeColor="text1"/>
          <w:szCs w:val="28"/>
          <w14:textFill>
            <w14:solidFill>
              <w14:schemeClr w14:val="tx1"/>
            </w14:solidFill>
          </w14:textFill>
        </w:rPr>
        <w:t>完善科技成果转移转化机制，完善科技成果在市场定价、转移转化评价上的机制，建立技术转移转化工作体系和管理制度，促进科技成果快速转化，免除创新创业后顾之忧。健全成果转化收入分配机制，在创新成果奖金、创新人员奖励税收机制上给予优惠，激发科技工作者创新活力。鼓励企业释放创新能力，在资金、政策补贴、税收等制度上对创新企业进行倾斜，鼓励企业主动创新。</w:t>
      </w:r>
      <w:r>
        <w:rPr>
          <w:rFonts w:cs="仿宋_GB2312"/>
          <w:color w:val="000000" w:themeColor="text1"/>
          <w:szCs w:val="28"/>
          <w14:textFill>
            <w14:solidFill>
              <w14:schemeClr w14:val="tx1"/>
            </w14:solidFill>
          </w14:textFill>
        </w:rPr>
        <w:br w:type="page"/>
      </w:r>
    </w:p>
    <w:p w14:paraId="12FB42E4">
      <w:pPr>
        <w:pStyle w:val="3"/>
        <w:keepNext w:val="0"/>
        <w:keepLines w:val="0"/>
        <w:pageBreakBefore w:val="0"/>
        <w:widowControl w:val="0"/>
        <w:numPr>
          <w:ilvl w:val="0"/>
          <w:numId w:val="0"/>
        </w:numPr>
        <w:kinsoku/>
        <w:wordWrap w:val="0"/>
        <w:overflowPunct/>
        <w:topLinePunct/>
        <w:autoSpaceDE/>
        <w:autoSpaceDN/>
        <w:bidi w:val="0"/>
        <w:adjustRightInd/>
        <w:snapToGrid/>
        <w:spacing w:before="0" w:after="313" w:afterLines="100" w:line="580" w:lineRule="exact"/>
        <w:ind w:leftChars="0"/>
        <w:jc w:val="center"/>
        <w:textAlignment w:val="auto"/>
        <w:rPr>
          <w:shd w:val="clear"/>
        </w:rPr>
      </w:pPr>
      <w:bookmarkStart w:id="61" w:name="_Toc88315737"/>
      <w:r>
        <w:rPr>
          <w:rFonts w:hint="eastAsia"/>
          <w:shd w:val="clear"/>
          <w:lang w:val="en-US" w:eastAsia="zh-CN"/>
        </w:rPr>
        <w:t xml:space="preserve">第四篇  </w:t>
      </w:r>
      <w:r>
        <w:rPr>
          <w:rFonts w:hint="eastAsia"/>
          <w:shd w:val="clear"/>
        </w:rPr>
        <w:t>主动融入双循环发展新格局</w:t>
      </w:r>
      <w:bookmarkEnd w:id="61"/>
    </w:p>
    <w:p w14:paraId="3BAA655B">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充分发挥地处湖南“南大门”的区位优势，抢抓湖南“一带一部”、“粤港澳大湾区”、“湘南湘西承接产业转移示范区”等建设机遇，深度融入区域发展战略和双循环发展格局。</w:t>
      </w:r>
    </w:p>
    <w:p w14:paraId="5F25AA41">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firstLine="0"/>
        <w:textAlignment w:val="auto"/>
        <w:rPr>
          <w:rFonts w:hint="eastAsia" w:ascii="方正大标宋简体" w:hAnsi="方正大标宋简体" w:eastAsia="方正大标宋简体" w:cs="方正大标宋简体"/>
          <w:color w:val="000000" w:themeColor="text1"/>
          <w:sz w:val="36"/>
          <w:szCs w:val="36"/>
          <w14:textFill>
            <w14:solidFill>
              <w14:schemeClr w14:val="tx1"/>
            </w14:solidFill>
          </w14:textFill>
        </w:rPr>
      </w:pPr>
      <w:bookmarkStart w:id="62" w:name="_Toc88315738"/>
      <w:r>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t xml:space="preserve">  </w:t>
      </w:r>
      <w:r>
        <w:rPr>
          <w:rFonts w:hint="eastAsia" w:ascii="方正大标宋简体" w:hAnsi="方正大标宋简体" w:eastAsia="方正大标宋简体" w:cs="方正大标宋简体"/>
          <w:color w:val="000000" w:themeColor="text1"/>
          <w:sz w:val="36"/>
          <w:szCs w:val="36"/>
          <w14:textFill>
            <w14:solidFill>
              <w14:schemeClr w14:val="tx1"/>
            </w14:solidFill>
          </w14:textFill>
        </w:rPr>
        <w:t>积极对接融入粤港澳大湾区</w:t>
      </w:r>
      <w:bookmarkEnd w:id="62"/>
    </w:p>
    <w:p w14:paraId="694BB681">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依托地理优势，加强同广东连州地区的联系，在交通、产业和科技等方面全面对接粤港澳大湾区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简称大湾区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w:t>
      </w:r>
    </w:p>
    <w:p w14:paraId="7BBCA604">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63" w:name="_Toc88315739"/>
      <w:r>
        <w:rPr>
          <w:rFonts w:hint="eastAsia" w:ascii="黑体" w:hAnsi="黑体" w:eastAsia="黑体" w:cs="黑体"/>
          <w:b w:val="0"/>
          <w:bCs w:val="0"/>
          <w:color w:val="000000" w:themeColor="text1"/>
          <w:szCs w:val="28"/>
          <w14:textFill>
            <w14:solidFill>
              <w14:schemeClr w14:val="tx1"/>
            </w14:solidFill>
          </w14:textFill>
        </w:rPr>
        <w:t>第一节  完善基础设施建设</w:t>
      </w:r>
      <w:bookmarkEnd w:id="63"/>
    </w:p>
    <w:p w14:paraId="31729D22">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打造便利交通网络</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推进与大湾区的互通互联，争取成为湖南对接大湾区交通通道上的重要节点，融入湖南至大湾区3小时便捷通达圈。争取高铁线路在临武落点，融入区域高铁网。借助和连州相邻的优势，推进高等级公路互联互通，加快临武至连州高速公路的规划与建设。推动临武至郴州机场的高速路建设，借助郴州至大湾区的航空优势。探索建立符合本地实际的、同大湾区互通的多层级便利交通体系，适时增加开往大湾区的双向班车。</w:t>
      </w:r>
    </w:p>
    <w:p w14:paraId="060E92BE">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提升信息基础设施互联互通。</w:t>
      </w:r>
      <w:r>
        <w:rPr>
          <w:rFonts w:hint="eastAsia" w:cs="仿宋_GB2312"/>
          <w:color w:val="000000" w:themeColor="text1"/>
          <w:szCs w:val="28"/>
          <w14:textFill>
            <w14:solidFill>
              <w14:schemeClr w14:val="tx1"/>
            </w14:solidFill>
          </w14:textFill>
        </w:rPr>
        <w:t>加强信息领域合作，提升区域信息基础设施互联互通，在政务服务、信用建设、交通、农产品市场等领域有序开展信息资源共享。借助大湾区科技优势和经验，支持大湾区企业参与智慧临武建设</w:t>
      </w:r>
    </w:p>
    <w:p w14:paraId="3C2FAD93">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64" w:name="_Toc88315740"/>
      <w:r>
        <w:rPr>
          <w:rFonts w:hint="eastAsia" w:ascii="黑体" w:hAnsi="黑体" w:eastAsia="黑体" w:cs="黑体"/>
          <w:b w:val="0"/>
          <w:bCs w:val="0"/>
          <w:color w:val="000000" w:themeColor="text1"/>
          <w:szCs w:val="28"/>
          <w14:textFill>
            <w14:solidFill>
              <w14:schemeClr w14:val="tx1"/>
            </w14:solidFill>
          </w14:textFill>
        </w:rPr>
        <w:t>第二节  推动产业协同发展</w:t>
      </w:r>
      <w:bookmarkEnd w:id="64"/>
    </w:p>
    <w:p w14:paraId="469F3FF5">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加快重点产业上下游对接。</w:t>
      </w:r>
      <w:r>
        <w:rPr>
          <w:rFonts w:hint="eastAsia" w:cs="仿宋_GB2312"/>
          <w:color w:val="000000" w:themeColor="text1"/>
          <w:szCs w:val="28"/>
          <w14:textFill>
            <w14:solidFill>
              <w14:schemeClr w14:val="tx1"/>
            </w14:solidFill>
          </w14:textFill>
        </w:rPr>
        <w:t>围绕电子信息、新能源电池开展全产业链对接和精准招商，继续引进上游配套企业，延伸下游应用厂家，并拓展以新型显示器、消费电子产品整机为主的消费电子产品产业，鼓励发展大数据中心及配套的大数据应用软件服务。继续引进宝玉石设计加工、贸易、会展旅游等企业，推动宝玉石产业强链，提升产业知名度。借鉴发达地区经验，逐步融入东部和沿海地区的高端宝石消费市场。加强文化旅游设计开发和运营企业引进，完善旅游吃住娱乐一体化配套建设。引进碳酸钙下游精深加工企业，推动产业延伸链条，走高端化发展路线。</w:t>
      </w:r>
    </w:p>
    <w:p w14:paraId="48643285">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融入大湾区产业链。</w:t>
      </w:r>
      <w:r>
        <w:rPr>
          <w:rFonts w:hint="eastAsia" w:cs="仿宋_GB2312"/>
          <w:color w:val="000000" w:themeColor="text1"/>
          <w:szCs w:val="28"/>
          <w14:textFill>
            <w14:solidFill>
              <w14:schemeClr w14:val="tx1"/>
            </w14:solidFill>
          </w14:textFill>
        </w:rPr>
        <w:t>主动对接融入大湾区建设，构建与大湾区合理分工的产业体系。围绕电子信息、新能源电池，以元器件和储能电池为核心产品，与大湾区电子产品生产和手机、智能移动设备形成优势互补的产业链。加快建设面向大湾区的优质农产品基地、旅游休闲基地和康养基地，依托良好的生态环境，为大湾区提供优质的生态文化旅游康养产品。对接大湾区“菜篮子”工程，争取区域农产品标准体系一体化，将精品水果和农产品推广到大湾区，并争取进入港澳市场，打造覆盖湘粤的农产品品牌。推动食品加工业发展，借助湘粤食品加工产业集聚区建设，将加工食品打入大湾区市场。借助大湾区在翡翠交易上的经验，进一步联动拓宽本地宝玉石产业的发展领域，融入大湾区高端宝玉石消费群。</w:t>
      </w:r>
    </w:p>
    <w:p w14:paraId="1B8DC989">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65" w:name="_Toc88315741"/>
      <w:r>
        <w:rPr>
          <w:rFonts w:hint="eastAsia" w:ascii="黑体" w:hAnsi="黑体" w:eastAsia="黑体" w:cs="黑体"/>
          <w:b w:val="0"/>
          <w:bCs w:val="0"/>
          <w:color w:val="000000" w:themeColor="text1"/>
          <w:szCs w:val="28"/>
          <w14:textFill>
            <w14:solidFill>
              <w14:schemeClr w14:val="tx1"/>
            </w14:solidFill>
          </w14:textFill>
        </w:rPr>
        <w:t>第三节  打造科技合作平台</w:t>
      </w:r>
      <w:bookmarkEnd w:id="65"/>
    </w:p>
    <w:p w14:paraId="482BF80E">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优化重点工业技术合作平台。</w:t>
      </w:r>
      <w:r>
        <w:rPr>
          <w:rFonts w:hint="eastAsia" w:cs="仿宋_GB2312"/>
          <w:color w:val="000000" w:themeColor="text1"/>
          <w:szCs w:val="28"/>
          <w14:textFill>
            <w14:solidFill>
              <w14:schemeClr w14:val="tx1"/>
            </w14:solidFill>
          </w14:textFill>
        </w:rPr>
        <w:t>在新能源电池、有色金属领域，加强重大技术引进，推动企学研合作。借助大湾区在科技和创新方面的优势，围绕新能源电池、储能、有色金属高端利用等方面的国内国际先进技术开展对接，选择适宜本地企业且具有引领作用的技术开展引进和合作，推动龙头企业跨越式发展。加强产学研合作，借鉴已有科研同企业的联合实验室，探索通过平台解决企业在生产过程中的实际问题，企业关注的技术方向为科研机构提供研究新思路，科研机构技术成果为企业产品升级换代提供支撑，形成双方共赢的发展模式。</w:t>
      </w:r>
    </w:p>
    <w:p w14:paraId="553A3E5A">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加强高端农业合作。</w:t>
      </w:r>
      <w:r>
        <w:rPr>
          <w:rFonts w:hint="eastAsia" w:cs="仿宋_GB2312"/>
          <w:color w:val="000000" w:themeColor="text1"/>
          <w:szCs w:val="28"/>
          <w14:textFill>
            <w14:solidFill>
              <w14:schemeClr w14:val="tx1"/>
            </w14:solidFill>
          </w14:textFill>
        </w:rPr>
        <w:t>在种植和养殖良种培育方面，深化合作程度，通过定期的线上、线下讲座，在相关领域的技术创新、保护和基地建设方面学习大湾区的先进经验，优化区域在农业领域的科技创新创业环境，为种业基地发展提供科技支撑，带动地区农业向高端化发展，打造湘南良种基地。</w:t>
      </w:r>
    </w:p>
    <w:p w14:paraId="0149FE21">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提升人才交流和合作水平。</w:t>
      </w:r>
      <w:r>
        <w:rPr>
          <w:rFonts w:hint="eastAsia" w:cs="仿宋_GB2312"/>
          <w:color w:val="000000" w:themeColor="text1"/>
          <w:szCs w:val="28"/>
          <w14:textFill>
            <w14:solidFill>
              <w14:schemeClr w14:val="tx1"/>
            </w14:solidFill>
          </w14:textFill>
        </w:rPr>
        <w:t>充分发挥平台作用，利用大湾区的教育和科技优势，强化人才交流合作和联合培养。围绕重点产业的高端科技人才，利用论坛、讲座、定期指导等方式开展交流，争取同行业领军人物合作，共同设立企业技术研发实验室，或推动企业加入研发队伍。利用平台开展多层级的人才培训，形成面向不同年龄、不同层级的职业交易体系，培养本地职业人才。</w:t>
      </w:r>
    </w:p>
    <w:p w14:paraId="091A3827">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66" w:name="_Toc88315742"/>
      <w:r>
        <w:rPr>
          <w:rFonts w:hint="eastAsia" w:ascii="黑体" w:hAnsi="黑体" w:eastAsia="黑体" w:cs="黑体"/>
          <w:b w:val="0"/>
          <w:bCs w:val="0"/>
          <w:color w:val="000000" w:themeColor="text1"/>
          <w:szCs w:val="28"/>
          <w14:textFill>
            <w14:solidFill>
              <w14:schemeClr w14:val="tx1"/>
            </w14:solidFill>
          </w14:textFill>
        </w:rPr>
        <w:t>第四节  创新招商模式</w:t>
      </w:r>
      <w:bookmarkEnd w:id="66"/>
    </w:p>
    <w:p w14:paraId="272E5800">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推动“飞地经济”落地。</w:t>
      </w:r>
      <w:r>
        <w:rPr>
          <w:rFonts w:hint="eastAsia" w:cs="仿宋_GB2312"/>
          <w:color w:val="000000" w:themeColor="text1"/>
          <w:szCs w:val="28"/>
          <w14:textFill>
            <w14:solidFill>
              <w14:schemeClr w14:val="tx1"/>
            </w14:solidFill>
          </w14:textFill>
        </w:rPr>
        <w:t>积极对接，同大湾区重点园区通过托管、股份合作、产业招商等方式，合作共建产业园区，积极探索完善“飞地经济”产业合作园区税收征管、统计分解和利益分配机制。完善配套政策，针对跨区新上产业项目、合作园区项目和搬迁产业项目，在资金支持、财税收入、经济指标统计等方面出台明确规定。</w:t>
      </w:r>
    </w:p>
    <w:p w14:paraId="3B1CAF53">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继续创新招商模式。</w:t>
      </w:r>
      <w:r>
        <w:rPr>
          <w:rFonts w:hint="eastAsia" w:cs="仿宋_GB2312"/>
          <w:color w:val="000000" w:themeColor="text1"/>
          <w:szCs w:val="28"/>
          <w14:textFill>
            <w14:solidFill>
              <w14:schemeClr w14:val="tx1"/>
            </w14:solidFill>
          </w14:textFill>
        </w:rPr>
        <w:t>完善以商招商、精准招商模式，试点延链招商，鼓励龙头企业通过资金参股方式，引进上游配套企业或下游应用企业。继续发挥协会等专业招商机构的作用，完善政府推动、企业承办、市场运作的新模式。逐步推广“互联网+”招商模式，搭建专业化线上招商平台，打通微博、微信、微网站的“三微”渠道。简化招商手续，为园区赋予更多权力，推动企业从招商引资到竣工投产的相关审批权下放或委托到园区。</w:t>
      </w:r>
    </w:p>
    <w:p w14:paraId="1FB7AF1F">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深化多层级合作。</w:t>
      </w:r>
      <w:r>
        <w:rPr>
          <w:rFonts w:hint="eastAsia" w:cs="仿宋_GB2312"/>
          <w:color w:val="000000" w:themeColor="text1"/>
          <w:szCs w:val="28"/>
          <w14:textFill>
            <w14:solidFill>
              <w14:schemeClr w14:val="tx1"/>
            </w14:solidFill>
          </w14:textFill>
        </w:rPr>
        <w:t>借助省市级合作平台，充分利用“沪洽周”、“中部论坛”、“中国中部投资贸易博览会”、“中国东西部合作与投资贸易洽谈会”等招商及合作平台，推动信息共享共利，加强面向京津冀、成渝的市场开拓和招商引资。</w:t>
      </w:r>
    </w:p>
    <w:p w14:paraId="7878C7AF">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firstLine="0"/>
        <w:textAlignment w:val="auto"/>
        <w:rPr>
          <w:rFonts w:hint="eastAsia" w:ascii="方正大标宋简体" w:hAnsi="方正大标宋简体" w:eastAsia="方正大标宋简体" w:cs="方正大标宋简体"/>
          <w:sz w:val="36"/>
          <w:szCs w:val="36"/>
        </w:rPr>
      </w:pPr>
      <w:bookmarkStart w:id="67" w:name="_Toc88315743"/>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抢占“湘南湘西承接产业转移示范区”高地</w:t>
      </w:r>
      <w:bookmarkEnd w:id="67"/>
    </w:p>
    <w:p w14:paraId="0305C86F">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紧抓湖南“一带一部”机遇，依托“湘南湘西承接产业转移示范区”建设，围绕产业和生态修复开展合作，提升和东部沿海地区、长江经济带的融合程度，实现经济社会跨越式发展。</w:t>
      </w:r>
    </w:p>
    <w:p w14:paraId="664A462E">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68" w:name="_Toc88315744"/>
      <w:r>
        <w:rPr>
          <w:rFonts w:hint="eastAsia" w:ascii="黑体" w:hAnsi="黑体" w:eastAsia="黑体" w:cs="黑体"/>
          <w:b w:val="0"/>
          <w:bCs w:val="0"/>
          <w:color w:val="000000" w:themeColor="text1"/>
          <w:szCs w:val="28"/>
          <w14:textFill>
            <w14:solidFill>
              <w14:schemeClr w14:val="tx1"/>
            </w14:solidFill>
          </w14:textFill>
        </w:rPr>
        <w:t>第一节  提升产业承接能力</w:t>
      </w:r>
      <w:bookmarkEnd w:id="68"/>
    </w:p>
    <w:p w14:paraId="7A56D564">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加快科技创新成果转化</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加大主导产业的创新能力培育力度，推进科技成果转化与产业化。支持主导产业和承接产业的企业与国内外高校院所对接，围绕企业技术需求，联合设立研发机构或技术转移机构，共同开展技术研发、成果应用、标准制定等。鼓励和支持企业设立技术中心，或借助县级创新平台，采用“线上网络平台+大厅现场服务+线下对接活动”的模式，提升创新能力。着力培育和引进一批市场化科技中介服务机构，为企业提供集技术转移、投融资、价值与风险评估、供需对接、知识产权等服务的“保姆式”、“一站式”科技服务，加快企业技术转换。</w:t>
      </w:r>
    </w:p>
    <w:p w14:paraId="729A2028">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完善项目落地机制。</w:t>
      </w:r>
      <w:r>
        <w:rPr>
          <w:rFonts w:hint="eastAsia" w:cs="仿宋_GB2312"/>
          <w:color w:val="000000" w:themeColor="text1"/>
          <w:szCs w:val="28"/>
          <w14:textFill>
            <w14:solidFill>
              <w14:schemeClr w14:val="tx1"/>
            </w14:solidFill>
          </w14:textFill>
        </w:rPr>
        <w:t>将对企服务下沉，实现企业服务“身边办”，切实保障引进项目的落地。完善重大项目定期调度机制，对重大招商项目履约率和资金到位率进行专项调度、督查和通报。对重大项目的跟踪督察制度化、常态化，定期跟踪企业和项目进度，及时掌握并协调解决企业困难。</w:t>
      </w:r>
    </w:p>
    <w:p w14:paraId="3F8687AD">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着力提升园区承载能力。</w:t>
      </w:r>
      <w:r>
        <w:rPr>
          <w:rFonts w:hint="eastAsia" w:cs="仿宋_GB2312"/>
          <w:color w:val="000000" w:themeColor="text1"/>
          <w:szCs w:val="28"/>
          <w14:textFill>
            <w14:solidFill>
              <w14:schemeClr w14:val="tx1"/>
            </w14:solidFill>
          </w14:textFill>
        </w:rPr>
        <w:t>加强园区“九通一平”等基础设施的规划与建设，提高园区公共信息、技术、物流等服务平台和社会事业的配套服务水平。推动标准厂房建设，加快分产业集聚的园中园的建设。整合园区企业用能，统一享受大工业用电电价、参与电力直接交易，加快推进园区增量配电业务改革试点。争取调区扩区，试行新供应地“标准地+承诺制”。探索飞地模式，丰富同承接地区的合作模式。</w:t>
      </w:r>
    </w:p>
    <w:p w14:paraId="0509EB13">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69" w:name="_Toc88315745"/>
      <w:r>
        <w:rPr>
          <w:rFonts w:hint="eastAsia" w:ascii="黑体" w:hAnsi="黑体" w:eastAsia="黑体" w:cs="黑体"/>
          <w:b w:val="0"/>
          <w:bCs w:val="0"/>
          <w:color w:val="000000" w:themeColor="text1"/>
          <w:szCs w:val="28"/>
          <w14:textFill>
            <w14:solidFill>
              <w14:schemeClr w14:val="tx1"/>
            </w14:solidFill>
          </w14:textFill>
        </w:rPr>
        <w:t>第二节  加强对外多方面合作</w:t>
      </w:r>
      <w:bookmarkEnd w:id="69"/>
    </w:p>
    <w:p w14:paraId="03F694D6">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力争打造区域物流中心。</w:t>
      </w:r>
      <w:r>
        <w:rPr>
          <w:rFonts w:hint="eastAsia" w:cs="仿宋_GB2312"/>
          <w:color w:val="000000" w:themeColor="text1"/>
          <w:szCs w:val="28"/>
          <w14:textFill>
            <w14:solidFill>
              <w14:schemeClr w14:val="tx1"/>
            </w14:solidFill>
          </w14:textFill>
        </w:rPr>
        <w:t>优化区域交通体系，以高速公路为主加强区域交通建设，强化同区域内重点地区的道路对接。紧抓郴州国际物流中心建设的良机，争取物流中心线路布点至临武，为临武物流产业提质升级和参与国际外贸奠定基础。</w:t>
      </w:r>
    </w:p>
    <w:p w14:paraId="15840C60">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提升营商服务水平。</w:t>
      </w:r>
      <w:r>
        <w:rPr>
          <w:rFonts w:hint="eastAsia" w:cs="仿宋_GB2312"/>
          <w:color w:val="000000" w:themeColor="text1"/>
          <w:szCs w:val="28"/>
          <w14:textFill>
            <w14:solidFill>
              <w14:schemeClr w14:val="tx1"/>
            </w14:solidFill>
          </w14:textFill>
        </w:rPr>
        <w:t>对标先进地区经验做法，开展营商环境对标工程，建立营商环境评价机制，力争营商环境便利度指数达到90%以上。继续优化政府服务，充分发挥政务服务大厅“一站式”功能，推行实行一窗受理、集成服务。借助智慧临武介绍，继续推动“互联网+政务服务”水平的提升，实现各级各类审批服务事项“一点登录、一号认证、一网通办”以及电子证照和资源信息互认共用。继续发挥“保姆式”服务的优势，对重大项目实施全程代办代跑制。</w:t>
      </w:r>
    </w:p>
    <w:p w14:paraId="38AF730F">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紧抓多级合作平台机遇。</w:t>
      </w:r>
      <w:r>
        <w:rPr>
          <w:rFonts w:hint="eastAsia" w:cs="仿宋_GB2312"/>
          <w:color w:val="000000" w:themeColor="text1"/>
          <w:szCs w:val="28"/>
          <w14:textFill>
            <w14:solidFill>
              <w14:schemeClr w14:val="tx1"/>
            </w14:solidFill>
          </w14:textFill>
        </w:rPr>
        <w:t>借助示范区“沪洽周”、“中部论坛”等合作平台，在产业、技术、人才和金融等领域，积极对接上海自由贸易试验区、长三角城市群，加强同与成渝城市群等中西部地区合作，形成全方位、多层次、宽领域的区域合作。借助国际合作平台，扩展国际经贸交流合作，加快同“一带一路”沿线地区、非洲、东盟等区域的经贸合作。</w:t>
      </w:r>
    </w:p>
    <w:p w14:paraId="4103596E">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hint="eastAsia"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探索服贸为主的外贸产业发展。</w:t>
      </w:r>
      <w:r>
        <w:rPr>
          <w:rFonts w:hint="eastAsia" w:cs="仿宋_GB2312"/>
          <w:color w:val="000000" w:themeColor="text1"/>
          <w:szCs w:val="28"/>
          <w14:textFill>
            <w14:solidFill>
              <w14:schemeClr w14:val="tx1"/>
            </w14:solidFill>
          </w14:textFill>
        </w:rPr>
        <w:t>充分利用服务业贸易创新的机遇，探索结合主导优势产业，围绕服务深挖增长点，鼓励会展、文化、宝玉石、旅游等服务型产业依托对外合作平台，精准开发产品，打入国际市场。鼓励县内出口企业通过科技赋能，开发高科技含量、高水平的新产品，提升出口竞争力。</w:t>
      </w:r>
    </w:p>
    <w:p w14:paraId="6AF67063">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hint="eastAsia" w:cs="仿宋_GB2312"/>
          <w:color w:val="000000" w:themeColor="text1"/>
          <w:szCs w:val="28"/>
          <w14:textFill>
            <w14:solidFill>
              <w14:schemeClr w14:val="tx1"/>
            </w14:solidFill>
          </w14:textFill>
        </w:rPr>
      </w:pPr>
    </w:p>
    <w:p w14:paraId="5C67F959">
      <w:pPr>
        <w:pStyle w:val="4"/>
        <w:keepNext w:val="0"/>
        <w:keepLines w:val="0"/>
        <w:pageBreakBefore w:val="0"/>
        <w:widowControl w:val="0"/>
        <w:kinsoku/>
        <w:wordWrap w:val="0"/>
        <w:overflowPunct/>
        <w:topLinePunct/>
        <w:autoSpaceDE/>
        <w:autoSpaceDN/>
        <w:bidi w:val="0"/>
        <w:adjustRightInd/>
        <w:snapToGrid/>
        <w:spacing w:before="0" w:after="0" w:line="580" w:lineRule="exact"/>
        <w:textAlignment w:val="auto"/>
        <w:rPr>
          <w:rFonts w:hint="eastAsia" w:ascii="方正大标宋简体" w:hAnsi="方正大标宋简体" w:eastAsia="方正大标宋简体" w:cs="方正大标宋简体"/>
          <w:spacing w:val="-11"/>
          <w:sz w:val="36"/>
          <w:szCs w:val="36"/>
        </w:rPr>
      </w:pPr>
      <w:bookmarkStart w:id="70" w:name="_Toc88315746"/>
      <w:r>
        <w:rPr>
          <w:rFonts w:hint="eastAsia" w:ascii="方正大标宋简体" w:hAnsi="方正大标宋简体" w:eastAsia="方正大标宋简体" w:cs="方正大标宋简体"/>
          <w:spacing w:val="-11"/>
          <w:sz w:val="36"/>
          <w:szCs w:val="36"/>
          <w:lang w:val="en-US" w:eastAsia="zh-CN"/>
        </w:rPr>
        <w:t xml:space="preserve">  </w:t>
      </w:r>
      <w:r>
        <w:rPr>
          <w:rFonts w:hint="eastAsia" w:ascii="方正大标宋简体" w:hAnsi="方正大标宋简体" w:eastAsia="方正大标宋简体" w:cs="方正大标宋简体"/>
          <w:spacing w:val="-17"/>
          <w:sz w:val="36"/>
          <w:szCs w:val="36"/>
        </w:rPr>
        <w:t>勇担国家可持续发展议程创新示范区建设重任</w:t>
      </w:r>
      <w:bookmarkEnd w:id="70"/>
    </w:p>
    <w:p w14:paraId="5B0B7336">
      <w:pPr>
        <w:keepNext w:val="0"/>
        <w:keepLines w:val="0"/>
        <w:pageBreakBefore w:val="0"/>
        <w:widowControl w:val="0"/>
        <w:kinsoku/>
        <w:overflowPunct/>
        <w:autoSpaceDE/>
        <w:autoSpaceDN/>
        <w:bidi w:val="0"/>
        <w:adjustRightInd/>
        <w:snapToGrid/>
        <w:spacing w:line="580" w:lineRule="exact"/>
        <w:textAlignment w:val="auto"/>
        <w:rPr>
          <w:rFonts w:hint="eastAsia"/>
        </w:rPr>
      </w:pPr>
    </w:p>
    <w:p w14:paraId="2CF964B0">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以提升水资源利用效率、推动重金属污染治理、加强水源地生态环境保护等为重点，推动重点工程实施，打造县级可持续发展创新示范区。</w:t>
      </w:r>
    </w:p>
    <w:p w14:paraId="69833A7A">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71" w:name="_Toc88315747"/>
      <w:r>
        <w:rPr>
          <w:rFonts w:hint="eastAsia" w:ascii="黑体" w:hAnsi="黑体" w:eastAsia="黑体" w:cs="黑体"/>
          <w:b w:val="0"/>
          <w:bCs w:val="0"/>
          <w:color w:val="000000" w:themeColor="text1"/>
          <w:szCs w:val="28"/>
          <w14:textFill>
            <w14:solidFill>
              <w14:schemeClr w14:val="tx1"/>
            </w14:solidFill>
          </w14:textFill>
        </w:rPr>
        <w:t>第一节  提升水资源利用效率</w:t>
      </w:r>
      <w:bookmarkEnd w:id="71"/>
    </w:p>
    <w:p w14:paraId="60B73165">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建设节水型城市</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从源头把控，在前期规划和项目可行性研究阶段，严格执行水资源论证和节水评价制度。以点带面，建成一批节水型居民小区和企事业单位，积累经验，推广适宜于本地的节水产品和模式，营造全民节水的社会氛围。加大再生水利用量，减少城市绿化自来水使用量。在完善城市管网建设的同时，对老旧管网进行改造，降低管网漏失率。</w:t>
      </w:r>
    </w:p>
    <w:p w14:paraId="1A5328EC">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推动节水型农业建设。</w:t>
      </w:r>
      <w:r>
        <w:rPr>
          <w:rFonts w:hint="eastAsia" w:cs="仿宋_GB2312"/>
          <w:color w:val="000000" w:themeColor="text1"/>
          <w:szCs w:val="28"/>
          <w14:textFill>
            <w14:solidFill>
              <w14:schemeClr w14:val="tx1"/>
            </w14:solidFill>
          </w14:textFill>
        </w:rPr>
        <w:t>坚持渠系节水与田间节水相结合，先进技术与传统技术相结合，工程措施与管理措施相结合。灌区实施节水改造工程，以渠道防渗为主，重点加快灌排工程更新改造，适当发展管道输水灌溉。在高标准农田建设过程中，实施节水综合措施，提高灌溉保证率，率先实现农田水利现代化。山区地带试点开展“五小水利”工程，积极推广节水灌溉技术，提高抗旱减灾能力。</w:t>
      </w:r>
    </w:p>
    <w:p w14:paraId="663E40CB">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实施工业节水工程。</w:t>
      </w:r>
      <w:r>
        <w:rPr>
          <w:rFonts w:hint="eastAsia" w:cs="仿宋_GB2312"/>
          <w:color w:val="000000" w:themeColor="text1"/>
          <w:szCs w:val="28"/>
          <w14:textFill>
            <w14:solidFill>
              <w14:schemeClr w14:val="tx1"/>
            </w14:solidFill>
          </w14:textFill>
        </w:rPr>
        <w:t>充分利用价格政策，开展用水综合管理，鼓励企业在非必要环节用水中，实现分质分类利用，有效降低工业用水。探索开展水量平衡测试工作，对用水量占比前五的企业提供用水管理服务，找出节水环节。提升工业园区污水处理能力，实现废水集中治理，保障处理后的水质达标，为水资源梯级优化利用提供基础。</w:t>
      </w:r>
    </w:p>
    <w:p w14:paraId="4E3EA63F">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72" w:name="_Toc88315748"/>
      <w:r>
        <w:rPr>
          <w:rFonts w:hint="eastAsia" w:ascii="黑体" w:hAnsi="黑体" w:eastAsia="黑体" w:cs="黑体"/>
          <w:b w:val="0"/>
          <w:bCs w:val="0"/>
          <w:color w:val="000000" w:themeColor="text1"/>
          <w:szCs w:val="28"/>
          <w14:textFill>
            <w14:solidFill>
              <w14:schemeClr w14:val="tx1"/>
            </w14:solidFill>
          </w14:textFill>
        </w:rPr>
        <w:t>第二节  加强水源地生态环境保护</w:t>
      </w:r>
      <w:bookmarkEnd w:id="72"/>
    </w:p>
    <w:p w14:paraId="3412F507">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结合农村环境治理，继续开展农村水系综合整治、水系连通，提升地区水环境质量，主动融入全市“一极六区”建设和低碳城市试点，勇担示范区“四水联动”建设“治水”使命，做好两大水库和两江源头的水生态保护工作。</w:t>
      </w:r>
    </w:p>
    <w:p w14:paraId="61E23A3E">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发挥科技支撑作用。</w:t>
      </w:r>
      <w:r>
        <w:rPr>
          <w:rFonts w:hint="eastAsia" w:cs="仿宋_GB2312"/>
          <w:color w:val="000000" w:themeColor="text1"/>
          <w:szCs w:val="28"/>
          <w14:textFill>
            <w14:solidFill>
              <w14:schemeClr w14:val="tx1"/>
            </w14:solidFill>
          </w14:textFill>
        </w:rPr>
        <w:t>充分利用区域科技资源，围绕水污染防治、水生态修复等方面，积极对接省、市研究基地和科研中心，重点围绕水源地、矿区、山区水源保护和生态治理开展研究，发挥科技对生态治理和保护的促进作用。</w:t>
      </w:r>
    </w:p>
    <w:p w14:paraId="56C13007">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构建水资源监测和管理体系。</w:t>
      </w:r>
      <w:r>
        <w:rPr>
          <w:rFonts w:hint="eastAsia" w:cs="仿宋_GB2312"/>
          <w:color w:val="000000" w:themeColor="text1"/>
          <w:szCs w:val="28"/>
          <w14:textFill>
            <w14:solidFill>
              <w14:schemeClr w14:val="tx1"/>
            </w14:solidFill>
          </w14:textFill>
        </w:rPr>
        <w:t>探索在市级水资源承载能力监测预警机制和生态流量管控机制的基础上，开展县域水资源承载能力研究，初步建立县级监测预警机制，形成水资源调查监测“一张底图”。</w:t>
      </w:r>
    </w:p>
    <w:p w14:paraId="07386294">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探索水生态保护修复模式。</w:t>
      </w:r>
      <w:r>
        <w:rPr>
          <w:rFonts w:hint="eastAsia" w:cs="仿宋_GB2312"/>
          <w:color w:val="000000" w:themeColor="text1"/>
          <w:szCs w:val="28"/>
          <w14:textFill>
            <w14:solidFill>
              <w14:schemeClr w14:val="tx1"/>
            </w14:solidFill>
          </w14:textFill>
        </w:rPr>
        <w:t>继续推动武水河流域治理，摸索城市流域治理的技术和模式，积累可推广的经验。积极推进水土保持重点工程，开展坡耕地水土流失综合治理和南方崩岗治理工程，实施水环境综合治理、封山育林，加强水土保持林、水源涵养林建设，加快尾砂库覆土还绿等重点工程，建立完整自然的水生态保护与修复体系。</w:t>
      </w:r>
    </w:p>
    <w:p w14:paraId="3771ACE3">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73" w:name="_Toc88315749"/>
      <w:r>
        <w:rPr>
          <w:rFonts w:hint="eastAsia" w:ascii="黑体" w:hAnsi="黑体" w:eastAsia="黑体" w:cs="黑体"/>
          <w:b w:val="0"/>
          <w:bCs w:val="0"/>
          <w:color w:val="000000" w:themeColor="text1"/>
          <w:szCs w:val="28"/>
          <w14:textFill>
            <w14:solidFill>
              <w14:schemeClr w14:val="tx1"/>
            </w14:solidFill>
          </w14:textFill>
        </w:rPr>
        <w:t>第三节  开展重金属污染及源头综合治理</w:t>
      </w:r>
      <w:bookmarkEnd w:id="73"/>
    </w:p>
    <w:p w14:paraId="0D5B2B2A">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开展重金属污染及源头综合治理。</w:t>
      </w:r>
      <w:r>
        <w:rPr>
          <w:rFonts w:hint="eastAsia" w:cs="仿宋_GB2312"/>
          <w:color w:val="000000" w:themeColor="text1"/>
          <w:szCs w:val="28"/>
          <w14:textFill>
            <w14:solidFill>
              <w14:schemeClr w14:val="tx1"/>
            </w14:solidFill>
          </w14:textFill>
        </w:rPr>
        <w:t>以三十六湾、香花岭矿区为重点，对废弃矿井和遗留废渣实行集中治理，对重金属</w:t>
      </w:r>
      <w:r>
        <w:rPr>
          <w:rFonts w:hint="eastAsia" w:cs="仿宋_GB2312"/>
          <w:color w:val="000000" w:themeColor="text1"/>
          <w:szCs w:val="28"/>
          <w:lang w:eastAsia="zh-CN"/>
          <w14:textFill>
            <w14:solidFill>
              <w14:schemeClr w14:val="tx1"/>
            </w14:solidFill>
          </w14:textFill>
        </w:rPr>
        <w:t>淤</w:t>
      </w:r>
      <w:r>
        <w:rPr>
          <w:rFonts w:hint="eastAsia" w:cs="仿宋_GB2312"/>
          <w:color w:val="000000" w:themeColor="text1"/>
          <w:szCs w:val="28"/>
          <w14:textFill>
            <w14:solidFill>
              <w14:schemeClr w14:val="tx1"/>
            </w14:solidFill>
          </w14:textFill>
        </w:rPr>
        <w:t>塞、污染严重的冲沟河道进行疏导清挖，就近建设填埋场对冲沟河道清挖尾砂及沿岸选矿厂遗留尾砂进行安全填埋。在河道沟谷纵横、废石密集等地方修筑填埋场的沿岸护堤，保证填埋场和沿岸废石稳定，防止废石尾砂进入下游河道。推动矿山生态修复，对开采裸露区域和封闭后的填埋场进行覆土还绿。继续解决历史遗留污染问题，完成水东、镇南、万水、永发的治理项目。到</w:t>
      </w:r>
      <w:r>
        <w:rPr>
          <w:rFonts w:cs="仿宋_GB2312"/>
          <w:color w:val="000000" w:themeColor="text1"/>
          <w:szCs w:val="28"/>
          <w14:textFill>
            <w14:solidFill>
              <w14:schemeClr w14:val="tx1"/>
            </w14:solidFill>
          </w14:textFill>
        </w:rPr>
        <w:t>2025年，工矿废水循环利用率提高到55%，县内主要河流断面全面达到Ⅲ类及以上水质标准</w:t>
      </w:r>
      <w:r>
        <w:rPr>
          <w:rFonts w:hint="eastAsia" w:cs="仿宋_GB2312"/>
          <w:color w:val="000000" w:themeColor="text1"/>
          <w:szCs w:val="28"/>
          <w14:textFill>
            <w14:solidFill>
              <w14:schemeClr w14:val="tx1"/>
            </w14:solidFill>
          </w14:textFill>
        </w:rPr>
        <w:t>。</w:t>
      </w:r>
    </w:p>
    <w:p w14:paraId="3C23ED1A">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实现有色金属产业绿色发展。</w:t>
      </w:r>
      <w:r>
        <w:rPr>
          <w:rFonts w:hint="eastAsia" w:cs="仿宋_GB2312"/>
          <w:color w:val="000000" w:themeColor="text1"/>
          <w:szCs w:val="28"/>
          <w14:textFill>
            <w14:solidFill>
              <w14:schemeClr w14:val="tx1"/>
            </w14:solidFill>
          </w14:textFill>
        </w:rPr>
        <w:t>新建扩建矿区开展全流程绿色建设，从设计到建设、运营和后期治理体现高效、绿色理念，探索与有色金属产业发展并举的适用技术路线和系统解决方案，形成可操作、可复制、可推广的矿区可持续发展模式。积极对接科研机构，推广尾矿回收利用先进技术，提升尾矿废渣资源综合利用水平。</w:t>
      </w:r>
    </w:p>
    <w:p w14:paraId="1AA5D6D6">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hint="eastAsia"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推动采煤沉陷区转型发展。</w:t>
      </w:r>
      <w:r>
        <w:rPr>
          <w:rFonts w:hint="eastAsia" w:cs="仿宋_GB2312"/>
          <w:color w:val="000000" w:themeColor="text1"/>
          <w:szCs w:val="28"/>
          <w14:textFill>
            <w14:solidFill>
              <w14:schemeClr w14:val="tx1"/>
            </w14:solidFill>
          </w14:textFill>
        </w:rPr>
        <w:t>围绕金江—水东采煤沉陷区，实施居民避险搬迁、基础设施和公共服务设施、生态修复与环境整治、接续替代产业平台等重点项目，开展综合治理。重点通过生态复绿恢复环境，发展生态养殖、观光旅游，实现沉陷区产业转型，由工矿生产型城市向生态宜居型城市转变。</w:t>
      </w:r>
    </w:p>
    <w:p w14:paraId="02CA15ED">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hint="eastAsia" w:cs="仿宋_GB2312"/>
          <w:color w:val="000000" w:themeColor="text1"/>
          <w:szCs w:val="28"/>
          <w14:textFill>
            <w14:solidFill>
              <w14:schemeClr w14:val="tx1"/>
            </w14:solidFill>
          </w14:textFill>
        </w:rPr>
      </w:pPr>
    </w:p>
    <w:p w14:paraId="3336F10E">
      <w:pPr>
        <w:pStyle w:val="4"/>
        <w:keepNext w:val="0"/>
        <w:keepLines w:val="0"/>
        <w:pageBreakBefore w:val="0"/>
        <w:widowControl w:val="0"/>
        <w:kinsoku/>
        <w:wordWrap w:val="0"/>
        <w:overflowPunct/>
        <w:topLinePunct/>
        <w:autoSpaceDE/>
        <w:autoSpaceDN/>
        <w:bidi w:val="0"/>
        <w:adjustRightInd/>
        <w:snapToGrid/>
        <w:spacing w:before="0" w:after="0" w:line="560" w:lineRule="exact"/>
        <w:textAlignment w:val="auto"/>
        <w:rPr>
          <w:rFonts w:hint="eastAsia" w:ascii="方正大标宋简体" w:hAnsi="方正大标宋简体" w:eastAsia="方正大标宋简体" w:cs="方正大标宋简体"/>
          <w:sz w:val="36"/>
          <w:szCs w:val="36"/>
        </w:rPr>
      </w:pPr>
      <w:bookmarkStart w:id="74" w:name="_Toc88315750"/>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加快融入湖南自贸试验区郴州片区</w:t>
      </w:r>
      <w:bookmarkEnd w:id="74"/>
    </w:p>
    <w:p w14:paraId="455F98B7">
      <w:pPr>
        <w:keepNext w:val="0"/>
        <w:keepLines w:val="0"/>
        <w:pageBreakBefore w:val="0"/>
        <w:widowControl w:val="0"/>
        <w:kinsoku/>
        <w:overflowPunct/>
        <w:autoSpaceDE/>
        <w:autoSpaceDN/>
        <w:bidi w:val="0"/>
        <w:adjustRightInd/>
        <w:snapToGrid/>
        <w:spacing w:line="560" w:lineRule="exact"/>
        <w:textAlignment w:val="auto"/>
        <w:rPr>
          <w:rFonts w:hint="eastAsia"/>
        </w:rPr>
      </w:pPr>
    </w:p>
    <w:p w14:paraId="0689A633">
      <w:pPr>
        <w:pStyle w:val="57"/>
        <w:keepNext w:val="0"/>
        <w:keepLines w:val="0"/>
        <w:pageBreakBefore w:val="0"/>
        <w:widowControl w:val="0"/>
        <w:kinsoku/>
        <w:wordWrap w:val="0"/>
        <w:overflowPunct/>
        <w:topLinePunct/>
        <w:autoSpaceDE/>
        <w:autoSpaceDN/>
        <w:bidi w:val="0"/>
        <w:adjustRightInd/>
        <w:snapToGrid/>
        <w:spacing w:line="56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借助中国</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湖南</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自由贸易试验区建设机遇，加快融入郴州片区，在产业、对外联通和开放合作方面提升合作能力。</w:t>
      </w:r>
    </w:p>
    <w:p w14:paraId="735FCD60">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75" w:name="_Toc88315751"/>
      <w:r>
        <w:rPr>
          <w:rFonts w:hint="eastAsia" w:ascii="黑体" w:hAnsi="黑体" w:eastAsia="黑体" w:cs="黑体"/>
          <w:b w:val="0"/>
          <w:bCs w:val="0"/>
          <w:color w:val="000000" w:themeColor="text1"/>
          <w:szCs w:val="28"/>
          <w14:textFill>
            <w14:solidFill>
              <w14:schemeClr w14:val="tx1"/>
            </w14:solidFill>
          </w14:textFill>
        </w:rPr>
        <w:t>第一节  加强产业合作</w:t>
      </w:r>
      <w:bookmarkEnd w:id="75"/>
    </w:p>
    <w:p w14:paraId="78D9BB19">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继续优化产业承接模式</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积极承接沿海产业转移的路径和模式，开展飞地经济合作，建立健全区域间互动合作和利益分享机制。借助自贸区建立的优势，探索推动资质、认证跨区域互认，对落地企业的原有资质、认证给予认可。继续完善服务体系建设，围绕检测认证、运维服务等开展公共服务平台建设，助力企业“上云上平台”。</w:t>
      </w:r>
    </w:p>
    <w:p w14:paraId="1A425DEB">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完善技术创新支撑体系。</w:t>
      </w:r>
      <w:r>
        <w:rPr>
          <w:rFonts w:hint="eastAsia" w:cs="仿宋_GB2312"/>
          <w:color w:val="000000" w:themeColor="text1"/>
          <w:szCs w:val="28"/>
          <w14:textFill>
            <w14:solidFill>
              <w14:schemeClr w14:val="tx1"/>
            </w14:solidFill>
          </w14:textFill>
        </w:rPr>
        <w:t>围绕主导产业链，逐步完善其技术创新体系，支持同科研机构联合，推动关键共性技术研究和重大科技成果转化。建立企业技术需求清单，利用科技合作平台促进科技成果转化。共享知识产权公共服务平台，加快技术转化进程，提高技术转化率。</w:t>
      </w:r>
    </w:p>
    <w:p w14:paraId="00DB954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76" w:name="_Toc88315752"/>
      <w:r>
        <w:rPr>
          <w:rFonts w:hint="eastAsia" w:ascii="黑体" w:hAnsi="黑体" w:eastAsia="黑体" w:cs="黑体"/>
          <w:b w:val="0"/>
          <w:bCs w:val="0"/>
          <w:color w:val="000000" w:themeColor="text1"/>
          <w:szCs w:val="28"/>
          <w14:textFill>
            <w14:solidFill>
              <w14:schemeClr w14:val="tx1"/>
            </w14:solidFill>
          </w14:textFill>
        </w:rPr>
        <w:t>第二节  探索扩展对外合作范围</w:t>
      </w:r>
      <w:bookmarkEnd w:id="76"/>
    </w:p>
    <w:p w14:paraId="0053367D">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对接长江经济带和珠三角。</w:t>
      </w:r>
      <w:r>
        <w:rPr>
          <w:rFonts w:hint="eastAsia" w:cs="仿宋_GB2312"/>
          <w:color w:val="000000" w:themeColor="text1"/>
          <w:szCs w:val="28"/>
          <w14:textFill>
            <w14:solidFill>
              <w14:schemeClr w14:val="tx1"/>
            </w14:solidFill>
          </w14:textFill>
        </w:rPr>
        <w:t>加强同长江经济带的产业对接，提升同长江经济带产业协同合作能力，积极承接长三角产业，融入长三角产业链条。积极对接大湾区建设，推动市场一体、标准互认，依托精准招商，推动重大产业承接项目落地。围绕电子信息、新能源开展产业协作，对接和融入两大经济带。</w:t>
      </w:r>
    </w:p>
    <w:p w14:paraId="5B57E9D2">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积极发展“一带一路”对外贸易。</w:t>
      </w:r>
      <w:r>
        <w:rPr>
          <w:rFonts w:hint="eastAsia" w:cs="仿宋_GB2312"/>
          <w:color w:val="000000" w:themeColor="text1"/>
          <w:szCs w:val="28"/>
          <w14:textFill>
            <w14:solidFill>
              <w14:schemeClr w14:val="tx1"/>
            </w14:solidFill>
          </w14:textFill>
        </w:rPr>
        <w:t>借助郴州保税区地利，做强对外贸易产业，探索扩展对外出口产品范围，扩大临武品牌国际知名度。进一步优化产品质量，形成具有不可替代性、符合国际需求的高端农产品。逐步扩宽东南亚以外的国际农产品市场，关注日韩等高端市场发展方向和需求，借助自贸区机遇探索同省内特色农产品打包出口。结合服贸出口创新，在发展文创产业的基础上，探索对外文创产品的研发。借助中国(湖南)国际矿物宝石博览会等级提升的契机，进一步提升临武宝玉石的国际知名度，逐步打开国际市场。</w:t>
      </w:r>
    </w:p>
    <w:p w14:paraId="55B230E6">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积极融入国家、省、市多级合作平台。</w:t>
      </w:r>
      <w:r>
        <w:rPr>
          <w:rFonts w:hint="eastAsia" w:cs="仿宋_GB2312"/>
          <w:color w:val="000000" w:themeColor="text1"/>
          <w:szCs w:val="28"/>
          <w14:textFill>
            <w14:solidFill>
              <w14:schemeClr w14:val="tx1"/>
            </w14:solidFill>
          </w14:textFill>
        </w:rPr>
        <w:t>抢抓RCEP签订的机遇，主动出击，积极对接国家、省、市多级合作平台，重点围绕科技合作、产品出口、服贸交易等，加大重点产业的科技创新和引入，探索融入国际产业链条；利用平台人才、金融、科技等资源，积极学习RCEP规则，结合地区实际确立发展方向，为开展深入合作和交流奠定基础。</w:t>
      </w:r>
    </w:p>
    <w:p w14:paraId="755C78FA">
      <w:pPr>
        <w:keepNext w:val="0"/>
        <w:keepLines w:val="0"/>
        <w:pageBreakBefore w:val="0"/>
        <w:widowControl w:val="0"/>
        <w:kinsoku/>
        <w:wordWrap w:val="0"/>
        <w:overflowPunct/>
        <w:topLinePunct/>
        <w:autoSpaceDE/>
        <w:autoSpaceDN/>
        <w:bidi w:val="0"/>
        <w:adjustRightInd/>
        <w:snapToGrid/>
        <w:spacing w:line="580" w:lineRule="exact"/>
        <w:jc w:val="center"/>
        <w:textAlignment w:val="auto"/>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rPr>
        <w:t>：开放能力建设工程</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3C4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14:paraId="7C26BB43">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产业承接工程。</w:t>
            </w:r>
            <w:r>
              <w:rPr>
                <w:rFonts w:hint="eastAsia"/>
              </w:rPr>
              <w:t>以主导的电子信息、新能源电池、农产品加工产业为重点，加大与东部发达地区的对接，围绕强链、补链和延链，精准招商，推动产业集聚和规模化发展。</w:t>
            </w:r>
          </w:p>
          <w:p w14:paraId="620AFFFB">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农业竞争力提升项目。</w:t>
            </w:r>
            <w:r>
              <w:rPr>
                <w:rFonts w:hint="eastAsia"/>
              </w:rPr>
              <w:t>以精品小水果为重点，推动产业规模化、集约化、绿色化发展，加强与省内农业企业联合，抱团出海，争取日韩高端产品的市场，继续提升品牌知名度，逐步参与直至主导临武地区特色水果国际标准的制定。</w:t>
            </w:r>
          </w:p>
          <w:p w14:paraId="4B6D6012">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平台建设工程。</w:t>
            </w:r>
            <w:r>
              <w:rPr>
                <w:rFonts w:hint="eastAsia"/>
              </w:rPr>
              <w:t>积极同省、市平台开展合作，围绕产业承接、技术提升等，对接东部地区经济发达城市，借鉴其发展经验，同1-2个地区建立全面合作关系，打造深度合作平台，在产业、教育、医疗等方面开展合作。</w:t>
            </w:r>
          </w:p>
        </w:tc>
      </w:tr>
    </w:tbl>
    <w:p w14:paraId="2DC035DB">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sectPr>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46FE3192">
      <w:pPr>
        <w:pStyle w:val="3"/>
        <w:keepNext w:val="0"/>
        <w:keepLines w:val="0"/>
        <w:pageBreakBefore w:val="0"/>
        <w:widowControl w:val="0"/>
        <w:numPr>
          <w:ilvl w:val="0"/>
          <w:numId w:val="0"/>
        </w:numPr>
        <w:kinsoku/>
        <w:wordWrap w:val="0"/>
        <w:overflowPunct/>
        <w:topLinePunct/>
        <w:autoSpaceDE/>
        <w:autoSpaceDN/>
        <w:bidi w:val="0"/>
        <w:spacing w:before="0" w:after="0" w:line="600" w:lineRule="exact"/>
        <w:ind w:leftChars="0"/>
        <w:rPr>
          <w:shd w:val="clear"/>
        </w:rPr>
      </w:pPr>
      <w:bookmarkStart w:id="77" w:name="_Toc88315753"/>
      <w:r>
        <w:rPr>
          <w:rFonts w:hint="eastAsia"/>
          <w:shd w:val="clear"/>
          <w:lang w:val="en-US" w:eastAsia="zh-CN"/>
        </w:rPr>
        <w:t xml:space="preserve">第五篇  </w:t>
      </w:r>
      <w:r>
        <w:rPr>
          <w:rFonts w:hint="eastAsia"/>
          <w:shd w:val="clear"/>
        </w:rPr>
        <w:t>努力拓展高质量发展新空间</w:t>
      </w:r>
      <w:bookmarkEnd w:id="77"/>
    </w:p>
    <w:p w14:paraId="3B20AE80"/>
    <w:p w14:paraId="69BDA190">
      <w:pPr>
        <w:pStyle w:val="57"/>
        <w:keepNext w:val="0"/>
        <w:keepLines w:val="0"/>
        <w:pageBreakBefore w:val="0"/>
        <w:widowControl w:val="0"/>
        <w:kinsoku/>
        <w:wordWrap w:val="0"/>
        <w:overflowPunct/>
        <w:topLinePunct/>
        <w:autoSpaceDE/>
        <w:autoSpaceDN/>
        <w:bidi w:val="0"/>
        <w:spacing w:line="600" w:lineRule="exact"/>
        <w:ind w:firstLine="640"/>
        <w:rPr>
          <w:rFonts w:hint="eastAsia"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围绕空间、城镇、产业和生态空间，科学前瞻性进行布局，构建合理的县域空间格局，推动城乡协调发展，走实高质量发展道路。</w:t>
      </w:r>
    </w:p>
    <w:p w14:paraId="53912397">
      <w:pPr>
        <w:pStyle w:val="57"/>
        <w:keepNext w:val="0"/>
        <w:keepLines w:val="0"/>
        <w:pageBreakBefore w:val="0"/>
        <w:widowControl w:val="0"/>
        <w:kinsoku/>
        <w:wordWrap w:val="0"/>
        <w:overflowPunct/>
        <w:topLinePunct/>
        <w:autoSpaceDE/>
        <w:autoSpaceDN/>
        <w:bidi w:val="0"/>
        <w:spacing w:line="600" w:lineRule="exact"/>
        <w:ind w:firstLine="640"/>
        <w:rPr>
          <w:rFonts w:hint="eastAsia" w:cs="仿宋_GB2312"/>
          <w:color w:val="000000" w:themeColor="text1"/>
          <w:szCs w:val="28"/>
          <w14:textFill>
            <w14:solidFill>
              <w14:schemeClr w14:val="tx1"/>
            </w14:solidFill>
          </w14:textFill>
        </w:rPr>
      </w:pPr>
    </w:p>
    <w:p w14:paraId="0DE18EAA">
      <w:pPr>
        <w:pStyle w:val="4"/>
        <w:keepNext w:val="0"/>
        <w:keepLines w:val="0"/>
        <w:pageBreakBefore w:val="0"/>
        <w:widowControl w:val="0"/>
        <w:kinsoku/>
        <w:wordWrap w:val="0"/>
        <w:overflowPunct/>
        <w:topLinePunct/>
        <w:autoSpaceDE/>
        <w:autoSpaceDN/>
        <w:bidi w:val="0"/>
        <w:spacing w:before="0" w:after="0" w:line="600" w:lineRule="exact"/>
        <w:rPr>
          <w:rFonts w:hint="eastAsia" w:ascii="方正大标宋简体" w:hAnsi="方正大标宋简体" w:eastAsia="方正大标宋简体" w:cs="方正大标宋简体"/>
          <w:sz w:val="36"/>
          <w:szCs w:val="36"/>
        </w:rPr>
      </w:pPr>
      <w:bookmarkStart w:id="78" w:name="_Toc88315754"/>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强化国土空间管控</w:t>
      </w:r>
      <w:bookmarkEnd w:id="78"/>
    </w:p>
    <w:p w14:paraId="1B9D5220">
      <w:pPr>
        <w:pStyle w:val="57"/>
        <w:keepNext w:val="0"/>
        <w:keepLines w:val="0"/>
        <w:pageBreakBefore w:val="0"/>
        <w:widowControl w:val="0"/>
        <w:kinsoku/>
        <w:wordWrap w:val="0"/>
        <w:overflowPunct/>
        <w:topLinePunct/>
        <w:autoSpaceDE/>
        <w:autoSpaceDN/>
        <w:bidi w:val="0"/>
        <w:spacing w:line="600" w:lineRule="exact"/>
        <w:ind w:firstLine="640"/>
        <w:rPr>
          <w:rFonts w:hint="eastAsia" w:cs="仿宋_GB2312"/>
          <w:color w:val="000000" w:themeColor="text1"/>
          <w:szCs w:val="28"/>
          <w14:textFill>
            <w14:solidFill>
              <w14:schemeClr w14:val="tx1"/>
            </w14:solidFill>
          </w14:textFill>
        </w:rPr>
      </w:pPr>
    </w:p>
    <w:p w14:paraId="71CD3344">
      <w:pPr>
        <w:pStyle w:val="57"/>
        <w:keepNext w:val="0"/>
        <w:keepLines w:val="0"/>
        <w:pageBreakBefore w:val="0"/>
        <w:widowControl w:val="0"/>
        <w:kinsoku/>
        <w:wordWrap w:val="0"/>
        <w:overflowPunct/>
        <w:topLinePunct/>
        <w:autoSpaceDE/>
        <w:autoSpaceDN/>
        <w:bidi w:val="0"/>
        <w:adjustRightInd/>
        <w:snapToGrid/>
        <w:spacing w:line="62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发挥空间规划在支撑城镇化快速发展、促进国土空间合理利用和有效保护、推动县域空间规划统筹方面的作用，推动县域协调发展。</w:t>
      </w:r>
    </w:p>
    <w:p w14:paraId="4BBAE9BE">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完善分级分类国土空间规划体系</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加强各类空间规划的统筹，科学划定生态保护红线、永久基本农田和城镇开发边界三条管控底线，合理设置生态、农业、城镇三大空间比例，构建科学合理的县域“三区三线”空间格局。进一步完善县域国土空间总体规划，有序推动乡镇国土空间规划编制。进一步提升交通、能源、市政等专项规划编制工作水平，充实专项规划编制体系。</w:t>
      </w:r>
    </w:p>
    <w:p w14:paraId="2DC3B446">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强化对专项规划的指导约束作用。</w:t>
      </w:r>
      <w:r>
        <w:rPr>
          <w:rFonts w:hint="eastAsia" w:cs="仿宋_GB2312"/>
          <w:color w:val="000000" w:themeColor="text1"/>
          <w:szCs w:val="28"/>
          <w14:textFill>
            <w14:solidFill>
              <w14:schemeClr w14:val="tx1"/>
            </w14:solidFill>
          </w14:textFill>
        </w:rPr>
        <w:t>将主体功能区规划、土地利用规划、城乡规划等空间规划融合为统一的国土空间规划，实现“多规合一”，强化国土空间规划对各专项规划的约束性、指导性和引领性，在自然资源统一管理的基础上，形成全域全类型空间管制措施。水利、农业、市政等专项规划要在国土空间规划的约束和指导下开展编制。</w:t>
      </w:r>
    </w:p>
    <w:p w14:paraId="23364ED1">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hint="eastAsia"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有序推动详规编制。</w:t>
      </w:r>
      <w:r>
        <w:rPr>
          <w:rFonts w:hint="eastAsia" w:cs="仿宋_GB2312"/>
          <w:color w:val="000000" w:themeColor="text1"/>
          <w:szCs w:val="28"/>
          <w14:textFill>
            <w14:solidFill>
              <w14:schemeClr w14:val="tx1"/>
            </w14:solidFill>
          </w14:textFill>
        </w:rPr>
        <w:t>以工业园区、城区为重点逐步推动详细规划编制工作的有序开展，对地块用途和开发建设强度等作出实施性安排，为核发城乡建设项目规划许可、进行各项建设等明确法定依据。选择具有产业基础的一个或几个行政村为单元，由乡镇政府组织编制实用性村庄规划作为详细规划，为村镇项目开发奠定基础。</w:t>
      </w:r>
    </w:p>
    <w:p w14:paraId="45B43660">
      <w:pPr>
        <w:pStyle w:val="57"/>
        <w:keepNext w:val="0"/>
        <w:keepLines w:val="0"/>
        <w:pageBreakBefore w:val="0"/>
        <w:widowControl w:val="0"/>
        <w:kinsoku/>
        <w:wordWrap w:val="0"/>
        <w:overflowPunct/>
        <w:topLinePunct/>
        <w:autoSpaceDE/>
        <w:autoSpaceDN/>
        <w:bidi w:val="0"/>
        <w:spacing w:line="600" w:lineRule="exact"/>
        <w:ind w:firstLine="643"/>
        <w:rPr>
          <w:rFonts w:hint="eastAsia" w:cs="仿宋_GB2312"/>
          <w:color w:val="000000" w:themeColor="text1"/>
          <w:szCs w:val="28"/>
          <w14:textFill>
            <w14:solidFill>
              <w14:schemeClr w14:val="tx1"/>
            </w14:solidFill>
          </w14:textFill>
        </w:rPr>
      </w:pPr>
    </w:p>
    <w:p w14:paraId="6E542449">
      <w:pPr>
        <w:pStyle w:val="4"/>
        <w:keepNext w:val="0"/>
        <w:keepLines w:val="0"/>
        <w:pageBreakBefore w:val="0"/>
        <w:widowControl w:val="0"/>
        <w:kinsoku/>
        <w:wordWrap w:val="0"/>
        <w:overflowPunct/>
        <w:topLinePunct/>
        <w:autoSpaceDE/>
        <w:autoSpaceDN/>
        <w:bidi w:val="0"/>
        <w:spacing w:before="0" w:after="0" w:line="600" w:lineRule="exact"/>
        <w:rPr>
          <w:rFonts w:hint="eastAsia" w:ascii="方正大标宋简体" w:hAnsi="方正大标宋简体" w:eastAsia="方正大标宋简体" w:cs="方正大标宋简体"/>
          <w:sz w:val="36"/>
          <w:szCs w:val="36"/>
        </w:rPr>
      </w:pPr>
      <w:bookmarkStart w:id="79" w:name="_Toc88315755"/>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优化城镇布局</w:t>
      </w:r>
      <w:bookmarkEnd w:id="79"/>
    </w:p>
    <w:p w14:paraId="5D9CFD3A"/>
    <w:p w14:paraId="5B7A2CC7">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深入分析城镇资源特点和机遇，科学布局，形成优势互补、发展错位、相互协调的城镇布局。</w:t>
      </w:r>
    </w:p>
    <w:p w14:paraId="031ABB7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rPr>
      </w:pPr>
      <w:bookmarkStart w:id="80" w:name="_Toc88315756"/>
      <w:r>
        <w:rPr>
          <w:rFonts w:hint="eastAsia" w:ascii="黑体" w:hAnsi="黑体" w:eastAsia="黑体" w:cs="黑体"/>
          <w:b w:val="0"/>
          <w:bCs w:val="0"/>
        </w:rPr>
        <w:t>第一节  优化城镇空间布局</w:t>
      </w:r>
      <w:bookmarkEnd w:id="80"/>
    </w:p>
    <w:p w14:paraId="2CA269AB">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继续优化城镇空间布局，引领地区发展。按照“一核、两带、三轴”城镇发展格局，实现城镇错位互补发展。</w:t>
      </w:r>
      <w:r>
        <w:rPr>
          <w:rFonts w:hint="eastAsia" w:ascii="楷体_GB2312" w:hAnsi="楷体_GB2312" w:eastAsia="楷体_GB2312" w:cs="楷体_GB2312"/>
          <w:b/>
          <w:bCs/>
          <w:color w:val="000000" w:themeColor="text1"/>
          <w:szCs w:val="28"/>
          <w14:textFill>
            <w14:solidFill>
              <w14:schemeClr w14:val="tx1"/>
            </w14:solidFill>
          </w14:textFill>
        </w:rPr>
        <w:t>“一核”：</w:t>
      </w:r>
      <w:r>
        <w:rPr>
          <w:rFonts w:hint="eastAsia" w:cs="仿宋_GB2312"/>
          <w:color w:val="000000" w:themeColor="text1"/>
          <w:szCs w:val="28"/>
          <w14:textFill>
            <w14:solidFill>
              <w14:schemeClr w14:val="tx1"/>
            </w14:solidFill>
          </w14:textFill>
        </w:rPr>
        <w:t>加快“舜峰镇、武水镇以及工业园区”为一核的城市中心建设，提升城市服务功能，打造高品质城市生活。</w:t>
      </w:r>
      <w:r>
        <w:rPr>
          <w:rFonts w:hint="eastAsia" w:ascii="楷体_GB2312" w:hAnsi="楷体_GB2312" w:eastAsia="楷体_GB2312" w:cs="楷体_GB2312"/>
          <w:b/>
          <w:bCs/>
          <w:color w:val="000000" w:themeColor="text1"/>
          <w:szCs w:val="28"/>
          <w14:textFill>
            <w14:solidFill>
              <w14:schemeClr w14:val="tx1"/>
            </w14:solidFill>
          </w14:textFill>
        </w:rPr>
        <w:t>“两带”：</w:t>
      </w:r>
      <w:r>
        <w:rPr>
          <w:rFonts w:hint="eastAsia" w:cs="仿宋_GB2312"/>
          <w:color w:val="000000" w:themeColor="text1"/>
          <w:szCs w:val="28"/>
          <w14:textFill>
            <w14:solidFill>
              <w14:schemeClr w14:val="tx1"/>
            </w14:solidFill>
          </w14:textFill>
        </w:rPr>
        <w:t>围绕北部工矿城镇优化发展带和南部生态农业引导发展带，在生态保护和修复的基础上，加快产业发展和集聚，北部地区打造高端有色金属加工带，南部地区高端种养殖业发展规模进一步壮大，打造高质量发展产业示范区。</w:t>
      </w:r>
      <w:r>
        <w:rPr>
          <w:rFonts w:hint="eastAsia" w:ascii="楷体_GB2312" w:hAnsi="楷体_GB2312" w:eastAsia="楷体_GB2312" w:cs="楷体_GB2312"/>
          <w:b/>
          <w:bCs/>
          <w:color w:val="000000" w:themeColor="text1"/>
          <w:szCs w:val="28"/>
          <w14:textFill>
            <w14:solidFill>
              <w14:schemeClr w14:val="tx1"/>
            </w14:solidFill>
          </w14:textFill>
        </w:rPr>
        <w:t>“三轴”：</w:t>
      </w:r>
      <w:r>
        <w:rPr>
          <w:rFonts w:hint="eastAsia" w:cs="仿宋_GB2312"/>
          <w:color w:val="000000" w:themeColor="text1"/>
          <w:szCs w:val="28"/>
          <w14:textFill>
            <w14:solidFill>
              <w14:schemeClr w14:val="tx1"/>
            </w14:solidFill>
          </w14:textFill>
        </w:rPr>
        <w:t>以衡武高速、临连公路、S214三条对外联络线为发展轴，以特色商贸旅游物流服务业为主，进一步明确沿线乡镇发展定位，建设产业优、生态美的各具特色的现代城镇发展轴。</w:t>
      </w:r>
    </w:p>
    <w:p w14:paraId="7FC84D2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81" w:name="_Toc88315757"/>
      <w:r>
        <w:rPr>
          <w:rFonts w:hint="eastAsia" w:ascii="黑体" w:hAnsi="黑体" w:eastAsia="黑体" w:cs="黑体"/>
          <w:b w:val="0"/>
          <w:bCs w:val="0"/>
          <w:color w:val="000000" w:themeColor="text1"/>
          <w14:textFill>
            <w14:solidFill>
              <w14:schemeClr w14:val="tx1"/>
            </w14:solidFill>
          </w14:textFill>
        </w:rPr>
        <w:t>第二节  明确各镇发展定位</w:t>
      </w:r>
      <w:bookmarkEnd w:id="81"/>
    </w:p>
    <w:p w14:paraId="124A608A">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金江镇</w:t>
      </w:r>
      <w:r>
        <w:rPr>
          <w:rFonts w:hint="eastAsia" w:cs="仿宋_GB2312"/>
          <w:color w:val="000000" w:themeColor="text1"/>
          <w:szCs w:val="28"/>
          <w14:textFill>
            <w14:solidFill>
              <w14:schemeClr w14:val="tx1"/>
            </w14:solidFill>
          </w14:textFill>
        </w:rPr>
        <w:t>重点打造旅游产业，围绕牛、温泉等要素前瞻定位和设计，将金仙大佛</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卧佛</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和温泉有机融合，进行综合开发；围绕碳酸钙产业，大力引进下游配套企业，推动产业延伸链条，走高端化发展路线。</w:t>
      </w:r>
    </w:p>
    <w:p w14:paraId="44CAEE61">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水东镇</w:t>
      </w:r>
      <w:r>
        <w:rPr>
          <w:rFonts w:hint="eastAsia" w:cs="仿宋_GB2312"/>
          <w:color w:val="000000" w:themeColor="text1"/>
          <w:szCs w:val="28"/>
          <w14:textFill>
            <w14:solidFill>
              <w14:schemeClr w14:val="tx1"/>
            </w14:solidFill>
          </w14:textFill>
        </w:rPr>
        <w:t>借助碳酸钙和大冲辣椒两大优势，重点推动碳酸钙产业升级，加快农业和服务融合发展。碳酸钙产业以提升产品精深加工为重点，加快引进加工企业，实现延链补链。在大冲辣椒品牌基础上，结合本地国家级非物质文化遗产</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傩戏</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，打造农产品+人文+生态旅游的融合产业。</w:t>
      </w:r>
    </w:p>
    <w:p w14:paraId="544F3392">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镇南乡</w:t>
      </w:r>
      <w:r>
        <w:rPr>
          <w:rFonts w:hint="eastAsia" w:cs="仿宋_GB2312"/>
          <w:color w:val="000000" w:themeColor="text1"/>
          <w:szCs w:val="28"/>
          <w14:textFill>
            <w14:solidFill>
              <w14:schemeClr w14:val="tx1"/>
            </w14:solidFill>
          </w14:textFill>
        </w:rPr>
        <w:t>依托生态和红色文化资源，打造多类别旅游线路，建设生态旅游、乡村旅游和红色旅游特色镇；推动特色经济林果原生态加工、特色养殖、珍稀药材、高寒蔬菜产业的发展；依托红色文化，培育文化产业。</w:t>
      </w:r>
    </w:p>
    <w:p w14:paraId="02590AF4">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香花镇</w:t>
      </w:r>
      <w:r>
        <w:rPr>
          <w:rFonts w:hint="eastAsia" w:cs="仿宋_GB2312"/>
          <w:color w:val="000000" w:themeColor="text1"/>
          <w:szCs w:val="28"/>
          <w14:textFill>
            <w14:solidFill>
              <w14:schemeClr w14:val="tx1"/>
            </w14:solidFill>
          </w14:textFill>
        </w:rPr>
        <w:t>推动矿区转型发展，探索产业融合绿色发展道路，依托石林百花园、橡树林等优质资源发展康养旅游；依托废弃矿区和较完善的基础设施，利用河道、溶洞和矿井，挖掘矿业历史文化，发展矿区特色旅游。</w:t>
      </w:r>
    </w:p>
    <w:p w14:paraId="26748AA6">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麦市镇</w:t>
      </w:r>
      <w:r>
        <w:rPr>
          <w:rFonts w:hint="eastAsia" w:cs="仿宋_GB2312"/>
          <w:color w:val="000000" w:themeColor="text1"/>
          <w:szCs w:val="28"/>
          <w14:textFill>
            <w14:solidFill>
              <w14:schemeClr w14:val="tx1"/>
            </w14:solidFill>
          </w14:textFill>
        </w:rPr>
        <w:t>在建设园区飞地的基础上，打造区域商贸流通中心和两市四县商贸交易中心点；同时争取建立农业综合开发示范带和种养综合示范基地；以水利基础设施建设为重点，加强水源点建设。</w:t>
      </w:r>
    </w:p>
    <w:p w14:paraId="4BD871DA">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万水乡</w:t>
      </w:r>
      <w:r>
        <w:rPr>
          <w:rFonts w:hint="eastAsia" w:cs="仿宋_GB2312"/>
          <w:color w:val="000000" w:themeColor="text1"/>
          <w:szCs w:val="28"/>
          <w14:textFill>
            <w14:solidFill>
              <w14:schemeClr w14:val="tx1"/>
            </w14:solidFill>
          </w14:textFill>
        </w:rPr>
        <w:t>继续推动生态治理，加快基础设施建设，推动农田水利建设进一步完善，改善水库水质，提升乡村污水处理能力；联合楚江镇一同发展通天山旅游，打造有色金属工矿旅游。</w:t>
      </w:r>
    </w:p>
    <w:p w14:paraId="1D8588A7">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楚江镇</w:t>
      </w:r>
      <w:r>
        <w:rPr>
          <w:rFonts w:hint="eastAsia" w:cs="仿宋_GB2312"/>
          <w:color w:val="000000" w:themeColor="text1"/>
          <w:szCs w:val="28"/>
          <w14:textFill>
            <w14:solidFill>
              <w14:schemeClr w14:val="tx1"/>
            </w14:solidFill>
          </w14:textFill>
        </w:rPr>
        <w:t>借助通天山优势，打造通天山景区，同时大力发展玉石和国学文化产业，通过梧桐书院第三期等项目，推动玉石、</w:t>
      </w:r>
      <w:r>
        <w:rPr>
          <w:rFonts w:hint="eastAsia" w:cs="仿宋_GB2312"/>
          <w:color w:val="000000" w:themeColor="text1"/>
          <w:spacing w:val="-6"/>
          <w:szCs w:val="28"/>
          <w14:textFill>
            <w14:solidFill>
              <w14:schemeClr w14:val="tx1"/>
            </w14:solidFill>
          </w14:textFill>
        </w:rPr>
        <w:t>文化和国学融合发展；结合康养项目继续做强艾叶产业，开发高端艾叶产品；继续推动道路等基础设施建设，加快客运站建设。</w:t>
      </w:r>
    </w:p>
    <w:p w14:paraId="30EA6AEE">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花塘乡</w:t>
      </w:r>
      <w:r>
        <w:rPr>
          <w:rFonts w:hint="eastAsia" w:cs="仿宋_GB2312"/>
          <w:color w:val="000000" w:themeColor="text1"/>
          <w:szCs w:val="28"/>
          <w14:textFill>
            <w14:solidFill>
              <w14:schemeClr w14:val="tx1"/>
            </w14:solidFill>
          </w14:textFill>
        </w:rPr>
        <w:t>以对外交通为重点继续加强基础设施建设，完善农村配套管网，优化河岸配套基础设施；加大地区生态环保治理力度，开展固废治理；推动绿色矿山建设，实现矿业生态、环保、规模型发展；增加特色小水果和经济作物种植面积，打造热带水果基地；以石门龙宫为核心，打造全域旅游，启动4A、5A景区建设。</w:t>
      </w:r>
    </w:p>
    <w:p w14:paraId="10997F5A">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汾市镇</w:t>
      </w:r>
      <w:r>
        <w:rPr>
          <w:rFonts w:hint="eastAsia" w:cs="仿宋_GB2312"/>
          <w:color w:val="000000" w:themeColor="text1"/>
          <w:szCs w:val="28"/>
          <w14:textFill>
            <w14:solidFill>
              <w14:schemeClr w14:val="tx1"/>
            </w14:solidFill>
          </w14:textFill>
        </w:rPr>
        <w:t>继续走“文化名镇、商贸旺镇、旅游强镇、农业特色镇”的道路，保护发掘历史文化遗迹，借助龙归坪等特色文化资源提升旅游水平，推动集贸中心市场升级，继续实施“一村一品”特色农业发展工程；做大做强工业，同临武工业园区形成联动，打造园区飞地。</w:t>
      </w:r>
    </w:p>
    <w:p w14:paraId="6B16FC37">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武水镇</w:t>
      </w:r>
      <w:r>
        <w:rPr>
          <w:rFonts w:hint="eastAsia" w:cs="仿宋_GB2312"/>
          <w:color w:val="000000" w:themeColor="text1"/>
          <w:szCs w:val="28"/>
          <w14:textFill>
            <w14:solidFill>
              <w14:schemeClr w14:val="tx1"/>
            </w14:solidFill>
          </w14:textFill>
        </w:rPr>
        <w:t>依托工业园区推动重大项目落地，做好工业园区扩容，同时加强全镇的基础设施建设。实施城市提质改造工程，建设智慧城市，改善农村基础设施，提升人居环境水平。推动工业园区向南部、西北部和东部发展，探索飞地模式。</w:t>
      </w:r>
    </w:p>
    <w:p w14:paraId="4CFB4020">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舜峰镇</w:t>
      </w:r>
      <w:r>
        <w:rPr>
          <w:rFonts w:hint="eastAsia" w:cs="仿宋_GB2312"/>
          <w:color w:val="000000" w:themeColor="text1"/>
          <w:szCs w:val="28"/>
          <w14:textFill>
            <w14:solidFill>
              <w14:schemeClr w14:val="tx1"/>
            </w14:solidFill>
          </w14:textFill>
        </w:rPr>
        <w:t>依托一河一山，继续大力发展生态旅游，打造武水河沿线观景区；以滴水源景区为主，完善配套吃住娱乐设施，拓展旅游开发。加快老旧城区改造，完善配套公共设施。</w:t>
      </w:r>
    </w:p>
    <w:p w14:paraId="6A1B3495">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南强镇</w:t>
      </w:r>
      <w:r>
        <w:rPr>
          <w:rFonts w:hint="eastAsia" w:cs="仿宋_GB2312"/>
          <w:color w:val="000000" w:themeColor="text1"/>
          <w:szCs w:val="28"/>
          <w14:textFill>
            <w14:solidFill>
              <w14:schemeClr w14:val="tx1"/>
            </w14:solidFill>
          </w14:textFill>
        </w:rPr>
        <w:t>以水果为基础，提升农产品加工水平和对外贸易水平。继续夯实产业基础，通过水果批发市场及配套冷链建设，提升水果产业水平，探索依托电商、直销等带动农业和三产融合。继续完善全镇基础设施，推动饮水提质扩容，加强河道治理及总体灌溉渠建设。</w:t>
      </w:r>
    </w:p>
    <w:p w14:paraId="131000E8">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西瑶乡</w:t>
      </w:r>
      <w:r>
        <w:rPr>
          <w:rFonts w:hint="eastAsia" w:cs="仿宋_GB2312"/>
          <w:color w:val="000000" w:themeColor="text1"/>
          <w:szCs w:val="28"/>
          <w14:textFill>
            <w14:solidFill>
              <w14:schemeClr w14:val="tx1"/>
            </w14:solidFill>
          </w14:textFill>
        </w:rPr>
        <w:t>进一步推动交通、给排水等基础设施的完善，发展原生态农耕文旅特色小镇等特色旅游，同时培育高端种植养殖业，打造临武牛全产业链和国家生态粮仓育种育苗基地，做好一稻两菜。</w:t>
      </w:r>
    </w:p>
    <w:p w14:paraId="6CAF348E">
      <w:pPr>
        <w:pStyle w:val="4"/>
        <w:keepNext w:val="0"/>
        <w:keepLines w:val="0"/>
        <w:pageBreakBefore w:val="0"/>
        <w:widowControl w:val="0"/>
        <w:kinsoku/>
        <w:wordWrap w:val="0"/>
        <w:overflowPunct/>
        <w:topLinePunct/>
        <w:autoSpaceDE/>
        <w:autoSpaceDN/>
        <w:bidi w:val="0"/>
        <w:adjustRightInd/>
        <w:snapToGrid/>
        <w:spacing w:before="0" w:after="0" w:line="560" w:lineRule="exact"/>
        <w:textAlignment w:val="auto"/>
        <w:rPr>
          <w:rFonts w:hint="eastAsia" w:ascii="方正大标宋简体" w:hAnsi="方正大标宋简体" w:eastAsia="方正大标宋简体" w:cs="方正大标宋简体"/>
          <w:sz w:val="36"/>
          <w:szCs w:val="36"/>
        </w:rPr>
      </w:pPr>
      <w:bookmarkStart w:id="82" w:name="_Toc88315758"/>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优化产业布局</w:t>
      </w:r>
      <w:bookmarkEnd w:id="82"/>
    </w:p>
    <w:p w14:paraId="462762BE">
      <w:pPr>
        <w:keepNext w:val="0"/>
        <w:keepLines w:val="0"/>
        <w:pageBreakBefore w:val="0"/>
        <w:widowControl w:val="0"/>
        <w:kinsoku/>
        <w:overflowPunct/>
        <w:autoSpaceDE/>
        <w:autoSpaceDN/>
        <w:bidi w:val="0"/>
        <w:adjustRightInd/>
        <w:snapToGrid/>
        <w:spacing w:line="560" w:lineRule="exact"/>
        <w:textAlignment w:val="auto"/>
        <w:rPr>
          <w:rFonts w:hint="eastAsia"/>
        </w:rPr>
      </w:pPr>
    </w:p>
    <w:p w14:paraId="59BE8F66">
      <w:pPr>
        <w:pStyle w:val="57"/>
        <w:keepNext w:val="0"/>
        <w:keepLines w:val="0"/>
        <w:pageBreakBefore w:val="0"/>
        <w:widowControl w:val="0"/>
        <w:kinsoku/>
        <w:wordWrap w:val="0"/>
        <w:overflowPunct/>
        <w:topLinePunct/>
        <w:autoSpaceDE/>
        <w:autoSpaceDN/>
        <w:bidi w:val="0"/>
        <w:adjustRightInd/>
        <w:snapToGrid/>
        <w:spacing w:line="56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围绕龙头企业和主导产品，进一步优化布局，推动产业集聚和规模化发展。细化产业布局，以特色农业、工业、服务业和文化旅游产业等为主，逐步构建合理、科学的布局，带动产业高质量发展。</w:t>
      </w:r>
    </w:p>
    <w:p w14:paraId="41EB65CB">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83" w:name="_Toc88315759"/>
      <w:r>
        <w:rPr>
          <w:rFonts w:hint="eastAsia" w:ascii="黑体" w:hAnsi="黑体" w:eastAsia="黑体" w:cs="黑体"/>
          <w:b w:val="0"/>
          <w:bCs w:val="0"/>
          <w:color w:val="000000" w:themeColor="text1"/>
          <w14:textFill>
            <w14:solidFill>
              <w14:schemeClr w14:val="tx1"/>
            </w14:solidFill>
          </w14:textFill>
        </w:rPr>
        <w:t>第一节  构建“一心一园四区”产城融合发展格局</w:t>
      </w:r>
      <w:bookmarkEnd w:id="83"/>
    </w:p>
    <w:p w14:paraId="669069B0">
      <w:pPr>
        <w:pStyle w:val="57"/>
        <w:keepNext w:val="0"/>
        <w:keepLines w:val="0"/>
        <w:pageBreakBefore w:val="0"/>
        <w:widowControl w:val="0"/>
        <w:kinsoku/>
        <w:wordWrap w:val="0"/>
        <w:overflowPunct/>
        <w:topLinePunct/>
        <w:autoSpaceDE/>
        <w:autoSpaceDN/>
        <w:bidi w:val="0"/>
        <w:adjustRightInd/>
        <w:snapToGrid/>
        <w:spacing w:line="56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突出产业特色，优化规划布局，加快融合发展，以主导产业为核心，推动传统产业转型升级，培育新兴产业，打造“一心一园四区”产城融合发展格局：</w:t>
      </w:r>
      <w:r>
        <w:rPr>
          <w:rFonts w:hint="eastAsia" w:ascii="楷体_GB2312" w:hAnsi="楷体_GB2312" w:eastAsia="楷体_GB2312" w:cs="楷体_GB2312"/>
          <w:b/>
          <w:bCs/>
          <w:szCs w:val="28"/>
        </w:rPr>
        <w:t>一心</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城市综合产业中心：以舜峰镇为中心的县城区域承担为县域工农业发展高端服务、临武大旅游产业综合服务功能。</w:t>
      </w:r>
      <w:r>
        <w:rPr>
          <w:rFonts w:hint="eastAsia" w:ascii="楷体_GB2312" w:hAnsi="楷体_GB2312" w:eastAsia="楷体_GB2312" w:cs="楷体_GB2312"/>
          <w:b/>
          <w:bCs/>
          <w:szCs w:val="28"/>
        </w:rPr>
        <w:t>一园</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临武工业园区：以武水镇工业园区为核心，以一园多区的模式构建临武工业格局，重点发展电子信息、新能源电池、先进装备制造、玉石加工及农产品加工等产业。</w:t>
      </w:r>
      <w:r>
        <w:rPr>
          <w:rFonts w:hint="eastAsia" w:ascii="楷体_GB2312" w:hAnsi="楷体_GB2312" w:eastAsia="楷体_GB2312" w:cs="楷体_GB2312"/>
          <w:b/>
          <w:bCs/>
          <w:szCs w:val="28"/>
        </w:rPr>
        <w:t>四大产业特色区</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北部工矿产业转型优化区：整合矿权，有力推进有色金属产业、宝玉石产业做大做强。东部商贸旅游发展区：立足商贸基础，发展苗木产业，打造湘南边界苗木集散地，挖掘和包装文化历史资源，结合农业发展休闲旅游。南部高效农业精品区：建设高山蔬菜、香芋、临武鸭等优质农产品基地，打造高效农业精品示范区。西南生态休闲旅游核心区：以一园和一山为核心，带动周边生态休闲旅游产业发展。</w:t>
      </w:r>
    </w:p>
    <w:p w14:paraId="79530BCA">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84" w:name="_Toc88315760"/>
      <w:r>
        <w:rPr>
          <w:rFonts w:hint="eastAsia" w:ascii="黑体" w:hAnsi="黑体" w:eastAsia="黑体" w:cs="黑体"/>
          <w:b w:val="0"/>
          <w:bCs w:val="0"/>
          <w:color w:val="000000" w:themeColor="text1"/>
          <w14:textFill>
            <w14:solidFill>
              <w14:schemeClr w14:val="tx1"/>
            </w14:solidFill>
          </w14:textFill>
        </w:rPr>
        <w:t>第二节  构建“一园七带二基地多极点”农业发展格局</w:t>
      </w:r>
      <w:bookmarkEnd w:id="84"/>
    </w:p>
    <w:p w14:paraId="7FE29B9D">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围绕“一园七带二基地多极点”布局，逐步实现区域化布局、规模化生产、产业化经营、社会化服务。</w:t>
      </w:r>
      <w:r>
        <w:rPr>
          <w:rFonts w:hint="eastAsia" w:cs="仿宋_GB2312"/>
          <w:b/>
          <w:color w:val="000000" w:themeColor="text1"/>
          <w:szCs w:val="28"/>
          <w14:textFill>
            <w14:solidFill>
              <w14:schemeClr w14:val="tx1"/>
            </w14:solidFill>
          </w14:textFill>
        </w:rPr>
        <w:t>一园</w:t>
      </w:r>
      <w:r>
        <w:rPr>
          <w:rFonts w:hint="eastAsia" w:cs="仿宋_GB2312"/>
          <w:b/>
          <w:color w:val="000000" w:themeColor="text1"/>
          <w:szCs w:val="28"/>
          <w:lang w:eastAsia="zh-CN"/>
          <w14:textFill>
            <w14:solidFill>
              <w14:schemeClr w14:val="tx1"/>
            </w14:solidFill>
          </w14:textFill>
        </w:rPr>
        <w:t>即</w:t>
      </w:r>
      <w:r>
        <w:rPr>
          <w:rFonts w:hint="eastAsia" w:cs="仿宋_GB2312"/>
          <w:color w:val="000000" w:themeColor="text1"/>
          <w:szCs w:val="28"/>
          <w14:textFill>
            <w14:solidFill>
              <w14:schemeClr w14:val="tx1"/>
            </w14:solidFill>
          </w14:textFill>
        </w:rPr>
        <w:t>农产品加工园区，以临武鸭、小徐瓜瓜、林富茶油为龙头，打造临武特色农副产品加工园区，配套完善农产品检测中心。</w:t>
      </w:r>
      <w:r>
        <w:rPr>
          <w:rFonts w:hint="eastAsia" w:cs="仿宋_GB2312"/>
          <w:b/>
          <w:color w:val="000000" w:themeColor="text1"/>
          <w:szCs w:val="28"/>
          <w14:textFill>
            <w14:solidFill>
              <w14:schemeClr w14:val="tx1"/>
            </w14:solidFill>
          </w14:textFill>
        </w:rPr>
        <w:t>七带：</w:t>
      </w:r>
      <w:r>
        <w:rPr>
          <w:rFonts w:hint="eastAsia" w:cs="仿宋_GB2312"/>
          <w:color w:val="000000" w:themeColor="text1"/>
          <w:szCs w:val="28"/>
          <w14:textFill>
            <w14:solidFill>
              <w14:schemeClr w14:val="tx1"/>
            </w14:solidFill>
          </w14:textFill>
        </w:rPr>
        <w:t>油茶种植带、肉食动物养殖带、香芋种植带、特色水果种植带、辣椒种植带、水稻种植带、旱粮种植带。</w:t>
      </w:r>
      <w:r>
        <w:rPr>
          <w:rFonts w:hint="eastAsia" w:cs="仿宋_GB2312"/>
          <w:b/>
          <w:color w:val="000000" w:themeColor="text1"/>
          <w:szCs w:val="28"/>
          <w14:textFill>
            <w14:solidFill>
              <w14:schemeClr w14:val="tx1"/>
            </w14:solidFill>
          </w14:textFill>
        </w:rPr>
        <w:t>二基地：</w:t>
      </w:r>
      <w:r>
        <w:rPr>
          <w:rFonts w:hint="eastAsia" w:cs="仿宋_GB2312"/>
          <w:color w:val="000000" w:themeColor="text1"/>
          <w:szCs w:val="28"/>
          <w14:textFill>
            <w14:solidFill>
              <w14:schemeClr w14:val="tx1"/>
            </w14:solidFill>
          </w14:textFill>
        </w:rPr>
        <w:t>优质烟叶基地和农副产品供应基地。</w:t>
      </w:r>
      <w:r>
        <w:rPr>
          <w:rFonts w:hint="eastAsia" w:cs="仿宋_GB2312"/>
          <w:b/>
          <w:color w:val="000000" w:themeColor="text1"/>
          <w:szCs w:val="28"/>
          <w14:textFill>
            <w14:solidFill>
              <w14:schemeClr w14:val="tx1"/>
            </w14:solidFill>
          </w14:textFill>
        </w:rPr>
        <w:t>多极点：</w:t>
      </w:r>
      <w:r>
        <w:rPr>
          <w:rFonts w:hint="eastAsia" w:cs="仿宋_GB2312"/>
          <w:color w:val="000000" w:themeColor="text1"/>
          <w:szCs w:val="28"/>
          <w14:textFill>
            <w14:solidFill>
              <w14:schemeClr w14:val="tx1"/>
            </w14:solidFill>
          </w14:textFill>
        </w:rPr>
        <w:t>重点农产品加工企业。</w:t>
      </w:r>
    </w:p>
    <w:p w14:paraId="4F76270E">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85" w:name="_Toc88315761"/>
      <w:r>
        <w:rPr>
          <w:rFonts w:hint="eastAsia" w:ascii="黑体" w:hAnsi="黑体" w:eastAsia="黑体" w:cs="黑体"/>
          <w:b w:val="0"/>
          <w:bCs w:val="0"/>
          <w:color w:val="000000" w:themeColor="text1"/>
          <w14:textFill>
            <w14:solidFill>
              <w14:schemeClr w14:val="tx1"/>
            </w14:solidFill>
          </w14:textFill>
        </w:rPr>
        <w:t>第三节  构建“一园四区”工业发展格局</w:t>
      </w:r>
      <w:bookmarkEnd w:id="85"/>
    </w:p>
    <w:p w14:paraId="0584E1C4">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推动产业集聚和高质量发展，以工业园区为核心，以有色金属矿区为辅助，形成一园四区的布局，加快产业向园区集聚。</w:t>
      </w:r>
      <w:r>
        <w:rPr>
          <w:rFonts w:hint="eastAsia" w:ascii="楷体_GB2312" w:hAnsi="楷体_GB2312" w:eastAsia="楷体_GB2312" w:cs="楷体_GB2312"/>
          <w:b/>
          <w:bCs/>
          <w:szCs w:val="28"/>
        </w:rPr>
        <w:t>一园</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工业园区，围绕“六个百亿”产业，以临武工业园区为核心，科学、前瞻性设置园区发展目标。在“一心一轴四片区”的园区布局基础上，“十四五”期间积极对接省发改委，通过调规继续扩展园区面积，为电子信息、新能源电池、食品加工等产业发展预留空间，同时推动湘粤食品加工产业集聚区、东佳电子高科技产业集聚区、湘粤</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临武</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国家高新电池产业集聚区等三大专业产业集聚区建设，带动产业集聚发展，构建园中园的发展模式。探索以飞地、分园区等模式，将麦市、汾市、水东镇作为临武工业园的新分区，扩宽产业发展的空间布局，逐步形成一园多区格局。</w:t>
      </w:r>
      <w:r>
        <w:rPr>
          <w:rFonts w:hint="eastAsia" w:ascii="楷体_GB2312" w:hAnsi="楷体_GB2312" w:eastAsia="楷体_GB2312" w:cs="楷体_GB2312"/>
          <w:b/>
          <w:bCs/>
          <w:szCs w:val="28"/>
        </w:rPr>
        <w:t>四区：</w:t>
      </w:r>
      <w:r>
        <w:rPr>
          <w:rFonts w:hint="eastAsia" w:cs="仿宋_GB2312"/>
          <w:color w:val="000000" w:themeColor="text1"/>
          <w:szCs w:val="28"/>
          <w14:textFill>
            <w14:solidFill>
              <w14:schemeClr w14:val="tx1"/>
            </w14:solidFill>
          </w14:textFill>
        </w:rPr>
        <w:t>推动以香花铺矿区、泡金山矿区为重点的有色金属产业集聚发展，依托四大矿企的技改升级推动四大矿区布局完善，助力有色产业可持续发展。</w:t>
      </w:r>
    </w:p>
    <w:p w14:paraId="4C98FE67">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86" w:name="_Toc88315762"/>
      <w:r>
        <w:rPr>
          <w:rFonts w:hint="eastAsia" w:ascii="黑体" w:hAnsi="黑体" w:eastAsia="黑体" w:cs="黑体"/>
          <w:b w:val="0"/>
          <w:bCs w:val="0"/>
          <w:color w:val="000000" w:themeColor="text1"/>
          <w14:textFill>
            <w14:solidFill>
              <w14:schemeClr w14:val="tx1"/>
            </w14:solidFill>
          </w14:textFill>
        </w:rPr>
        <w:t>第四节  构建“一核三廊五区”服务业发展格局</w:t>
      </w:r>
      <w:bookmarkEnd w:id="86"/>
    </w:p>
    <w:p w14:paraId="0030FF5E">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围绕旅游文化、现代物流、商贸流通等服务业的发展，优化“一核三廊五区”布局。</w:t>
      </w:r>
      <w:r>
        <w:rPr>
          <w:rFonts w:hint="eastAsia" w:ascii="楷体_GB2312" w:hAnsi="楷体_GB2312" w:eastAsia="楷体_GB2312" w:cs="楷体_GB2312"/>
          <w:b/>
          <w:bCs/>
          <w:szCs w:val="28"/>
        </w:rPr>
        <w:t>一核：</w:t>
      </w:r>
      <w:r>
        <w:rPr>
          <w:rFonts w:hint="eastAsia" w:cs="仿宋_GB2312"/>
          <w:color w:val="000000" w:themeColor="text1"/>
          <w:szCs w:val="28"/>
          <w14:textFill>
            <w14:solidFill>
              <w14:schemeClr w14:val="tx1"/>
            </w14:solidFill>
          </w14:textFill>
        </w:rPr>
        <w:t>县城为现代服务业核心区。</w:t>
      </w:r>
      <w:r>
        <w:rPr>
          <w:rFonts w:hint="eastAsia" w:ascii="楷体_GB2312" w:hAnsi="楷体_GB2312" w:eastAsia="楷体_GB2312" w:cs="楷体_GB2312"/>
          <w:b/>
          <w:bCs/>
          <w:szCs w:val="28"/>
        </w:rPr>
        <w:t>三廊：</w:t>
      </w:r>
      <w:r>
        <w:rPr>
          <w:rFonts w:hint="eastAsia" w:cs="仿宋_GB2312"/>
          <w:color w:val="000000" w:themeColor="text1"/>
          <w:szCs w:val="28"/>
          <w14:textFill>
            <w14:solidFill>
              <w14:schemeClr w14:val="tx1"/>
            </w14:solidFill>
          </w14:textFill>
        </w:rPr>
        <w:t>指沿衡武高速、临连公路、S214三条对外联络线发展临武特色商贸旅游物流服务业走廊。</w:t>
      </w:r>
      <w:r>
        <w:rPr>
          <w:rFonts w:hint="eastAsia" w:ascii="楷体_GB2312" w:hAnsi="楷体_GB2312" w:eastAsia="楷体_GB2312" w:cs="楷体_GB2312"/>
          <w:b/>
          <w:bCs/>
          <w:szCs w:val="28"/>
        </w:rPr>
        <w:t>五区：</w:t>
      </w:r>
      <w:r>
        <w:rPr>
          <w:rFonts w:hint="eastAsia" w:cs="仿宋_GB2312"/>
          <w:color w:val="000000" w:themeColor="text1"/>
          <w:szCs w:val="28"/>
          <w14:textFill>
            <w14:solidFill>
              <w14:schemeClr w14:val="tx1"/>
            </w14:solidFill>
          </w14:textFill>
        </w:rPr>
        <w:t>指麦市、楚江、南强、汾市和金江五个现代服务业聚集区。麦市-临嘉区域性商贸物流基地；楚江-临武商贸物流旅游集散重要节点；南强-对粤农产品集散重要基地；汾市-苗木产业、东部旅游等集散重要基地；金江-临桂宜北区域性商贸旅游中心。</w:t>
      </w:r>
    </w:p>
    <w:p w14:paraId="28FA09C9">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87" w:name="_Toc88315763"/>
      <w:r>
        <w:rPr>
          <w:rFonts w:hint="eastAsia" w:ascii="黑体" w:hAnsi="黑体" w:eastAsia="黑体" w:cs="黑体"/>
          <w:b w:val="0"/>
          <w:bCs w:val="0"/>
          <w:color w:val="000000" w:themeColor="text1"/>
          <w14:textFill>
            <w14:solidFill>
              <w14:schemeClr w14:val="tx1"/>
            </w14:solidFill>
          </w14:textFill>
        </w:rPr>
        <w:t>第五节  构建“一心两翼三线多点”文旅产业发展格局</w:t>
      </w:r>
      <w:bookmarkEnd w:id="87"/>
    </w:p>
    <w:p w14:paraId="19CCF8B4">
      <w:pPr>
        <w:pStyle w:val="57"/>
        <w:keepNext w:val="0"/>
        <w:keepLines w:val="0"/>
        <w:pageBreakBefore w:val="0"/>
        <w:widowControl w:val="0"/>
        <w:kinsoku/>
        <w:wordWrap w:val="0"/>
        <w:overflowPunct/>
        <w:topLinePunct/>
        <w:autoSpaceDE/>
        <w:autoSpaceDN/>
        <w:bidi w:val="0"/>
        <w:spacing w:line="600" w:lineRule="exact"/>
        <w:ind w:firstLine="643"/>
        <w:rPr>
          <w:rFonts w:hint="eastAsia"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一心：</w:t>
      </w:r>
      <w:r>
        <w:rPr>
          <w:rFonts w:hint="eastAsia" w:cs="仿宋_GB2312"/>
          <w:color w:val="000000" w:themeColor="text1"/>
          <w:szCs w:val="28"/>
          <w14:textFill>
            <w14:solidFill>
              <w14:schemeClr w14:val="tx1"/>
            </w14:solidFill>
          </w14:textFill>
        </w:rPr>
        <w:t>以龙文化为核心，以龙宫为依托，充分利用通天山景区的资源优势，把临武建设成为龙的故乡，推动临武成为华人世界的精神家园。</w:t>
      </w:r>
      <w:r>
        <w:rPr>
          <w:rFonts w:hint="eastAsia" w:ascii="楷体_GB2312" w:hAnsi="楷体_GB2312" w:eastAsia="楷体_GB2312" w:cs="楷体_GB2312"/>
          <w:b/>
          <w:bCs/>
          <w:szCs w:val="28"/>
        </w:rPr>
        <w:t>两翼：</w:t>
      </w:r>
      <w:r>
        <w:rPr>
          <w:rFonts w:hint="eastAsia" w:cs="仿宋_GB2312"/>
          <w:color w:val="000000" w:themeColor="text1"/>
          <w:szCs w:val="28"/>
          <w14:textFill>
            <w14:solidFill>
              <w14:schemeClr w14:val="tx1"/>
            </w14:solidFill>
          </w14:textFill>
        </w:rPr>
        <w:t>以东山</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通天山</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、西山</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西瑶绿谷国家森林公园</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为两翼，全力打造北部高山观光游览区和以原始森林、瑶族风情为特色的高山森林休闲度假胜地。</w:t>
      </w:r>
      <w:r>
        <w:rPr>
          <w:rFonts w:hint="eastAsia" w:ascii="楷体_GB2312" w:hAnsi="楷体_GB2312" w:eastAsia="楷体_GB2312" w:cs="楷体_GB2312"/>
          <w:b/>
          <w:bCs/>
          <w:szCs w:val="28"/>
        </w:rPr>
        <w:t>三线</w:t>
      </w:r>
      <w:r>
        <w:rPr>
          <w:rFonts w:hint="eastAsia" w:ascii="楷体_GB2312" w:hAnsi="楷体_GB2312" w:eastAsia="楷体_GB2312" w:cs="楷体_GB2312"/>
          <w:b/>
          <w:bCs/>
          <w:szCs w:val="28"/>
          <w:lang w:eastAsia="zh-CN"/>
        </w:rPr>
        <w:t>即</w:t>
      </w:r>
      <w:r>
        <w:rPr>
          <w:rFonts w:hint="eastAsia" w:cs="仿宋_GB2312"/>
          <w:color w:val="000000" w:themeColor="text1"/>
          <w:szCs w:val="28"/>
          <w14:textFill>
            <w14:solidFill>
              <w14:schemeClr w14:val="tx1"/>
            </w14:solidFill>
          </w14:textFill>
        </w:rPr>
        <w:t>依托龙文化主题优势，打造武水河沿河风光带、湘粤秦汉古道</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县城至蓝山界、县城至桂阳县</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、西瑶绿谷国家森林公园</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谷富塘—桃源坪</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三条主要旅游线路。</w:t>
      </w:r>
      <w:r>
        <w:rPr>
          <w:rFonts w:hint="eastAsia" w:cs="仿宋_GB2312"/>
          <w:b/>
          <w:color w:val="000000" w:themeColor="text1"/>
          <w:szCs w:val="28"/>
          <w14:textFill>
            <w14:solidFill>
              <w14:schemeClr w14:val="tx1"/>
            </w14:solidFill>
          </w14:textFill>
        </w:rPr>
        <w:t>多点：</w:t>
      </w:r>
      <w:r>
        <w:rPr>
          <w:rFonts w:hint="eastAsia" w:cs="仿宋_GB2312"/>
          <w:color w:val="000000" w:themeColor="text1"/>
          <w:szCs w:val="28"/>
          <w14:textFill>
            <w14:solidFill>
              <w14:schemeClr w14:val="tx1"/>
            </w14:solidFill>
          </w14:textFill>
        </w:rPr>
        <w:t>推进“旅游+农林水、文化、康养等产业”融合大发展，在县域内具有特色的通天山景区、龙道景区等发展一批优质景区，推动文化旅游产业高质量发展。</w:t>
      </w:r>
    </w:p>
    <w:p w14:paraId="43917700">
      <w:pPr>
        <w:pStyle w:val="57"/>
        <w:keepNext w:val="0"/>
        <w:keepLines w:val="0"/>
        <w:pageBreakBefore w:val="0"/>
        <w:widowControl w:val="0"/>
        <w:kinsoku/>
        <w:wordWrap w:val="0"/>
        <w:overflowPunct/>
        <w:topLinePunct/>
        <w:autoSpaceDE/>
        <w:autoSpaceDN/>
        <w:bidi w:val="0"/>
        <w:spacing w:line="600" w:lineRule="exact"/>
        <w:ind w:firstLine="643"/>
        <w:rPr>
          <w:rFonts w:hint="eastAsia" w:cs="仿宋_GB2312"/>
          <w:color w:val="000000" w:themeColor="text1"/>
          <w:szCs w:val="28"/>
          <w14:textFill>
            <w14:solidFill>
              <w14:schemeClr w14:val="tx1"/>
            </w14:solidFill>
          </w14:textFill>
        </w:rPr>
      </w:pPr>
    </w:p>
    <w:p w14:paraId="29478B62">
      <w:pPr>
        <w:pStyle w:val="4"/>
        <w:keepNext w:val="0"/>
        <w:keepLines w:val="0"/>
        <w:pageBreakBefore w:val="0"/>
        <w:widowControl w:val="0"/>
        <w:kinsoku/>
        <w:wordWrap w:val="0"/>
        <w:overflowPunct/>
        <w:topLinePunct/>
        <w:autoSpaceDE/>
        <w:autoSpaceDN/>
        <w:bidi w:val="0"/>
        <w:spacing w:before="0" w:after="0" w:line="600" w:lineRule="exact"/>
        <w:rPr>
          <w:rFonts w:hint="eastAsia" w:ascii="方正大标宋简体" w:hAnsi="方正大标宋简体" w:eastAsia="方正大标宋简体" w:cs="方正大标宋简体"/>
          <w:sz w:val="36"/>
          <w:szCs w:val="36"/>
        </w:rPr>
      </w:pPr>
      <w:bookmarkStart w:id="88" w:name="_Toc88315764"/>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坚守生态空间</w:t>
      </w:r>
      <w:bookmarkEnd w:id="88"/>
    </w:p>
    <w:p w14:paraId="00173528">
      <w:pPr>
        <w:rPr>
          <w:rFonts w:hint="eastAsia"/>
        </w:rPr>
      </w:pPr>
    </w:p>
    <w:p w14:paraId="24983789">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牢固树立坚守生态发展空间的理念，围绕生态保护红线、环境质量底线、资源利用上线和生态环境准入清单“三线一单”初步建立生态环境分区管控体系，实现生态管控动态化管理。</w:t>
      </w:r>
    </w:p>
    <w:p w14:paraId="0D1204D6">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加强生态要素管控，坚定对区域内“两山一河多点”</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通天山和桐柏山两座山脉、武水河、多个保护区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生态格局的保护，进一步建立健全“三线一单”管控和考核体系。加快推进珠江源生态合作机制建立，推进珠江、湘江两江源头生态治理和合作体系建立，推动临武作为两江源头的跨区域生态补偿机制的落实。以武水河和域内水库为重点，加大流域和水源生态治理力度。加强地区生态系统保护，保护生物多样性，提升生态系统完整性、稳定性和服务功能。</w:t>
      </w:r>
    </w:p>
    <w:p w14:paraId="38A0CDD1">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sectPr>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291461BE">
      <w:pPr>
        <w:pStyle w:val="3"/>
        <w:keepNext w:val="0"/>
        <w:keepLines w:val="0"/>
        <w:pageBreakBefore w:val="0"/>
        <w:widowControl w:val="0"/>
        <w:numPr>
          <w:ilvl w:val="0"/>
          <w:numId w:val="0"/>
        </w:numPr>
        <w:kinsoku/>
        <w:wordWrap w:val="0"/>
        <w:overflowPunct/>
        <w:topLinePunct/>
        <w:autoSpaceDE/>
        <w:autoSpaceDN/>
        <w:bidi w:val="0"/>
        <w:spacing w:before="0" w:after="0" w:line="600" w:lineRule="exact"/>
        <w:ind w:leftChars="0"/>
        <w:rPr>
          <w:shd w:val="clear"/>
        </w:rPr>
      </w:pPr>
      <w:bookmarkStart w:id="89" w:name="_Toc88315765"/>
      <w:r>
        <w:rPr>
          <w:rFonts w:hint="eastAsia"/>
          <w:shd w:val="clear"/>
          <w:lang w:val="en-US" w:eastAsia="zh-CN"/>
        </w:rPr>
        <w:t xml:space="preserve">第六篇  </w:t>
      </w:r>
      <w:r>
        <w:rPr>
          <w:rFonts w:hint="eastAsia"/>
          <w:shd w:val="clear"/>
        </w:rPr>
        <w:t>大力实施乡村振兴战略</w:t>
      </w:r>
      <w:bookmarkEnd w:id="89"/>
    </w:p>
    <w:p w14:paraId="4D4D1A6E">
      <w:pPr>
        <w:rPr>
          <w:sz w:val="36"/>
          <w:szCs w:val="24"/>
        </w:rPr>
      </w:pPr>
    </w:p>
    <w:p w14:paraId="4137B3B3">
      <w:pPr>
        <w:pStyle w:val="57"/>
        <w:keepNext w:val="0"/>
        <w:keepLines w:val="0"/>
        <w:pageBreakBefore w:val="0"/>
        <w:widowControl w:val="0"/>
        <w:kinsoku/>
        <w:wordWrap w:val="0"/>
        <w:overflowPunct/>
        <w:topLinePunct/>
        <w:autoSpaceDE/>
        <w:autoSpaceDN/>
        <w:bidi w:val="0"/>
        <w:spacing w:line="600" w:lineRule="exact"/>
        <w:ind w:firstLine="640"/>
        <w:rPr>
          <w:rFonts w:hint="eastAsia"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坚持农业农村优先发展，夯实农业基础地位，以深化农村创新改革为动力，以建设生态宜居美丽乡村为本底，全方位做好新时代“三农”工作，促进农业全面升级、农村全面进步、农民全面发展。</w:t>
      </w:r>
    </w:p>
    <w:p w14:paraId="2FAFE3C3">
      <w:pPr>
        <w:pStyle w:val="57"/>
        <w:keepNext w:val="0"/>
        <w:keepLines w:val="0"/>
        <w:pageBreakBefore w:val="0"/>
        <w:widowControl w:val="0"/>
        <w:kinsoku/>
        <w:wordWrap w:val="0"/>
        <w:overflowPunct/>
        <w:topLinePunct/>
        <w:autoSpaceDE/>
        <w:autoSpaceDN/>
        <w:bidi w:val="0"/>
        <w:spacing w:line="600" w:lineRule="exact"/>
        <w:ind w:firstLine="640"/>
        <w:rPr>
          <w:rFonts w:hint="eastAsia" w:cs="仿宋_GB2312"/>
          <w:color w:val="000000" w:themeColor="text1"/>
          <w:szCs w:val="28"/>
          <w14:textFill>
            <w14:solidFill>
              <w14:schemeClr w14:val="tx1"/>
            </w14:solidFill>
          </w14:textFill>
        </w:rPr>
      </w:pPr>
    </w:p>
    <w:p w14:paraId="4D3AD679">
      <w:pPr>
        <w:pStyle w:val="4"/>
        <w:keepNext w:val="0"/>
        <w:keepLines w:val="0"/>
        <w:pageBreakBefore w:val="0"/>
        <w:widowControl w:val="0"/>
        <w:kinsoku/>
        <w:wordWrap w:val="0"/>
        <w:overflowPunct/>
        <w:topLinePunct/>
        <w:autoSpaceDE/>
        <w:autoSpaceDN/>
        <w:bidi w:val="0"/>
        <w:spacing w:before="0" w:after="0" w:line="600" w:lineRule="exact"/>
        <w:ind w:left="0" w:leftChars="0" w:firstLine="0" w:firstLineChars="0"/>
        <w:rPr>
          <w:rFonts w:hint="eastAsia" w:ascii="方正大标宋简体" w:hAnsi="方正大标宋简体" w:eastAsia="方正大标宋简体" w:cs="方正大标宋简体"/>
          <w:sz w:val="36"/>
          <w:szCs w:val="36"/>
        </w:rPr>
      </w:pPr>
      <w:bookmarkStart w:id="90" w:name="_Toc88315766"/>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建设现代生态农业强县</w:t>
      </w:r>
      <w:bookmarkEnd w:id="90"/>
    </w:p>
    <w:p w14:paraId="39DBEA05">
      <w:pPr>
        <w:rPr>
          <w:rFonts w:hint="eastAsia"/>
        </w:rPr>
      </w:pPr>
    </w:p>
    <w:p w14:paraId="600FBA5A">
      <w:pPr>
        <w:pStyle w:val="57"/>
        <w:keepNext w:val="0"/>
        <w:keepLines w:val="0"/>
        <w:pageBreakBefore w:val="0"/>
        <w:widowControl w:val="0"/>
        <w:kinsoku/>
        <w:wordWrap w:val="0"/>
        <w:overflowPunct/>
        <w:topLinePunct/>
        <w:autoSpaceDE/>
        <w:autoSpaceDN/>
        <w:bidi w:val="0"/>
        <w:adjustRightInd/>
        <w:snapToGrid/>
        <w:spacing w:line="62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坚持走生态农业、山区特色农业和现代农业相融合的道路，按照“建基地、壮龙头、兴产业、占市场”的思路，主攻产业化，坚持特色化，促进规模化，不断创新生产经营模式，着力构建现代农业发展体系，形成特色农业的产业集群。</w:t>
      </w:r>
    </w:p>
    <w:p w14:paraId="65A65F4C">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rPr>
      </w:pPr>
      <w:bookmarkStart w:id="91" w:name="_Toc88315767"/>
      <w:r>
        <w:rPr>
          <w:rFonts w:hint="eastAsia" w:ascii="黑体" w:hAnsi="黑体" w:eastAsia="黑体" w:cs="黑体"/>
          <w:b w:val="0"/>
          <w:bCs w:val="0"/>
        </w:rPr>
        <w:t>第一节  优化农业产业结构</w:t>
      </w:r>
      <w:bookmarkEnd w:id="91"/>
    </w:p>
    <w:p w14:paraId="6DB68897">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优化产业布局</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围绕“4+2+1”农业特色产业发展思路，优化区域特色农产布局，因地制宜推动临武鸭、临武肉牛、临武柚、临武香芋、大冲辣椒、烤烟六大特色产业高质量发展。重点发展舜峰镇临武香芋、武水镇临武鸭、万水乡罗汉果、南强镇特色水果、楚江镇香芋南瓜、花塘乡临武柚特色小镇。全力推进临武鸭、临武肉牛2个养殖业和临武柚、临武香芋、大冲辣椒、烤烟4个种植业优势特色农业产业发展，着重在种苗培育、规模基地建设、农产品加工、农产品销售、冷链物流及品牌创建等环节给予支持，加快推动临武香芋、大冲辣椒示范基地以及临武柚标准化基地建设。示范推动有机名贵茶种种植，着重推动建设3000亩高档种植示范基地建设。</w:t>
      </w:r>
    </w:p>
    <w:p w14:paraId="1DBC0734">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大力发展名优特经济作物。</w:t>
      </w:r>
      <w:r>
        <w:rPr>
          <w:rFonts w:hint="eastAsia" w:cs="仿宋_GB2312"/>
          <w:color w:val="000000" w:themeColor="text1"/>
          <w:szCs w:val="28"/>
          <w14:textFill>
            <w14:solidFill>
              <w14:schemeClr w14:val="tx1"/>
            </w14:solidFill>
          </w14:textFill>
        </w:rPr>
        <w:t>以市场为导向，加快农业结构战略性调整，在稳定粮食生产，确保粮食安全的基础上，大力发展名优特新经济作物。临武柚生产要在稳定现有种植规模的基础上，加大现代科技投入，大力推进品质提升和品牌建设，争取临武柚成功申请国家地理标志保护产品；实施临武香芋、大冲辣椒、罗汉果等提质增效工程，进一步提升临武特色果蔬的市场影响力。</w:t>
      </w:r>
    </w:p>
    <w:p w14:paraId="6F494319">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提高农业用水现代化水平。</w:t>
      </w:r>
      <w:r>
        <w:rPr>
          <w:rFonts w:hint="eastAsia" w:cs="仿宋_GB2312"/>
          <w:color w:val="000000" w:themeColor="text1"/>
          <w:szCs w:val="28"/>
          <w14:textFill>
            <w14:solidFill>
              <w14:schemeClr w14:val="tx1"/>
            </w14:solidFill>
          </w14:textFill>
        </w:rPr>
        <w:t>大力实施农田水利工程，推进灌区续建配套与节水改造，因地制宜兴建、提升中小型农田水利设施，打通农田水利“最后一公里”，加快建设现代农田灌排体系。大力发展节水农业、旱作农业，加快推广水肥一体化，积极推动农业水价综合改革工作。围绕推进“全程、全面、智能、高效”农业机械现代化，大力发展智能化、高端农机装备制造及应用。促进农机农艺融合，提高农机装备精准作业能力，推进粮食机械化干燥，示范推广果园作业机械，推动粮油等主要农作物生产全程机械化。加快推广林牧渔生产、病虫害防治、节水灌溉和农产品初加工机械化、信息化。</w:t>
      </w:r>
    </w:p>
    <w:p w14:paraId="6F8143F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92" w:name="_Toc88315768"/>
      <w:r>
        <w:rPr>
          <w:rFonts w:hint="eastAsia" w:ascii="黑体" w:hAnsi="黑体" w:eastAsia="黑体" w:cs="黑体"/>
          <w:b w:val="0"/>
          <w:bCs w:val="0"/>
          <w:color w:val="000000" w:themeColor="text1"/>
          <w14:textFill>
            <w14:solidFill>
              <w14:schemeClr w14:val="tx1"/>
            </w14:solidFill>
          </w14:textFill>
        </w:rPr>
        <w:t>第二节  拓展特色农产产业</w:t>
      </w:r>
      <w:bookmarkEnd w:id="92"/>
    </w:p>
    <w:p w14:paraId="6C1A5CB9">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保障农产品供给。</w:t>
      </w:r>
      <w:r>
        <w:rPr>
          <w:rFonts w:hint="eastAsia" w:cs="仿宋_GB2312"/>
          <w:color w:val="000000" w:themeColor="text1"/>
          <w:szCs w:val="28"/>
          <w14:textFill>
            <w14:solidFill>
              <w14:schemeClr w14:val="tx1"/>
            </w14:solidFill>
          </w14:textFill>
        </w:rPr>
        <w:t>按照突出资源优势、区位优势和比较优势的原则，合理布局粮油、果蔬、畜禽产业，保障粮食多元有效供给。以“牢守耕地红线，管制用途用法”为方针，继续开展永久基本农田质量建设工作，积极推动高标准农田及农业基础设施建设，为保障农产品供给提供基础支撑。紧跟国家食品安全战略总步伐，坚决落实农产品质量安全责任，完善农产品检测认证体系，扎实推进“身份证”、“合格证”管理制度。</w:t>
      </w:r>
    </w:p>
    <w:p w14:paraId="2A9B49B1">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pacing w:val="6"/>
          <w:szCs w:val="28"/>
          <w14:textFill>
            <w14:solidFill>
              <w14:schemeClr w14:val="tx1"/>
            </w14:solidFill>
          </w14:textFill>
        </w:rPr>
      </w:pPr>
      <w:r>
        <w:rPr>
          <w:rFonts w:hint="eastAsia" w:ascii="楷体_GB2312" w:hAnsi="楷体_GB2312" w:eastAsia="楷体_GB2312" w:cs="楷体_GB2312"/>
          <w:b/>
          <w:bCs/>
          <w:szCs w:val="28"/>
        </w:rPr>
        <w:t>壮大优势特色农业。</w:t>
      </w:r>
      <w:r>
        <w:rPr>
          <w:rFonts w:hint="eastAsia" w:cs="仿宋_GB2312"/>
          <w:color w:val="000000" w:themeColor="text1"/>
          <w:szCs w:val="28"/>
          <w14:textFill>
            <w14:solidFill>
              <w14:schemeClr w14:val="tx1"/>
            </w14:solidFill>
          </w14:textFill>
        </w:rPr>
        <w:t>深入实施乡村振兴战略，以第一产业振兴促</w:t>
      </w:r>
      <w:r>
        <w:rPr>
          <w:rFonts w:hint="eastAsia" w:cs="仿宋_GB2312"/>
          <w:color w:val="000000" w:themeColor="text1"/>
          <w:spacing w:val="6"/>
          <w:szCs w:val="28"/>
          <w14:textFill>
            <w14:solidFill>
              <w14:schemeClr w14:val="tx1"/>
            </w14:solidFill>
          </w14:textFill>
        </w:rPr>
        <w:t>进农民增收，主动对接全省农业“三个百千万”工程；加快大湾区优质农副产品供应基地和郴州国家可持续发展示范区建设，做强临武鸭、临武肉牛2个养殖业和临武柚、临武香芋、大冲辣椒、烤烟4个种植业优势特色农业产业。争取在“十四五”期间建设20个高标准大湾区优质农产品供应基地、实现临武鸭年加工3000万羽、临武肉牛年存栏5万头、临武柚10万亩、临武香芋10万亩、大冲辣椒5万亩、“烤烟+水稻”5万亩的基地规模，力争农业总产值50亿元。</w:t>
      </w:r>
    </w:p>
    <w:p w14:paraId="5EF58D1F">
      <w:pPr>
        <w:pStyle w:val="57"/>
        <w:keepNext w:val="0"/>
        <w:keepLines w:val="0"/>
        <w:pageBreakBefore w:val="0"/>
        <w:widowControl w:val="0"/>
        <w:kinsoku/>
        <w:wordWrap w:val="0"/>
        <w:overflowPunct/>
        <w:topLinePunct/>
        <w:autoSpaceDE/>
        <w:autoSpaceDN/>
        <w:bidi w:val="0"/>
        <w:spacing w:line="600" w:lineRule="exact"/>
        <w:ind w:firstLine="643"/>
      </w:pPr>
      <w:r>
        <w:rPr>
          <w:rFonts w:hint="eastAsia" w:ascii="楷体_GB2312" w:hAnsi="楷体_GB2312" w:eastAsia="楷体_GB2312" w:cs="楷体_GB2312"/>
          <w:b/>
          <w:bCs/>
        </w:rPr>
        <w:t>创建临武特色品牌。</w:t>
      </w:r>
      <w:r>
        <w:rPr>
          <w:rFonts w:hint="eastAsia"/>
        </w:rPr>
        <w:t>根据国家特色农产品优势区建设规划，建立评价标准和技术体系，打造一批特色鲜明、优势聚集、产业融合、市场竞争力强的特色农产品优势区，持续壮大本地特色农产品优势。坚持做基地、提品质，做响品牌、拓展市场，打造临武特色农业品牌。借助先进技术，坚持融合发展理念，推进基地建设和品牌建设，巩固粤港澳大湾区市场。</w:t>
      </w:r>
    </w:p>
    <w:p w14:paraId="04855AFC">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农业强县工程</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14:paraId="460E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0" w:type="dxa"/>
            <w:shd w:val="clear" w:color="auto" w:fill="auto"/>
            <w:vAlign w:val="center"/>
          </w:tcPr>
          <w:p w14:paraId="53A0ED52">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农业服务工程：</w:t>
            </w:r>
            <w:r>
              <w:rPr>
                <w:rFonts w:hint="eastAsia"/>
              </w:rPr>
              <w:t>临武县农产品</w:t>
            </w:r>
            <w:r>
              <w:rPr>
                <w:rFonts w:hint="eastAsia"/>
                <w:lang w:eastAsia="zh-CN"/>
              </w:rPr>
              <w:t>（</w:t>
            </w:r>
            <w:r>
              <w:rPr>
                <w:rFonts w:hint="eastAsia"/>
              </w:rPr>
              <w:t>食品</w:t>
            </w:r>
            <w:r>
              <w:rPr>
                <w:rFonts w:hint="eastAsia"/>
                <w:lang w:eastAsia="zh-CN"/>
              </w:rPr>
              <w:t>）</w:t>
            </w:r>
            <w:r>
              <w:rPr>
                <w:rFonts w:hint="eastAsia"/>
              </w:rPr>
              <w:t>质量安全检验检测中心建设项目、省级食品安全示范县创建工程、临武县农业大数据应用云平台建设项目、临武县农产品电子商务交易平台建设项目。</w:t>
            </w:r>
          </w:p>
          <w:p w14:paraId="697DA7E8">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农业示范/基地工程：</w:t>
            </w:r>
            <w:r>
              <w:rPr>
                <w:rFonts w:hint="eastAsia"/>
              </w:rPr>
              <w:t>临武县特色蔬菜</w:t>
            </w:r>
            <w:r>
              <w:rPr>
                <w:rFonts w:hint="eastAsia"/>
                <w:lang w:eastAsia="zh-CN"/>
              </w:rPr>
              <w:t>（</w:t>
            </w:r>
            <w:r>
              <w:rPr>
                <w:rFonts w:hint="eastAsia"/>
              </w:rPr>
              <w:t>香芋</w:t>
            </w:r>
            <w:r>
              <w:rPr>
                <w:rFonts w:hint="eastAsia"/>
                <w:lang w:eastAsia="zh-CN"/>
              </w:rPr>
              <w:t>）</w:t>
            </w:r>
            <w:r>
              <w:rPr>
                <w:rFonts w:hint="eastAsia"/>
              </w:rPr>
              <w:t>示范基地项目、临武县特色蔬菜</w:t>
            </w:r>
            <w:r>
              <w:rPr>
                <w:rFonts w:hint="eastAsia"/>
                <w:lang w:eastAsia="zh-CN"/>
              </w:rPr>
              <w:t>（</w:t>
            </w:r>
            <w:r>
              <w:rPr>
                <w:rFonts w:hint="eastAsia"/>
              </w:rPr>
              <w:t>大冲辣椒</w:t>
            </w:r>
            <w:r>
              <w:rPr>
                <w:rFonts w:hint="eastAsia"/>
                <w:lang w:eastAsia="zh-CN"/>
              </w:rPr>
              <w:t>）</w:t>
            </w:r>
            <w:r>
              <w:rPr>
                <w:rFonts w:hint="eastAsia"/>
              </w:rPr>
              <w:t>示范基地项目、临武柚标准化基地建设项目、稻鱼综合种养项目、临武县创建家庭农场示范县项目。</w:t>
            </w:r>
          </w:p>
          <w:p w14:paraId="07ADB172">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农业文旅工程：</w:t>
            </w:r>
            <w:r>
              <w:rPr>
                <w:rFonts w:hint="eastAsia"/>
              </w:rPr>
              <w:t>临武县休闲农业、乡村旅游、特色小镇项目。</w:t>
            </w:r>
          </w:p>
        </w:tc>
      </w:tr>
    </w:tbl>
    <w:p w14:paraId="0D5515A4">
      <w:pPr>
        <w:pStyle w:val="4"/>
        <w:keepNext w:val="0"/>
        <w:keepLines w:val="0"/>
        <w:pageBreakBefore w:val="0"/>
        <w:widowControl w:val="0"/>
        <w:numPr>
          <w:ilvl w:val="0"/>
          <w:numId w:val="0"/>
        </w:numPr>
        <w:kinsoku/>
        <w:wordWrap w:val="0"/>
        <w:overflowPunct/>
        <w:topLinePunct/>
        <w:autoSpaceDE/>
        <w:autoSpaceDN/>
        <w:bidi w:val="0"/>
        <w:spacing w:before="0" w:after="0" w:line="600" w:lineRule="exact"/>
        <w:ind w:leftChars="0"/>
        <w:jc w:val="both"/>
        <w:rPr>
          <w:rFonts w:hint="eastAsia" w:ascii="方正大标宋简体" w:hAnsi="方正大标宋简体" w:eastAsia="方正大标宋简体" w:cs="方正大标宋简体"/>
          <w:sz w:val="36"/>
          <w:szCs w:val="36"/>
        </w:rPr>
      </w:pPr>
    </w:p>
    <w:p w14:paraId="6EABF657">
      <w:pPr>
        <w:pStyle w:val="4"/>
        <w:keepNext w:val="0"/>
        <w:keepLines w:val="0"/>
        <w:pageBreakBefore w:val="0"/>
        <w:widowControl w:val="0"/>
        <w:kinsoku/>
        <w:wordWrap w:val="0"/>
        <w:overflowPunct/>
        <w:topLinePunct/>
        <w:autoSpaceDE/>
        <w:autoSpaceDN/>
        <w:bidi w:val="0"/>
        <w:spacing w:before="0" w:after="0" w:line="600" w:lineRule="exact"/>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93" w:name="_Toc88315769"/>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提升农业质量效益和竞争力</w:t>
      </w:r>
      <w:bookmarkEnd w:id="93"/>
    </w:p>
    <w:p w14:paraId="0D0CB024"/>
    <w:p w14:paraId="00845C49">
      <w:pPr>
        <w:pStyle w:val="57"/>
        <w:keepNext w:val="0"/>
        <w:keepLines w:val="0"/>
        <w:pageBreakBefore w:val="0"/>
        <w:widowControl w:val="0"/>
        <w:kinsoku/>
        <w:wordWrap w:val="0"/>
        <w:overflowPunct/>
        <w:topLinePunct/>
        <w:autoSpaceDE/>
        <w:autoSpaceDN/>
        <w:bidi w:val="0"/>
        <w:spacing w:line="600" w:lineRule="exact"/>
        <w:ind w:firstLine="640"/>
        <w:rPr>
          <w:rFonts w:hint="eastAsia"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贯彻率先实现现代化要求，以产业振兴为突破方向，以农业科技为主要武器，以农田基础设施建设为主要助力，努力推动农业质量效益和竞争力提升。</w:t>
      </w:r>
    </w:p>
    <w:p w14:paraId="18ED3FFF">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94" w:name="_Toc88315770"/>
      <w:r>
        <w:rPr>
          <w:rFonts w:hint="eastAsia" w:ascii="黑体" w:hAnsi="黑体" w:eastAsia="黑体" w:cs="黑体"/>
          <w:b w:val="0"/>
          <w:bCs w:val="0"/>
          <w:color w:val="000000" w:themeColor="text1"/>
          <w14:textFill>
            <w14:solidFill>
              <w14:schemeClr w14:val="tx1"/>
            </w14:solidFill>
          </w14:textFill>
        </w:rPr>
        <w:t>第一节  提升农业基础发展水平</w:t>
      </w:r>
      <w:bookmarkEnd w:id="94"/>
    </w:p>
    <w:p w14:paraId="2E6474F2">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推动高标准农田建设</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推动高标准农田建设，全面推进耕地地力提升工程，为现代农业打下坚实基础，力争“十四五”期间建设10万亩高标准农田；加强高标准农田管理，按“谁受益谁维护”的原则，指导村集体做好高标准农田日常管理，及时修复受损农田设施。高标准建设农田水利、农业机械化等现代农业基础设施，提升农业科技创新水平并加快推广使用，增强粮食生产能力和防灾减灾能力。</w:t>
      </w:r>
    </w:p>
    <w:p w14:paraId="51587134">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支持农机化科技创新与推广。</w:t>
      </w:r>
      <w:r>
        <w:rPr>
          <w:rFonts w:hint="eastAsia" w:cs="仿宋_GB2312"/>
          <w:color w:val="000000" w:themeColor="text1"/>
          <w:szCs w:val="28"/>
          <w14:textFill>
            <w14:solidFill>
              <w14:schemeClr w14:val="tx1"/>
            </w14:solidFill>
          </w14:textFill>
        </w:rPr>
        <w:t>推进农机装备产业转型升级，加强机械化综合水平，完善农机装备创新体系，推进农机装备全产业链协同发展，优化农机装备产业结构布局，加强农机装备质量可靠性建设。继续申报果园田土宜机化改造试点县项目，加快丘陵山区农业机械化，为促进农业农村现代化创造条件；继续稳定实施农机购置补贴政策。支持绿色高效新机具新技术示范推广，加强薄弱环节农业机械化技术创新研究和农机装备的研发、推广与应用。</w:t>
      </w:r>
    </w:p>
    <w:p w14:paraId="166136F6">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95" w:name="_Toc88315771"/>
      <w:r>
        <w:rPr>
          <w:rFonts w:hint="eastAsia" w:ascii="黑体" w:hAnsi="黑体" w:eastAsia="黑体" w:cs="黑体"/>
          <w:b w:val="0"/>
          <w:bCs w:val="0"/>
          <w:color w:val="000000" w:themeColor="text1"/>
          <w14:textFill>
            <w14:solidFill>
              <w14:schemeClr w14:val="tx1"/>
            </w14:solidFill>
          </w14:textFill>
        </w:rPr>
        <w:t>第二节  加强农业支持保护力度</w:t>
      </w:r>
      <w:bookmarkEnd w:id="95"/>
    </w:p>
    <w:p w14:paraId="13EAFE7F">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加强农业投入力度。</w:t>
      </w:r>
      <w:r>
        <w:rPr>
          <w:rFonts w:hint="eastAsia" w:cs="仿宋_GB2312"/>
          <w:color w:val="000000" w:themeColor="text1"/>
          <w:szCs w:val="28"/>
          <w14:textFill>
            <w14:solidFill>
              <w14:schemeClr w14:val="tx1"/>
            </w14:solidFill>
          </w14:textFill>
        </w:rPr>
        <w:t>健全农业投入增长机制，加大政府固定资产投资向农业的倾斜，以重大基础设施建设为抓手，加速改变农业基础设施薄弱现状。以特色优势的果蔬产品为基础，着力布局一批具有示范效应的基地和设施，推进临武特色蔬菜示范基地项目、临武柚标准化基地项目、临武设施农业项目建设；着力解决饮水安全等实际问题，结合水旱灾害防御等重点问题，着重布局一批农田基础水利设施，重点推进桐柏山中型水库工程、万水洞水库除险加固工程建设。</w:t>
      </w:r>
    </w:p>
    <w:p w14:paraId="6AC13E54">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健全农村金融服务体系。</w:t>
      </w:r>
      <w:r>
        <w:rPr>
          <w:rFonts w:hint="eastAsia" w:cs="仿宋_GB2312"/>
          <w:color w:val="000000" w:themeColor="text1"/>
          <w:szCs w:val="28"/>
          <w14:textFill>
            <w14:solidFill>
              <w14:schemeClr w14:val="tx1"/>
            </w14:solidFill>
          </w14:textFill>
        </w:rPr>
        <w:t>建立多元化普惠金融组织体系，加强农村金融生态环境建设，推进农村信用体系建设。强化国有银行县域分支机构服务“三农”意识，鼓励股份制商业银行县域分支机构扎根基层、服务社区，支持县级法人农商银行小额贷款模式推广，增强村镇银行服务县域和“三农”的能力；提升金融服务产品和信贷投入量，促进农村承包土地经营权流转贷款扩面上量，指导和支持种养大户、家庭农场、农民专业合作社等新型农业经营主体与其农村电商平台对接，提高授信额度、增加信贷规模和降低贷款利率等优惠政策。</w:t>
      </w:r>
    </w:p>
    <w:p w14:paraId="4F4F8F6C">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支持农业保险发展。</w:t>
      </w:r>
      <w:r>
        <w:rPr>
          <w:rFonts w:hint="eastAsia" w:cs="仿宋_GB2312"/>
          <w:color w:val="000000" w:themeColor="text1"/>
          <w:szCs w:val="28"/>
          <w14:textFill>
            <w14:solidFill>
              <w14:schemeClr w14:val="tx1"/>
            </w14:solidFill>
          </w14:textFill>
        </w:rPr>
        <w:t>加强宏观政策支持力度，将农业保险列入政府重点工作事项，建立联动机制，定期督导农业保险发展进度；完善农业保险运作模式，鼓励商业保险公司开办农业保险业务，并合理运营补贴政策，降低农业保险成本；探索建立专项保障基金，完善农业保险经济补偿机制；加大宣传力度，多渠道、全方位宣传农业保险知识，提高农民保险意识；支持创新，强化银保合作制度。</w:t>
      </w:r>
    </w:p>
    <w:p w14:paraId="7BB4C787">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96" w:name="_Toc88315772"/>
      <w:r>
        <w:rPr>
          <w:rFonts w:hint="eastAsia" w:ascii="黑体" w:hAnsi="黑体" w:eastAsia="黑体" w:cs="黑体"/>
          <w:b w:val="0"/>
          <w:bCs w:val="0"/>
          <w:color w:val="000000" w:themeColor="text1"/>
          <w14:textFill>
            <w14:solidFill>
              <w14:schemeClr w14:val="tx1"/>
            </w14:solidFill>
          </w14:textFill>
        </w:rPr>
        <w:t>第三节  强化农业科技支撑</w:t>
      </w:r>
      <w:bookmarkEnd w:id="96"/>
    </w:p>
    <w:p w14:paraId="6C62E756">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提升农业科技创新水平。</w:t>
      </w:r>
      <w:r>
        <w:rPr>
          <w:rFonts w:hint="eastAsia" w:cs="仿宋_GB2312"/>
          <w:color w:val="000000" w:themeColor="text1"/>
          <w:szCs w:val="28"/>
          <w14:textFill>
            <w14:solidFill>
              <w14:schemeClr w14:val="tx1"/>
            </w14:solidFill>
          </w14:textFill>
        </w:rPr>
        <w:t>探索农业绿色化种养模式，重点推进稻鱼综合种养项目、水产生态养殖项目建设；加强农业在防控、育种、施肥等领域的投入与研究，重点推进临武县现代种业项目、果蔬茶绿色防控示范项目、果蔬茶有机肥替代化肥项目、水肥一体化项目建设；推动农业废弃物综合化利用，重点依托</w:t>
      </w:r>
      <w:r>
        <w:rPr>
          <w:rFonts w:hint="eastAsia" w:cs="仿宋_GB2312"/>
          <w:color w:val="000000" w:themeColor="text1"/>
          <w:szCs w:val="28"/>
          <w:lang w:eastAsia="zh-CN"/>
          <w14:textFill>
            <w14:solidFill>
              <w14:schemeClr w14:val="tx1"/>
            </w14:solidFill>
          </w14:textFill>
        </w:rPr>
        <w:t>畜禽</w:t>
      </w:r>
      <w:r>
        <w:rPr>
          <w:rFonts w:hint="eastAsia" w:cs="仿宋_GB2312"/>
          <w:color w:val="000000" w:themeColor="text1"/>
          <w:szCs w:val="28"/>
          <w14:textFill>
            <w14:solidFill>
              <w14:schemeClr w14:val="tx1"/>
            </w14:solidFill>
          </w14:textFill>
        </w:rPr>
        <w:t>废弃物资源化利用和农业废弃物秸秆综合利项目，探索研究农业废弃物资源化和再利用；加强产业标准化研究。</w:t>
      </w:r>
    </w:p>
    <w:p w14:paraId="66975859">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健全农业创新体系。</w:t>
      </w:r>
      <w:r>
        <w:rPr>
          <w:rFonts w:hint="eastAsia" w:cs="仿宋_GB2312"/>
          <w:color w:val="000000" w:themeColor="text1"/>
          <w:szCs w:val="28"/>
          <w14:textFill>
            <w14:solidFill>
              <w14:schemeClr w14:val="tx1"/>
            </w14:solidFill>
          </w14:textFill>
        </w:rPr>
        <w:t>巩固政府主导型农业科技创新体系，形成长期稳固有效的科技创新与交流渠道，积极搭建各种农业科技平台，重点推进临武县农业大数据应用云平台建设项目；深化科技管理体制改革，在科研立项、科技成果评价、人事管理、职称评定、奖励与考评等一系列机制上进行大力改革，以促进农业科技创新水平提升；以临武县农村创业服务发展项目实施为契机，加大科技培训力度，全面提升农民与农业生产密切关联的科技素质。</w:t>
      </w:r>
    </w:p>
    <w:p w14:paraId="68056EC6">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加快农业科技成果转化应用。</w:t>
      </w:r>
      <w:r>
        <w:rPr>
          <w:rFonts w:hint="eastAsia" w:cs="仿宋_GB2312"/>
          <w:color w:val="000000" w:themeColor="text1"/>
          <w:szCs w:val="28"/>
          <w14:textFill>
            <w14:solidFill>
              <w14:schemeClr w14:val="tx1"/>
            </w14:solidFill>
          </w14:textFill>
        </w:rPr>
        <w:t>加强与湖南本地高校、科研院所联系，通过研发合作、技术转让、技术许可、作价投资等多种形式，实现农业科技成果在临武的转化。面向绿色兴农重大需求，加大绿色技术供给，加强集成应用和示范推广。创新公益性农技推广服务方式，支持高校、院所、农业龙头企业等各种社会力量参与农技推广，加强农业重大技术协同推广。严格遵守农业科技规律，实行“试验、示范、推广”三步配套，认真总结试验过程问题，分析原因及对策，并在示范和推广中贯彻；构建农业科技成果宣传平台，筛选并定期发布有效农业科技成果信息。</w:t>
      </w:r>
    </w:p>
    <w:p w14:paraId="4610E77C">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420" w:hanging="42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97" w:name="_Toc88315773"/>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提升农村基础设施建设水平</w:t>
      </w:r>
      <w:bookmarkEnd w:id="97"/>
    </w:p>
    <w:p w14:paraId="6ED9AE21">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整合各项规划，做好乡村顶层设计，大力整治乡村人居环境，完善乡村道路交通、医疗、教育、基本生活保障相关基础设施，建设临武美丽乡村。</w:t>
      </w:r>
    </w:p>
    <w:p w14:paraId="01777FB8">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98" w:name="_Toc88315774"/>
      <w:r>
        <w:rPr>
          <w:rFonts w:hint="eastAsia" w:ascii="黑体" w:hAnsi="黑体" w:eastAsia="黑体" w:cs="黑体"/>
          <w:b w:val="0"/>
          <w:bCs w:val="0"/>
          <w:color w:val="000000" w:themeColor="text1"/>
          <w14:textFill>
            <w14:solidFill>
              <w14:schemeClr w14:val="tx1"/>
            </w14:solidFill>
          </w14:textFill>
        </w:rPr>
        <w:t>第一节  编制实施乡村规划</w:t>
      </w:r>
      <w:bookmarkEnd w:id="98"/>
    </w:p>
    <w:p w14:paraId="51B578E8">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统筹生态保护修复</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落实生态保护红线划定成果，明确森林、河湖、草原等生态空间，</w:t>
      </w:r>
      <w:r>
        <w:rPr>
          <w:rFonts w:hint="eastAsia" w:cs="仿宋_GB2312"/>
          <w:color w:val="000000" w:themeColor="text1"/>
          <w:szCs w:val="28"/>
          <w:lang w:eastAsia="zh-CN"/>
          <w14:textFill>
            <w14:solidFill>
              <w14:schemeClr w14:val="tx1"/>
            </w14:solidFill>
          </w14:textFill>
        </w:rPr>
        <w:t>尽可能多地保留</w:t>
      </w:r>
      <w:r>
        <w:rPr>
          <w:rFonts w:hint="eastAsia" w:cs="仿宋_GB2312"/>
          <w:color w:val="000000" w:themeColor="text1"/>
          <w:szCs w:val="28"/>
          <w14:textFill>
            <w14:solidFill>
              <w14:schemeClr w14:val="tx1"/>
            </w14:solidFill>
          </w14:textFill>
        </w:rPr>
        <w:t>乡村原有的地貌、自然形态等，系统保护好乡村自然风光和田园景观。加强生态环境系统修复和整治，慎砍树、不填湖，优化乡村水系、林网、绿道等生态空间格局。</w:t>
      </w:r>
    </w:p>
    <w:p w14:paraId="5B87381E">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统筹耕地和永久基本农田保护。</w:t>
      </w:r>
      <w:r>
        <w:rPr>
          <w:rFonts w:hint="eastAsia" w:cs="仿宋_GB2312"/>
          <w:color w:val="000000" w:themeColor="text1"/>
          <w:szCs w:val="28"/>
          <w14:textFill>
            <w14:solidFill>
              <w14:schemeClr w14:val="tx1"/>
            </w14:solidFill>
          </w14:textFill>
        </w:rPr>
        <w:t>落实永久基本农田和永久基本农田储备区划定成果，落实补充耕地任务，守好耕地红线。统筹安排农、林、牧、副、渔等农业发展空间，推动循环农业、生态农业发展。完善农田水利配套设施布局，保障设施农业和农业产业园发展合理空间，促进农业转型升级。</w:t>
      </w:r>
    </w:p>
    <w:p w14:paraId="243E50AE">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统筹基础设施和基本公共服务设施布局。</w:t>
      </w:r>
      <w:r>
        <w:rPr>
          <w:rFonts w:hint="eastAsia" w:cs="仿宋_GB2312"/>
          <w:color w:val="000000" w:themeColor="text1"/>
          <w:szCs w:val="28"/>
          <w14:textFill>
            <w14:solidFill>
              <w14:schemeClr w14:val="tx1"/>
            </w14:solidFill>
          </w14:textFill>
        </w:rPr>
        <w:t>在县域、乡镇域范围内统筹考虑村庄发展布局以及基础设施和公共服务设施用地布局，规划建立全域覆盖、普惠共享、城乡一体的基础设施和公共服务设施网络。以安全、经济、方便群众使用为原则，因地制宜提出村域基础设施和公共服务设施的选址、规模、标准等要求。</w:t>
      </w:r>
    </w:p>
    <w:p w14:paraId="4E327508">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统筹城乡用地。</w:t>
      </w:r>
      <w:r>
        <w:rPr>
          <w:rFonts w:hint="eastAsia" w:cs="仿宋_GB2312"/>
          <w:color w:val="000000" w:themeColor="text1"/>
          <w:szCs w:val="28"/>
          <w14:textFill>
            <w14:solidFill>
              <w14:schemeClr w14:val="tx1"/>
            </w14:solidFill>
          </w14:textFill>
        </w:rPr>
        <w:t>统筹城乡产业发展，优化城乡产业用地布局，引导工业向城镇产业空间集聚，合理保障农村新产业新业态发展用地，明确产业用地用途、强度等要求；除少量必需的农产品生产加工用地外，一般不在农村地区安排新增工业用地。按照上位规划确定的农村居民点布局和建设用地管控要求，合理确定宅基地规模，划定宅基地建设范围，严格落实“一户一宅”政策；充分考虑当地建筑文化特色和居民生活习惯，因地制宜提出住宅的规划设计要求。</w:t>
      </w:r>
    </w:p>
    <w:p w14:paraId="6F9E7FDE">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99" w:name="_Toc88315775"/>
      <w:r>
        <w:rPr>
          <w:rFonts w:hint="eastAsia" w:ascii="黑体" w:hAnsi="黑体" w:eastAsia="黑体" w:cs="黑体"/>
          <w:b w:val="0"/>
          <w:bCs w:val="0"/>
          <w:color w:val="000000" w:themeColor="text1"/>
          <w14:textFill>
            <w14:solidFill>
              <w14:schemeClr w14:val="tx1"/>
            </w14:solidFill>
          </w14:textFill>
        </w:rPr>
        <w:t>第二节  建设美丽乡村</w:t>
      </w:r>
      <w:bookmarkEnd w:id="99"/>
    </w:p>
    <w:p w14:paraId="2DB8E328">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优化农村住房布局。</w:t>
      </w:r>
      <w:r>
        <w:rPr>
          <w:rFonts w:hint="eastAsia" w:cs="仿宋_GB2312"/>
          <w:color w:val="000000" w:themeColor="text1"/>
          <w:szCs w:val="28"/>
          <w14:textFill>
            <w14:solidFill>
              <w14:schemeClr w14:val="tx1"/>
            </w14:solidFill>
          </w14:textFill>
        </w:rPr>
        <w:t>严格农村宅基地和农房建设管理，依托国土空间规划，引导新建农房向产业集中区、人口聚居地集中。制发符合临武特色、农村实际、农民需求的《农村建房通用图集》，统一农房风貌和建设标准，同时，突出少数民族村民族特色元素，消除“蓝顶子”，打造推窗见绿、出门见景、四季见花的美丽宜居新乡村。</w:t>
      </w:r>
    </w:p>
    <w:p w14:paraId="6B7E7CAA">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改善农村人居环境</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继续推进美丽示范村、美丽庭院创建活动，加大同心美丽乡村建设力度，西瑶乡桃源坪村争创全国最美少数民族特色村寨。持续推动农村人居环境整治，继续抓好农村垃圾污水治理、厕所革命、规范建房、拆违拆旧等重点任务，持续改善农村人居环境。实施农村污水处理、生活垃圾无害化处理、畜禽养殖废弃物治理、村公共设施建设等工程，力争2025年完成13个乡镇、200个行政村农村环境连片整治，</w:t>
      </w:r>
      <w:r>
        <w:rPr>
          <w:rFonts w:cs="仿宋_GB2312"/>
          <w:color w:val="000000" w:themeColor="text1"/>
          <w:szCs w:val="28"/>
          <w14:textFill>
            <w14:solidFill>
              <w14:schemeClr w14:val="tx1"/>
            </w14:solidFill>
          </w14:textFill>
        </w:rPr>
        <w:t>90%的村庄生活垃圾得到治理，重点集镇污水处理设施全覆盖。</w:t>
      </w:r>
      <w:r>
        <w:rPr>
          <w:rFonts w:hint="eastAsia" w:cs="仿宋_GB2312"/>
          <w:color w:val="000000" w:themeColor="text1"/>
          <w:szCs w:val="28"/>
          <w14:textFill>
            <w14:solidFill>
              <w14:schemeClr w14:val="tx1"/>
            </w14:solidFill>
          </w14:textFill>
        </w:rPr>
        <w:t>按照产业兴旺、生态宜居、乡风文明、治理有效、生活富裕的总要求，统筹推进农村党的建设、经济建设、政治建设、文化建设、社会建设和生态文明建设，让农村成为农民安居乐业的美丽家园。</w:t>
      </w:r>
    </w:p>
    <w:p w14:paraId="1B783952">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建立农村人居环境整治长效机制</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坚持建管并重，因地制宜探索建立农村人居环境建设和管护长效机制，确保建成设施长久使用、良好环境长期保持。推行农村环境治理依效付费制度，健全服务绩效评价考核机制。探索建立垃圾污水处理农户付费制度，完善财政补贴和农户付费合理分担机制。</w:t>
      </w:r>
    </w:p>
    <w:p w14:paraId="5AA647CA">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00" w:name="_Toc88315776"/>
      <w:r>
        <w:rPr>
          <w:rFonts w:hint="eastAsia" w:ascii="黑体" w:hAnsi="黑体" w:eastAsia="黑体" w:cs="黑体"/>
          <w:b w:val="0"/>
          <w:bCs w:val="0"/>
          <w:color w:val="000000" w:themeColor="text1"/>
          <w14:textFill>
            <w14:solidFill>
              <w14:schemeClr w14:val="tx1"/>
            </w14:solidFill>
          </w14:textFill>
        </w:rPr>
        <w:t>第三节  加强农村基础设施建设</w:t>
      </w:r>
      <w:bookmarkEnd w:id="100"/>
    </w:p>
    <w:p w14:paraId="7AE1A863">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加快农村道路交通建设。</w:t>
      </w:r>
      <w:r>
        <w:rPr>
          <w:rFonts w:hint="eastAsia" w:cs="仿宋_GB2312"/>
          <w:color w:val="000000" w:themeColor="text1"/>
          <w:szCs w:val="28"/>
          <w14:textFill>
            <w14:solidFill>
              <w14:schemeClr w14:val="tx1"/>
            </w14:solidFill>
          </w14:textFill>
        </w:rPr>
        <w:t>保持住“全省城乡客运一体化示范县”创建势头，继续抓好“四好农村路”、城乡客运一体化、楚梓公路等项目建设，推动交通设施不断向农村延伸覆盖，全面完成S568线临武梓木至马家公路项目建设，进一步缩小城乡差距；以畅通农村产业交通为目标，推动资源路、产业路建设；保障农村地区基本出行条件，加快建设城区与农村连接道路、打通乡村“断头路”，解决少数民族村自然村无硬化路问题，实现农村道路硬底化，对农村危桥进行改造；深化农村公路管理养护体制改革，健全管理养护长效机制，完善安保设施；优先实施具备条件的窄路面加宽改建，打造农村高效快捷交通路网体系；打通物流基础设施“阻塞点”，进行乡镇运输服务站及物流园区建设。</w:t>
      </w:r>
    </w:p>
    <w:p w14:paraId="5B2538FD">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继续加强医疗设施标准化建设。</w:t>
      </w:r>
      <w:r>
        <w:rPr>
          <w:rFonts w:hint="eastAsia" w:cs="仿宋_GB2312"/>
          <w:color w:val="000000" w:themeColor="text1"/>
          <w:szCs w:val="28"/>
          <w14:textFill>
            <w14:solidFill>
              <w14:schemeClr w14:val="tx1"/>
            </w14:solidFill>
          </w14:textFill>
        </w:rPr>
        <w:t>在乡镇卫生院提质改造及村卫生室“空白村”全面消除基础上，继续推动基层医疗卫生机构标准提升。常住人口超过1万人的乡镇卫生院、常住人口超过800人的行政村卫生室均达到建设标准要求。优先支持中心卫生院医疗服务能力提升，为乡镇卫生院装备或更新DR、B超、全自动生化分析仪、救护车等设备；为产权公有村卫生室配备基本的诊疗设备。扶持乡镇卫生院特色科室建设。</w:t>
      </w:r>
    </w:p>
    <w:p w14:paraId="4B927267">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加快农村环保、供水、供电、物流基础设施建设。</w:t>
      </w:r>
      <w:r>
        <w:rPr>
          <w:rFonts w:hint="eastAsia" w:cs="仿宋_GB2312"/>
          <w:color w:val="000000" w:themeColor="text1"/>
          <w:szCs w:val="28"/>
          <w14:textFill>
            <w14:solidFill>
              <w14:schemeClr w14:val="tx1"/>
            </w14:solidFill>
          </w14:textFill>
        </w:rPr>
        <w:t>加强农村环境基础设施建设，推动城乡供水和污水处理一体化PPP项目实施和少数民族村自然村拉网通电建设；在用水紧张乡镇新建、改建各类水库，重点规划新建桐柏山中型水库、枫木山水库、英溪冲水库等水资源配置工程，实施长河水库、万水洞水库中型灌区续建配套节水改造工程；大力实施推进城乡供水一体化工程，提高供水保障能力，大力推动农村安全饮水工程，2025年农村自来水普及率达到90%以上。积极对接大湾区市场，发展区域冷链物流体系，打通流通环节，大力推动7个乡镇级冷链物流中心建设。</w:t>
      </w:r>
    </w:p>
    <w:p w14:paraId="4DA5E4EF">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继续完善乡村教育、通讯基础设施。</w:t>
      </w:r>
      <w:r>
        <w:rPr>
          <w:rFonts w:hint="eastAsia" w:cs="仿宋_GB2312"/>
          <w:color w:val="000000" w:themeColor="text1"/>
          <w:szCs w:val="28"/>
          <w14:textFill>
            <w14:solidFill>
              <w14:schemeClr w14:val="tx1"/>
            </w14:solidFill>
          </w14:textFill>
        </w:rPr>
        <w:t>加大对乡镇学校及农村学校的建设投入，进一步改善学校的办学条件和环境，缩短城乡教育的差距，推动农村中小学环形跑道、足球场和篮球场改造、农村中小学预制板结构教学用房拆除；加快城乡综合服务平台、“光纤入户”、“网络进乡村”等项目建设。</w:t>
      </w:r>
    </w:p>
    <w:p w14:paraId="25624990">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农村基础设施建设项目</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0"/>
      </w:tblGrid>
      <w:tr w14:paraId="55DE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80" w:type="dxa"/>
            <w:shd w:val="clear" w:color="auto" w:fill="auto"/>
            <w:vAlign w:val="center"/>
          </w:tcPr>
          <w:p w14:paraId="23ED0168">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供水保障工程：</w:t>
            </w:r>
            <w:r>
              <w:rPr>
                <w:rFonts w:hint="eastAsia"/>
              </w:rPr>
              <w:t>万水洞水库除险加固工程、临武县五塘冲水闸、文溪水闸除险加固工程、临武县枫木山水库新建工程、临武县英溪冲水库新建工程、临武县镇南乡大山背水库新建工程、万水洞水库外引水工程、香花镇十八厅水库扩容工程、大冲黑塘水库连通工程。</w:t>
            </w:r>
          </w:p>
          <w:p w14:paraId="41B04548">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农村道路交通基础工程：</w:t>
            </w:r>
            <w:r>
              <w:rPr>
                <w:rFonts w:hint="eastAsia"/>
              </w:rPr>
              <w:t>农村公路窄路加宽200公里、资源产业路100公里、安保设施完善100公里、危桥改造17座、招呼站120座、乡镇运输服务站3座、物流园3座。</w:t>
            </w:r>
          </w:p>
          <w:p w14:paraId="4D8774B6">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农业信息化工程：</w:t>
            </w:r>
            <w:r>
              <w:rPr>
                <w:rFonts w:hint="eastAsia"/>
              </w:rPr>
              <w:t>临武县农业大数据应用云平台建设项目、农村水厂信息化智能化建设、临武县农产品电子商务交易平台建设项目。</w:t>
            </w:r>
          </w:p>
        </w:tc>
      </w:tr>
    </w:tbl>
    <w:p w14:paraId="14F071CD">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420" w:hanging="42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 xml:space="preserve"> </w:t>
      </w:r>
      <w:bookmarkStart w:id="101" w:name="_Toc88315777"/>
      <w:r>
        <w:rPr>
          <w:rFonts w:hint="eastAsia" w:ascii="方正大标宋简体" w:hAnsi="方正大标宋简体" w:eastAsia="方正大标宋简体" w:cs="方正大标宋简体"/>
          <w:sz w:val="36"/>
          <w:szCs w:val="36"/>
        </w:rPr>
        <w:t>深化农业农村经济社会改革</w:t>
      </w:r>
      <w:bookmarkEnd w:id="101"/>
    </w:p>
    <w:p w14:paraId="2E02B961">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促进城乡融合发展，精准解决农业农村体制性障碍、机制性梗阻，推进城乡产业协同发展平台创建，推动农村土地制度改革，培育多元化农业经营主体，完善农村基层治理，为乡村振兴注入新动能。</w:t>
      </w:r>
    </w:p>
    <w:p w14:paraId="727FFA4B">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02" w:name="_Toc88315778"/>
      <w:r>
        <w:rPr>
          <w:rFonts w:hint="eastAsia" w:ascii="黑体" w:hAnsi="黑体" w:eastAsia="黑体" w:cs="黑体"/>
          <w:b w:val="0"/>
          <w:bCs w:val="0"/>
          <w:color w:val="000000" w:themeColor="text1"/>
          <w14:textFill>
            <w14:solidFill>
              <w14:schemeClr w14:val="tx1"/>
            </w14:solidFill>
          </w14:textFill>
        </w:rPr>
        <w:t>第一节  完善城乡融合发展机制</w:t>
      </w:r>
      <w:bookmarkEnd w:id="102"/>
    </w:p>
    <w:p w14:paraId="23EBFE4D">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推动城乡劳动力要素转移畅通</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有力有序有效深化户籍制度改革，着力破除户籍、土地、资本、公共服务等方面的体制机制弊端，为有能力在城镇稳定就业和生活的农业转移人口进城落户扫清制度障碍，为返乡创业的“城归”解决土地、融资等问题；逐步将农村养老保险和医疗保险规范接入城镇社保体系。完善住房保障体系，建立起多层次、广覆盖的住房体系；完善进城人群就业服务机制，加快建设就业信息网络平台，为农民工提供免费的就业信息和政策咨询；积极开展农民工岗位技能培训，鼓励农民工取得职业资格证书和专项职业能力证书。</w:t>
      </w:r>
    </w:p>
    <w:p w14:paraId="074ABD8A">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推动城乡基础设施互联互通。</w:t>
      </w:r>
      <w:r>
        <w:rPr>
          <w:rFonts w:hint="eastAsia" w:cs="仿宋_GB2312"/>
          <w:color w:val="000000" w:themeColor="text1"/>
          <w:szCs w:val="28"/>
          <w14:textFill>
            <w14:solidFill>
              <w14:schemeClr w14:val="tx1"/>
            </w14:solidFill>
          </w14:textFill>
        </w:rPr>
        <w:t>加快城镇公共基础设施向农村延伸，促进城乡要素自由流动、平等交换和公共资源合理配置；在全面补齐农村公共基础设施短板的同时，改革创新管护机制，建立推进城乡公共基础设施一体化管护的农村公共基础设施投入、管理和运营机制；统筹城乡社会管理，建立保护、治理城乡联动机制，积极推进农村社区向城市社区转变，健全有关组织机构，逐步转变工作职能，提高行政社会管理一体化水平。</w:t>
      </w:r>
    </w:p>
    <w:p w14:paraId="62291D4F">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推动城乡基本公共服务均等化。</w:t>
      </w:r>
      <w:r>
        <w:rPr>
          <w:rFonts w:hint="eastAsia" w:cs="仿宋_GB2312"/>
          <w:color w:val="000000" w:themeColor="text1"/>
          <w:szCs w:val="28"/>
          <w14:textFill>
            <w14:solidFill>
              <w14:schemeClr w14:val="tx1"/>
            </w14:solidFill>
          </w14:textFill>
        </w:rPr>
        <w:t>推动城区优质公共服务资源进入农村，加快推进城乡公共服务均等化。依托国家紧密型县域医疗卫生共同体试点县建设，全面完成乡镇卫生院改扩建项目。优化公共交通线路，实现建制村村村通公交车。调整优化城乡教育资源布局，改善农村学校办学条件，实现教育资源均等化。完善城乡社会保障体系，逐步提高保障标准，建立城乡一体的最低生活保障制度、特困人员救助供养制度，进一步健全城乡居民基本医疗保险、城乡居民基本养老保险、城乡低保和特殊困难群众医疗救助体系，建立贫困群众长效帮扶机制，扩大政策性农业保险覆盖范围，落实失地农民保护政策。逐步优化殡葬设施布局，加大公益性公墓建设力度。</w:t>
      </w:r>
    </w:p>
    <w:p w14:paraId="191B31C4">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03" w:name="_Toc88315779"/>
      <w:r>
        <w:rPr>
          <w:rFonts w:hint="eastAsia" w:ascii="黑体" w:hAnsi="黑体" w:eastAsia="黑体" w:cs="黑体"/>
          <w:b w:val="0"/>
          <w:bCs w:val="0"/>
          <w:color w:val="000000" w:themeColor="text1"/>
          <w14:textFill>
            <w14:solidFill>
              <w14:schemeClr w14:val="tx1"/>
            </w14:solidFill>
          </w14:textFill>
        </w:rPr>
        <w:t>第二节  加快推进农村经济体制改革</w:t>
      </w:r>
      <w:bookmarkEnd w:id="103"/>
    </w:p>
    <w:p w14:paraId="78D6FC26">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深化体制机制改革</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依托全国供销合作社综合改革试点，继续优化“临武供销改革模式”。深化农村产权确权办证，完善农村承包地三权分置、集体产权制度，推动农村集体产权制度试点；建立健全农村产权流转及退出工作机制，加快制定出台农村产权流转退出相关意见办法，加快农村产权交易体系建设，建立健全农村产权交易流程规则，推进构建“实体交易+信息管理”两位一体、同步实施的工作机制。积极盘活农村宅基地，加快建设农村集体产权交易综合平台建设，推动农村宅基地入市；完成农屋改勘任务，激活沉睡资源。</w:t>
      </w:r>
    </w:p>
    <w:p w14:paraId="38455A21">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健全完善农村产权抵押担保制度。</w:t>
      </w:r>
      <w:r>
        <w:rPr>
          <w:rFonts w:hint="eastAsia" w:cs="仿宋_GB2312"/>
          <w:color w:val="000000" w:themeColor="text1"/>
          <w:szCs w:val="28"/>
          <w14:textFill>
            <w14:solidFill>
              <w14:schemeClr w14:val="tx1"/>
            </w14:solidFill>
          </w14:textFill>
        </w:rPr>
        <w:t>依法合规推进农村集体经营性建设用地使用权、集体林权等抵押融资以及承包地经营权、集体资产股权等担保融资，推进开展农民住房财产权、宅基地使用权抵押贷款工作。建立健全抵押登记服务体系，建设农村宅基地管理体系；健全完善农村产权抵押担保保障机制，建立健全农业信贷担保体系。健全完善农村产权抵押融资风险补偿机制，合理分担金融机构抵押担保风险；健全完善涉农金融市场体系，支持通过市场化方式设立城乡融合发展基金，完善农村金融风险防范处置机制。</w:t>
      </w:r>
    </w:p>
    <w:p w14:paraId="43F9FEA6">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lang w:eastAsia="zh-CN"/>
          <w14:textFill>
            <w14:solidFill>
              <w14:schemeClr w14:val="tx1"/>
            </w14:solidFill>
          </w14:textFill>
        </w:rPr>
      </w:pPr>
      <w:bookmarkStart w:id="104" w:name="_Toc88315780"/>
      <w:r>
        <w:rPr>
          <w:rFonts w:hint="eastAsia" w:ascii="黑体" w:hAnsi="黑体" w:eastAsia="黑体" w:cs="黑体"/>
          <w:b w:val="0"/>
          <w:bCs w:val="0"/>
          <w:color w:val="000000" w:themeColor="text1"/>
          <w14:textFill>
            <w14:solidFill>
              <w14:schemeClr w14:val="tx1"/>
            </w14:solidFill>
          </w14:textFill>
        </w:rPr>
        <w:t>第三节  培育</w:t>
      </w:r>
      <w:bookmarkEnd w:id="104"/>
      <w:r>
        <w:rPr>
          <w:rFonts w:hint="eastAsia" w:ascii="黑体" w:hAnsi="黑体" w:eastAsia="黑体" w:cs="黑体"/>
          <w:b w:val="0"/>
          <w:bCs w:val="0"/>
          <w:color w:val="000000" w:themeColor="text1"/>
          <w:lang w:eastAsia="zh-CN"/>
          <w14:textFill>
            <w14:solidFill>
              <w14:schemeClr w14:val="tx1"/>
            </w14:solidFill>
          </w14:textFill>
        </w:rPr>
        <w:t>新型农业经营主体</w:t>
      </w:r>
    </w:p>
    <w:p w14:paraId="6713E552">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发展农民专业合作社。</w:t>
      </w:r>
      <w:r>
        <w:rPr>
          <w:rFonts w:hint="eastAsia" w:cs="仿宋_GB2312"/>
          <w:color w:val="000000" w:themeColor="text1"/>
          <w:szCs w:val="28"/>
          <w14:textFill>
            <w14:solidFill>
              <w14:schemeClr w14:val="tx1"/>
            </w14:solidFill>
          </w14:textFill>
        </w:rPr>
        <w:t>学习推广“梨树模式”，推动临武县农民合作社质量提升整县推进项目建设。坚持市场经济条件下发展适度规模经营、发展现代农业，突出有利于提高农业科技水平、提高农民科技文化素质、提高农业综合经营效益，探索新路径、新模式、新机制。积极扶持家庭农场、农民合作社等新型农业经营主体，鼓励各地因地制宜探索不同的专业合作社模式，重点推动临武县创建家庭农场示范县项目、临武县发展村级集体经济项目实施。</w:t>
      </w:r>
    </w:p>
    <w:p w14:paraId="05878AAC">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构建新型农企利益联结体。</w:t>
      </w:r>
      <w:r>
        <w:rPr>
          <w:rFonts w:hint="eastAsia" w:cs="仿宋_GB2312"/>
          <w:color w:val="000000" w:themeColor="text1"/>
          <w:szCs w:val="28"/>
          <w14:textFill>
            <w14:solidFill>
              <w14:schemeClr w14:val="tx1"/>
            </w14:solidFill>
          </w14:textFill>
        </w:rPr>
        <w:t>以龙头企业为核心，以农业合作社为纽带，大力推动农业产业融合发展联盟。支持企业与合作社组成“产值分成”“寄托生产”“资产入股”等新型经营主体。引导企业与农户签订产期购销合同，鼓励“订单收购+分红”“农民入股+保底收益+按股分红”等新型产销模式，消除农业种植的不确定性风险，同时为企业带来固定货源。</w:t>
      </w:r>
    </w:p>
    <w:p w14:paraId="38265A6C">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培育农业社会化服务组织。</w:t>
      </w:r>
      <w:r>
        <w:rPr>
          <w:rFonts w:hint="eastAsia" w:cs="仿宋_GB2312"/>
          <w:color w:val="000000" w:themeColor="text1"/>
          <w:szCs w:val="28"/>
          <w14:textFill>
            <w14:solidFill>
              <w14:schemeClr w14:val="tx1"/>
            </w14:solidFill>
          </w14:textFill>
        </w:rPr>
        <w:t>围绕为农业生产经营主体提供服务和支撑，改善服务供给，提升社会化服务对现代农业发展的支撑作用，推动新产品、新技术、新装备导入农业生产过程。通过提供统一服务，发挥专业化、规模化优势，推行标准化、绿色化生产，提高先进科技和物质装备运用水平，帮助生产主体减轻劳动投入、缩短对新技术新装备的摸索过程，降低成本、提升效率，提高推进供给侧结构性改革的能力；鼓励行业协会成立并发挥组织引导等作用。</w:t>
      </w:r>
    </w:p>
    <w:p w14:paraId="64E6A89B">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鼓励壮大新农民群体。</w:t>
      </w:r>
      <w:r>
        <w:rPr>
          <w:rFonts w:hint="eastAsia" w:cs="仿宋_GB2312"/>
          <w:color w:val="000000" w:themeColor="text1"/>
          <w:szCs w:val="28"/>
          <w14:textFill>
            <w14:solidFill>
              <w14:schemeClr w14:val="tx1"/>
            </w14:solidFill>
          </w14:textFill>
        </w:rPr>
        <w:t>鼓励新农民群体作为农业经营主体中的一种新类型，秉持生态农业理念，运用互联网思维和手段，发展农产品直供直销，为消费者提供安全优质农产品。通过各类等网络平台销售农产品，引导新农民逐步从销售端向生产端拓展，带动形成以市场为导向、融合“互联网+”、绿色发展的生产组织方式。</w:t>
      </w:r>
    </w:p>
    <w:p w14:paraId="4D4009BB">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05" w:name="_Toc88315781"/>
      <w:r>
        <w:rPr>
          <w:rFonts w:hint="eastAsia" w:ascii="黑体" w:hAnsi="黑体" w:eastAsia="黑体" w:cs="黑体"/>
          <w:b w:val="0"/>
          <w:bCs w:val="0"/>
          <w:color w:val="000000" w:themeColor="text1"/>
          <w14:textFill>
            <w14:solidFill>
              <w14:schemeClr w14:val="tx1"/>
            </w14:solidFill>
          </w14:textFill>
        </w:rPr>
        <w:t>第四节  完善农村基层治理体系</w:t>
      </w:r>
      <w:bookmarkEnd w:id="105"/>
    </w:p>
    <w:p w14:paraId="680F4788">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健全乡村治理体系。</w:t>
      </w:r>
      <w:r>
        <w:rPr>
          <w:rFonts w:hint="eastAsia" w:cs="仿宋_GB2312"/>
          <w:color w:val="000000" w:themeColor="text1"/>
          <w:szCs w:val="28"/>
          <w14:textFill>
            <w14:solidFill>
              <w14:schemeClr w14:val="tx1"/>
            </w14:solidFill>
          </w14:textFill>
        </w:rPr>
        <w:t>持续推动党建引领乡村治理，建立健全党委领导、政府负责、社会协同、公众参与、法治保障的现代乡村社会治理体制，力争“小事不出村、大事不出乡、重大事情不发生”。把乡村治理工作纳入乡村振兴考核体系，建立领导干部包村制度。开展乡村示范试点创建，发挥乡村治理先进典型引领和辐射带动作用。</w:t>
      </w:r>
    </w:p>
    <w:p w14:paraId="4336C612">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完善基层民主制度。</w:t>
      </w:r>
      <w:r>
        <w:rPr>
          <w:rFonts w:hint="eastAsia" w:cs="仿宋_GB2312"/>
          <w:color w:val="000000" w:themeColor="text1"/>
          <w:szCs w:val="28"/>
          <w14:textFill>
            <w14:solidFill>
              <w14:schemeClr w14:val="tx1"/>
            </w14:solidFill>
          </w14:textFill>
        </w:rPr>
        <w:t>完善村党组织领导充满活力的村民自治制度，坚持农民主体，构建“三治”结合的乡村善治长效机制。发挥村规民约和文化软实力作用，推进村民自治的制度化、</w:t>
      </w:r>
      <w:r>
        <w:rPr>
          <w:rFonts w:hint="eastAsia" w:cs="仿宋_GB2312"/>
          <w:color w:val="000000" w:themeColor="text1"/>
          <w:spacing w:val="-6"/>
          <w:szCs w:val="28"/>
          <w14:textFill>
            <w14:solidFill>
              <w14:schemeClr w14:val="tx1"/>
            </w14:solidFill>
          </w14:textFill>
        </w:rPr>
        <w:t>规范化、程序化。完善村级民主选举、民主协商、民主管理、民主决策、民主监督等村民自治制度和乡村公共服务、公共管理、公共安全保障机制，推动党组织领导的依法自治和“乡贤”德治相结合的乡村治理体系，形成共建共治共享的乡村治理局面。</w:t>
      </w:r>
    </w:p>
    <w:p w14:paraId="2F8800EF">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pacing w:val="-6"/>
          <w:szCs w:val="28"/>
          <w14:textFill>
            <w14:solidFill>
              <w14:schemeClr w14:val="tx1"/>
            </w14:solidFill>
          </w14:textFill>
        </w:rPr>
      </w:pPr>
      <w:r>
        <w:rPr>
          <w:rFonts w:hint="eastAsia" w:ascii="楷体_GB2312" w:hAnsi="楷体_GB2312" w:eastAsia="楷体_GB2312" w:cs="楷体_GB2312"/>
          <w:b/>
          <w:bCs/>
          <w:szCs w:val="28"/>
        </w:rPr>
        <w:t>建设平安乡村。</w:t>
      </w:r>
      <w:r>
        <w:rPr>
          <w:rFonts w:hint="eastAsia" w:cs="仿宋_GB2312"/>
          <w:color w:val="000000" w:themeColor="text1"/>
          <w:szCs w:val="28"/>
          <w14:textFill>
            <w14:solidFill>
              <w14:schemeClr w14:val="tx1"/>
            </w14:solidFill>
          </w14:textFill>
        </w:rPr>
        <w:t>大力整治侵害农民权益行为，妥善化解土地承包、征地拆迁、环境污染等矛盾。深入开展法律进乡村活动，形成覆盖城乡、功能完备、便捷高效的巩固法律服务网络体系。严厉打击涉农违</w:t>
      </w:r>
      <w:r>
        <w:rPr>
          <w:rFonts w:hint="eastAsia" w:cs="仿宋_GB2312"/>
          <w:color w:val="000000" w:themeColor="text1"/>
          <w:spacing w:val="-6"/>
          <w:szCs w:val="28"/>
          <w14:textFill>
            <w14:solidFill>
              <w14:schemeClr w14:val="tx1"/>
            </w14:solidFill>
          </w14:textFill>
        </w:rPr>
        <w:t>法犯罪，巩固扩大扫黑除恶专项斗争战果。及时打击制售假劣农资违法违规行为，有效排查整治农村安全隐患。畅通农民群众诉求渠道，推行领导干部定期下基层接访制度，有效预防和减少因矛盾纠纷激化造成越级上访或群体性事件的发生，为实现乡村全面振兴奠定坚实基础。</w:t>
      </w:r>
    </w:p>
    <w:p w14:paraId="060DB044">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06" w:name="_Toc88315782"/>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提高农民生活水平</w:t>
      </w:r>
      <w:bookmarkEnd w:id="106"/>
    </w:p>
    <w:p w14:paraId="288765B1">
      <w:pPr>
        <w:pStyle w:val="57"/>
        <w:keepNext w:val="0"/>
        <w:keepLines w:val="0"/>
        <w:pageBreakBefore w:val="0"/>
        <w:widowControl w:val="0"/>
        <w:kinsoku/>
        <w:wordWrap w:val="0"/>
        <w:overflowPunct/>
        <w:topLinePunct/>
        <w:autoSpaceDE/>
        <w:autoSpaceDN/>
        <w:bidi w:val="0"/>
        <w:adjustRightInd/>
        <w:snapToGrid/>
        <w:spacing w:line="60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巩固拓展脱贫攻坚成果，坚决防止返贫、致贫。激活农村就业创业内生活力，从根本上提高农民收入水平。健全农村社会保障机制，使农民做到“老有所依、病有所治、困有所助”。繁荣农村文化，丰富农民精神文化生活。</w:t>
      </w:r>
    </w:p>
    <w:p w14:paraId="0D23F97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07" w:name="_Toc88315783"/>
      <w:r>
        <w:rPr>
          <w:rFonts w:hint="eastAsia" w:ascii="黑体" w:hAnsi="黑体" w:eastAsia="黑体" w:cs="黑体"/>
          <w:b w:val="0"/>
          <w:bCs w:val="0"/>
          <w:color w:val="000000" w:themeColor="text1"/>
          <w14:textFill>
            <w14:solidFill>
              <w14:schemeClr w14:val="tx1"/>
            </w14:solidFill>
          </w14:textFill>
        </w:rPr>
        <w:t>第一节  巩固拓展脱贫攻坚成果</w:t>
      </w:r>
      <w:bookmarkEnd w:id="107"/>
    </w:p>
    <w:p w14:paraId="194ED053">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健全返贫致贫预警机制</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保持好“湖南省脱贫攻坚先进县”的先进态势，继续做好防止返贫和防止致贫工作，建立返贫预警机制，对脱贫人口及贫困边缘人口实施追踪和动态监测，防止返贫和新致贫现象发生，保持脱贫成果稳定持续；为脱贫人口及贫困边缘人口制定相应的产业保、疾病保、助学保、农业保等保险，避免因病、因残及因市场风险等不可抗力因素导致的致贫、返贫现象发生。</w:t>
      </w:r>
    </w:p>
    <w:p w14:paraId="4F47ECA7">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把产业扶贫放在首位。</w:t>
      </w:r>
      <w:r>
        <w:rPr>
          <w:rFonts w:hint="eastAsia" w:cs="仿宋_GB2312"/>
          <w:color w:val="000000" w:themeColor="text1"/>
          <w:szCs w:val="28"/>
          <w14:textFill>
            <w14:solidFill>
              <w14:schemeClr w14:val="tx1"/>
            </w14:solidFill>
          </w14:textFill>
        </w:rPr>
        <w:t>建好扶贫产业园，健全完善利益联结、产销对接机制，带动贫困户跟着干、稳着赚。强化易地搬迁后续扶持力度，做好技能培训、社区融入等工作，实现搬迁户劳动力就业全覆盖，扎实开展“两不愁三保障”回头看大排查，全面巩固脱贫攻坚成果，实现共同富裕。</w:t>
      </w:r>
    </w:p>
    <w:p w14:paraId="1D764F28">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建立稳定扶贫脱贫长效机制。</w:t>
      </w:r>
      <w:r>
        <w:rPr>
          <w:rFonts w:hint="eastAsia" w:cs="仿宋_GB2312"/>
          <w:color w:val="000000" w:themeColor="text1"/>
          <w:szCs w:val="28"/>
          <w14:textFill>
            <w14:solidFill>
              <w14:schemeClr w14:val="tx1"/>
            </w14:solidFill>
          </w14:textFill>
        </w:rPr>
        <w:t>落实扶贫脱贫长效衔接机制，探索建立解决相对贫困特别是边缘户稳定脱贫的长效机制，推进脱贫攻坚同乡村振兴有效衔接。定期开展扶志教育活动，创办脱贫攻坚“农民夜校”“讲习所”等，加强思想、文化、道德、法律教育，弘扬自尊、自爱、自强精神，防止政策养懒汉、助长不劳而获和“等靠要”等不良习气；定期开展扶智教育活动，通过“请进来”和“走出去”方式，有针</w:t>
      </w:r>
      <w:r>
        <w:rPr>
          <w:rFonts w:hint="eastAsia" w:cs="仿宋_GB2312"/>
          <w:color w:val="000000" w:themeColor="text1"/>
          <w:szCs w:val="28"/>
          <w:lang w:eastAsia="zh-CN"/>
          <w14:textFill>
            <w14:solidFill>
              <w14:schemeClr w14:val="tx1"/>
            </w14:solidFill>
          </w14:textFill>
        </w:rPr>
        <w:t>对性地邀请</w:t>
      </w:r>
      <w:r>
        <w:rPr>
          <w:rFonts w:hint="eastAsia" w:cs="仿宋_GB2312"/>
          <w:color w:val="000000" w:themeColor="text1"/>
          <w:szCs w:val="28"/>
          <w14:textFill>
            <w14:solidFill>
              <w14:schemeClr w14:val="tx1"/>
            </w14:solidFill>
          </w14:textFill>
        </w:rPr>
        <w:t>农业、林业、畜牧专家进行专题培训，深入田间地头，现场指导。</w:t>
      </w:r>
    </w:p>
    <w:p w14:paraId="2C8976E3">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08" w:name="_Toc88315784"/>
      <w:r>
        <w:rPr>
          <w:rFonts w:hint="eastAsia" w:ascii="黑体" w:hAnsi="黑体" w:eastAsia="黑体" w:cs="黑体"/>
          <w:b w:val="0"/>
          <w:bCs w:val="0"/>
          <w:color w:val="000000" w:themeColor="text1"/>
          <w14:textFill>
            <w14:solidFill>
              <w14:schemeClr w14:val="tx1"/>
            </w14:solidFill>
          </w14:textFill>
        </w:rPr>
        <w:t>第二节  激活农村就业创业内生动力</w:t>
      </w:r>
      <w:bookmarkEnd w:id="108"/>
    </w:p>
    <w:p w14:paraId="4F77260A">
      <w:pPr>
        <w:pStyle w:val="57"/>
        <w:keepNext w:val="0"/>
        <w:keepLines w:val="0"/>
        <w:pageBreakBefore w:val="0"/>
        <w:widowControl w:val="0"/>
        <w:kinsoku/>
        <w:wordWrap w:val="0"/>
        <w:overflowPunct/>
        <w:topLinePunct/>
        <w:autoSpaceDE/>
        <w:autoSpaceDN/>
        <w:bidi w:val="0"/>
        <w:adjustRightInd/>
        <w:snapToGrid/>
        <w:spacing w:line="576"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优化农村创业服务环境。</w:t>
      </w:r>
      <w:r>
        <w:rPr>
          <w:rFonts w:hint="eastAsia" w:cs="仿宋_GB2312"/>
          <w:color w:val="000000" w:themeColor="text1"/>
          <w:szCs w:val="28"/>
          <w14:textFill>
            <w14:solidFill>
              <w14:schemeClr w14:val="tx1"/>
            </w14:solidFill>
          </w14:textFill>
        </w:rPr>
        <w:t>加速城镇化步伐，做好硬件建设，在县城和中心小城镇逐步进行创业园区和商品流通、专业批发市场的公共基础设施建设及改善投资硬环境，使小城镇成为回乡农民工办企业的聚集地。转变政府职能，增强服务意识，强化政府效能建设，转变工作职能，提升行政效率，简化投资手续，提高服务水平，克服部门关卡多、办事难等问题，强化市场、技术信息的服务职能，真正树立起小政府大服务目标，努力为回乡创业者提供各种便捷的服务，树立良好的区域形象。</w:t>
      </w:r>
    </w:p>
    <w:p w14:paraId="0340C265">
      <w:pPr>
        <w:pStyle w:val="57"/>
        <w:keepNext w:val="0"/>
        <w:keepLines w:val="0"/>
        <w:pageBreakBefore w:val="0"/>
        <w:widowControl w:val="0"/>
        <w:kinsoku/>
        <w:wordWrap w:val="0"/>
        <w:overflowPunct/>
        <w:topLinePunct/>
        <w:autoSpaceDE/>
        <w:autoSpaceDN/>
        <w:bidi w:val="0"/>
        <w:adjustRightInd/>
        <w:snapToGrid/>
        <w:spacing w:line="576"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搭建农村创业支持平台。</w:t>
      </w:r>
      <w:r>
        <w:rPr>
          <w:rFonts w:hint="eastAsia" w:cs="仿宋_GB2312"/>
          <w:color w:val="000000" w:themeColor="text1"/>
          <w:szCs w:val="28"/>
          <w14:textFill>
            <w14:solidFill>
              <w14:schemeClr w14:val="tx1"/>
            </w14:solidFill>
          </w14:textFill>
        </w:rPr>
        <w:t>搭建政府智库平台，有针对性地从高校或其他各类科技机构聘请一些专业技术人员对创业农民工开设专题讲座，现场指导解疑答难；畅通专家与农民工产业者的联系，以便遇到问题可以及时请教。乡镇政府多方位收集市场信息，通过印发简易的市场信息报、在乡镇政府设立市场信息专栏等方式及时把各种信息告知创业农民工，帮助他们开拓市场，把企业做强做大。</w:t>
      </w:r>
    </w:p>
    <w:p w14:paraId="7DD88AF3">
      <w:pPr>
        <w:pStyle w:val="57"/>
        <w:keepNext w:val="0"/>
        <w:keepLines w:val="0"/>
        <w:pageBreakBefore w:val="0"/>
        <w:widowControl w:val="0"/>
        <w:kinsoku/>
        <w:wordWrap w:val="0"/>
        <w:overflowPunct/>
        <w:topLinePunct/>
        <w:autoSpaceDE/>
        <w:autoSpaceDN/>
        <w:bidi w:val="0"/>
        <w:adjustRightInd/>
        <w:snapToGrid/>
        <w:spacing w:line="576"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拓宽农民创业融资渠道。</w:t>
      </w:r>
      <w:r>
        <w:rPr>
          <w:rFonts w:hint="eastAsia" w:cs="仿宋_GB2312"/>
          <w:color w:val="000000" w:themeColor="text1"/>
          <w:szCs w:val="28"/>
          <w14:textFill>
            <w14:solidFill>
              <w14:schemeClr w14:val="tx1"/>
            </w14:solidFill>
          </w14:textFill>
        </w:rPr>
        <w:t>召开政企对接会，以政策开路解决农民工创业资金来源；提供政府担保，对符合要求的农民工创业者从贷款额度、还贷时间上放宽限制，严格执行贷款审批程序，积极与经办银行开展贷前调查、贷后跟踪管理工作。强化宣传，广泛动员，充分利用各乡镇人力资源和社会保障平台作用，设立咨询服务窗口，为前来咨询的群众答疑解惑。</w:t>
      </w:r>
    </w:p>
    <w:p w14:paraId="527C77B5">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09" w:name="_Toc88315785"/>
      <w:r>
        <w:rPr>
          <w:rFonts w:hint="eastAsia" w:ascii="黑体" w:hAnsi="黑体" w:eastAsia="黑体" w:cs="黑体"/>
          <w:b w:val="0"/>
          <w:bCs w:val="0"/>
          <w:color w:val="000000" w:themeColor="text1"/>
          <w14:textFill>
            <w14:solidFill>
              <w14:schemeClr w14:val="tx1"/>
            </w14:solidFill>
          </w14:textFill>
        </w:rPr>
        <w:t>第三节  健全农村社会保障机制</w:t>
      </w:r>
      <w:bookmarkEnd w:id="109"/>
    </w:p>
    <w:p w14:paraId="0BF88621">
      <w:pPr>
        <w:pStyle w:val="57"/>
        <w:keepNext w:val="0"/>
        <w:keepLines w:val="0"/>
        <w:pageBreakBefore w:val="0"/>
        <w:widowControl w:val="0"/>
        <w:kinsoku/>
        <w:wordWrap w:val="0"/>
        <w:overflowPunct/>
        <w:topLinePunct/>
        <w:autoSpaceDE/>
        <w:autoSpaceDN/>
        <w:bidi w:val="0"/>
        <w:adjustRightInd/>
        <w:snapToGrid/>
        <w:spacing w:line="55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提升农村基本养老保障质量，在具备条件的乡镇、建制村建立乡村养老院。推动专项资金向基层医疗卫生体系倾斜，统筹推进综合医改，推进乡镇医疗室、卫生院一体化建设，增设基层医疗卫生机构，避免出现村医疗机构“空白点”；完善城乡居民基本医疗保险，落实重大疾病医疗保险和救助制度，提高城乡居民医疗保险补助标准及报销比例；加强基层卫生院人才的引进和培训力度，提高基层医护人员待遇，改善基层医护人员生活条件。完善社会救助体系，加强最低生活保障制度与医疗救助、住房救助、教育救助、司法救助制度的协调。</w:t>
      </w:r>
    </w:p>
    <w:p w14:paraId="353DC570">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4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10" w:name="_Toc88315786"/>
      <w:r>
        <w:rPr>
          <w:rFonts w:hint="eastAsia" w:ascii="黑体" w:hAnsi="黑体" w:eastAsia="黑体" w:cs="黑体"/>
          <w:b w:val="0"/>
          <w:bCs w:val="0"/>
          <w:color w:val="000000" w:themeColor="text1"/>
          <w14:textFill>
            <w14:solidFill>
              <w14:schemeClr w14:val="tx1"/>
            </w14:solidFill>
          </w14:textFill>
        </w:rPr>
        <w:t>第四节  繁荣和发展农村文化</w:t>
      </w:r>
      <w:bookmarkEnd w:id="110"/>
    </w:p>
    <w:p w14:paraId="2574DBEE">
      <w:pPr>
        <w:pStyle w:val="57"/>
        <w:keepNext w:val="0"/>
        <w:keepLines w:val="0"/>
        <w:pageBreakBefore w:val="0"/>
        <w:widowControl w:val="0"/>
        <w:kinsoku/>
        <w:wordWrap w:val="0"/>
        <w:overflowPunct/>
        <w:topLinePunct/>
        <w:autoSpaceDE/>
        <w:autoSpaceDN/>
        <w:bidi w:val="0"/>
        <w:adjustRightInd/>
        <w:snapToGrid/>
        <w:spacing w:line="54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创新实施文化惠民工程，采取政府购买服务方式，开展送文化下乡活动，建设一批农民工书屋、留守学生</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儿童</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之家，建成文化院坝、村</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社区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阅报栏，丰富农村文化设施，“七个一”工程效益提升发展，提高农民文化素质。深化社会主义精神文明建设，弘扬社会主义核心价值观，广泛开展群众性精神文明创建活动，提升公民文化素质。积极开展文明村镇创建活动。提升人民群众文明素质，深入开展爱国卫生运动，推进乡风文明提升工程，开展优秀传统文化进村活动，普及国学教育，倡导家风传承；保护和传承瑶族传统民族文化；修缮好贝溪起义旧址，深入挖掘、开发汾市南岸、竹树脚、麦市、花塘等红色资源，传承红色基因，讲好临武红色故事。</w:t>
      </w:r>
    </w:p>
    <w:p w14:paraId="126A535C">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sectPr>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42D12788">
      <w:pPr>
        <w:pStyle w:val="3"/>
        <w:keepNext w:val="0"/>
        <w:keepLines w:val="0"/>
        <w:pageBreakBefore w:val="0"/>
        <w:widowControl w:val="0"/>
        <w:numPr>
          <w:ilvl w:val="0"/>
          <w:numId w:val="0"/>
        </w:numPr>
        <w:kinsoku/>
        <w:wordWrap w:val="0"/>
        <w:overflowPunct/>
        <w:topLinePunct/>
        <w:autoSpaceDE/>
        <w:autoSpaceDN/>
        <w:bidi w:val="0"/>
        <w:spacing w:before="0" w:after="0" w:line="600" w:lineRule="exact"/>
        <w:ind w:leftChars="0"/>
        <w:rPr>
          <w:shd w:val="clear"/>
        </w:rPr>
      </w:pPr>
      <w:bookmarkStart w:id="111" w:name="_Toc88315787"/>
      <w:r>
        <w:rPr>
          <w:rFonts w:hint="eastAsia"/>
          <w:shd w:val="clear"/>
          <w:lang w:val="en-US" w:eastAsia="zh-CN"/>
        </w:rPr>
        <w:t xml:space="preserve">第七篇  </w:t>
      </w:r>
      <w:r>
        <w:rPr>
          <w:rFonts w:hint="eastAsia"/>
          <w:shd w:val="clear"/>
        </w:rPr>
        <w:t>加快建设高品质宜居县</w:t>
      </w:r>
      <w:bookmarkEnd w:id="111"/>
    </w:p>
    <w:p w14:paraId="1E111C6A">
      <w:pPr>
        <w:keepNext w:val="0"/>
        <w:keepLines w:val="0"/>
        <w:pageBreakBefore w:val="0"/>
        <w:widowControl w:val="0"/>
        <w:kinsoku/>
        <w:wordWrap/>
        <w:overflowPunct/>
        <w:topLinePunct w:val="0"/>
        <w:autoSpaceDE/>
        <w:autoSpaceDN/>
        <w:bidi w:val="0"/>
        <w:adjustRightInd/>
        <w:snapToGrid/>
        <w:spacing w:line="600" w:lineRule="exact"/>
        <w:textAlignment w:val="auto"/>
      </w:pPr>
    </w:p>
    <w:p w14:paraId="78A0775F">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深入推进以人为核心的新型城镇化，着力提升县城的综合承载能力，提升临武县城品质，壮大中心乡镇建设，促进农业转移人口市民化，推动新型城镇化高质量发展。</w:t>
      </w:r>
    </w:p>
    <w:p w14:paraId="18956524">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12" w:name="_Toc88315788"/>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提升城镇品质</w:t>
      </w:r>
      <w:bookmarkEnd w:id="112"/>
    </w:p>
    <w:p w14:paraId="7FB8D839">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围绕补短板、强功能、提品质，加快实施一批城市基础设施、公共服务设施和生态环境设施项目，加快老旧小区改造，实现城镇品质有效提升。</w:t>
      </w:r>
    </w:p>
    <w:p w14:paraId="1A25E21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13" w:name="_Toc88315789"/>
      <w:r>
        <w:rPr>
          <w:rFonts w:hint="eastAsia" w:ascii="黑体" w:hAnsi="黑体" w:eastAsia="黑体" w:cs="黑体"/>
          <w:b w:val="0"/>
          <w:bCs w:val="0"/>
          <w:color w:val="000000" w:themeColor="text1"/>
          <w14:textFill>
            <w14:solidFill>
              <w14:schemeClr w14:val="tx1"/>
            </w14:solidFill>
          </w14:textFill>
        </w:rPr>
        <w:t>第一节  实施老城区提质改造</w:t>
      </w:r>
      <w:bookmarkEnd w:id="113"/>
    </w:p>
    <w:p w14:paraId="4EA077E9">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推动老旧小区改造</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继续以“五创”为抓手，全面实施老城区、城中村、城郊村“美化、亮化、绿化、净化”工程，推动老旧小区、城中村市政配套基础设施改造。继续完善小区环境及配套设施改造建设、小区内建筑节能改造，并在有条件的楼栋加装电梯，提升小区服务供给与居民生活品质。</w:t>
      </w:r>
      <w:r>
        <w:rPr>
          <w:rFonts w:cs="仿宋_GB2312"/>
          <w:color w:val="000000" w:themeColor="text1"/>
          <w:szCs w:val="28"/>
          <w14:textFill>
            <w14:solidFill>
              <w14:schemeClr w14:val="tx1"/>
            </w14:solidFill>
          </w14:textFill>
        </w:rPr>
        <w:t>到2025年底力争完成82个老旧小区的改造工作。</w:t>
      </w:r>
    </w:p>
    <w:p w14:paraId="03678A44">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老城区基础设施改造。</w:t>
      </w:r>
      <w:r>
        <w:rPr>
          <w:rFonts w:hint="eastAsia" w:cs="仿宋_GB2312"/>
          <w:color w:val="000000" w:themeColor="text1"/>
          <w:szCs w:val="28"/>
          <w14:textFill>
            <w14:solidFill>
              <w14:schemeClr w14:val="tx1"/>
            </w14:solidFill>
          </w14:textFill>
        </w:rPr>
        <w:t>加快实施老城区基础设施改造。推动县城解放路以西老城区供水管网改造，解决县城老城区居民生活生产用水困难。完善城区交通路网，推动东云路西段城中村改造，完善隆武路、大武路附属设施，提高老城区交通服务效能。继续推进老城区黑臭水体治理、垃圾分类处理，加强地下管网、公共停车场等建设。</w:t>
      </w:r>
    </w:p>
    <w:p w14:paraId="410BC2A4">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老城区绿化提质改造。</w:t>
      </w:r>
      <w:r>
        <w:rPr>
          <w:rFonts w:hint="eastAsia" w:cs="仿宋_GB2312"/>
          <w:color w:val="000000" w:themeColor="text1"/>
          <w:szCs w:val="28"/>
          <w14:textFill>
            <w14:solidFill>
              <w14:schemeClr w14:val="tx1"/>
            </w14:solidFill>
          </w14:textFill>
        </w:rPr>
        <w:t>坚持“三高”“三化”“三精”原则进行老城区绿化提质改造。继续完善细节的“微建设”，合理利用闲置地块、插花地带，新建一批小绿地、小广场、小花园，提升城市品位。实施老城区绿化薄弱地区的绿化改造提升工程，完成老城区既有公园绿地的上水井、喷灌系统等配套设施建设，因地制宜推行建筑垂直绿化、屋顶绿化、窗台绿化等工作。到2025年，老城区道路绿化达标率在90%以上。</w:t>
      </w:r>
    </w:p>
    <w:p w14:paraId="18C2AB0A">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7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14" w:name="_Toc88315790"/>
      <w:r>
        <w:rPr>
          <w:rFonts w:hint="eastAsia" w:ascii="黑体" w:hAnsi="黑体" w:eastAsia="黑体" w:cs="黑体"/>
          <w:b w:val="0"/>
          <w:bCs w:val="0"/>
          <w:color w:val="000000" w:themeColor="text1"/>
          <w14:textFill>
            <w14:solidFill>
              <w14:schemeClr w14:val="tx1"/>
            </w14:solidFill>
          </w14:textFill>
        </w:rPr>
        <w:t>第二节  推动县城品质建设</w:t>
      </w:r>
      <w:bookmarkEnd w:id="114"/>
    </w:p>
    <w:p w14:paraId="1622FC1A">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建设海绵城市。</w:t>
      </w:r>
      <w:r>
        <w:rPr>
          <w:rFonts w:hint="eastAsia" w:cs="仿宋_GB2312"/>
          <w:color w:val="000000" w:themeColor="text1"/>
          <w:szCs w:val="28"/>
          <w14:textFill>
            <w14:solidFill>
              <w14:schemeClr w14:val="tx1"/>
            </w14:solidFill>
          </w14:textFill>
        </w:rPr>
        <w:t>坚持“低碳、生态”的城市建设理念，有效管理雨水及防治洪涝灾害，在县城新区、园区、成片开发区全面落实海绵城市建设要求，推进海绵型建筑和相关基础设施建设。全面开展新城区海绵城市规划项目，提升城区生态系统功能，全面构建雨水系统、城区雨水灌渠排水系统，超标准雨水径流排放系统，全力争取排水防涝系统化建设项目，健全排水防涝体系等海绵城市基础设施建设，提高居民生活品质和改善社区环境。</w:t>
      </w:r>
    </w:p>
    <w:p w14:paraId="7F7C4A1B">
      <w:pPr>
        <w:pStyle w:val="57"/>
        <w:keepNext w:val="0"/>
        <w:keepLines w:val="0"/>
        <w:pageBreakBefore w:val="0"/>
        <w:widowControl w:val="0"/>
        <w:kinsoku/>
        <w:wordWrap w:val="0"/>
        <w:overflowPunct/>
        <w:topLinePunct/>
        <w:autoSpaceDE/>
        <w:autoSpaceDN/>
        <w:bidi w:val="0"/>
        <w:adjustRightInd/>
        <w:snapToGrid/>
        <w:spacing w:line="614"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建设森林城市。</w:t>
      </w:r>
      <w:r>
        <w:rPr>
          <w:rFonts w:hint="eastAsia" w:cs="仿宋_GB2312"/>
          <w:color w:val="000000" w:themeColor="text1"/>
          <w:szCs w:val="28"/>
          <w14:textFill>
            <w14:solidFill>
              <w14:schemeClr w14:val="tx1"/>
            </w14:solidFill>
          </w14:textFill>
        </w:rPr>
        <w:t>坚持“山水城市”发展方向，做好创“国家森林城市”申报工作。积极推进新城区与西瑶绿谷国家森林公园、通天山、滴水岩瀑布群等旅游景区与城区协同发展。着力提升城市绿化率，加快兴建舜峰寨公园和大江山公园，优化新城区绿化布局，全面打造城市森林生态系统。到</w:t>
      </w:r>
      <w:r>
        <w:rPr>
          <w:rFonts w:cs="仿宋_GB2312"/>
          <w:color w:val="000000" w:themeColor="text1"/>
          <w:szCs w:val="28"/>
          <w14:textFill>
            <w14:solidFill>
              <w14:schemeClr w14:val="tx1"/>
            </w14:solidFill>
          </w14:textFill>
        </w:rPr>
        <w:t>2025年，城区绿化覆盖率超过50%，人均公园绿地面积达到15㎡以上，推</w:t>
      </w:r>
      <w:r>
        <w:rPr>
          <w:rFonts w:hint="eastAsia" w:ascii="仿宋_GB2312" w:hAnsi="仿宋_GB2312" w:eastAsia="仿宋_GB2312" w:cs="仿宋_GB2312"/>
          <w:color w:val="000000" w:themeColor="text1"/>
          <w:szCs w:val="28"/>
          <w14:textFill>
            <w14:solidFill>
              <w14:schemeClr w14:val="tx1"/>
            </w14:solidFill>
          </w14:textFill>
        </w:rPr>
        <w:t>进“千村美丽、万村整治”工程</w:t>
      </w:r>
      <w:r>
        <w:rPr>
          <w:rFonts w:cs="仿宋_GB2312"/>
          <w:color w:val="000000" w:themeColor="text1"/>
          <w:szCs w:val="28"/>
          <w14:textFill>
            <w14:solidFill>
              <w14:schemeClr w14:val="tx1"/>
            </w14:solidFill>
          </w14:textFill>
        </w:rPr>
        <w:t>。</w:t>
      </w:r>
    </w:p>
    <w:p w14:paraId="43646152">
      <w:pPr>
        <w:pStyle w:val="57"/>
        <w:keepNext w:val="0"/>
        <w:keepLines w:val="0"/>
        <w:pageBreakBefore w:val="0"/>
        <w:widowControl w:val="0"/>
        <w:kinsoku/>
        <w:wordWrap w:val="0"/>
        <w:overflowPunct/>
        <w:topLinePunct/>
        <w:autoSpaceDE/>
        <w:autoSpaceDN/>
        <w:bidi w:val="0"/>
        <w:adjustRightInd/>
        <w:snapToGrid/>
        <w:spacing w:line="614"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建设智慧城市。</w:t>
      </w:r>
      <w:r>
        <w:rPr>
          <w:rFonts w:hint="eastAsia" w:cs="仿宋_GB2312"/>
          <w:color w:val="000000" w:themeColor="text1"/>
          <w:szCs w:val="28"/>
          <w14:textFill>
            <w14:solidFill>
              <w14:schemeClr w14:val="tx1"/>
            </w14:solidFill>
          </w14:textFill>
        </w:rPr>
        <w:t>统筹临武县的物质资源、信息资源，推动5g、物联网、云计算、大数据等新一代信息技术创新应用，实现与经济社会发展深度融合。全面推进各部门、各行业信息化建设，全面推动信息化与城镇化结合、信息化与工业化融合，全面启动信息网络、数据中心等信息基础设施建设，增强信息系统与信息资源的安全能力。</w:t>
      </w:r>
    </w:p>
    <w:p w14:paraId="5C14B8F8">
      <w:pPr>
        <w:pStyle w:val="57"/>
        <w:keepNext w:val="0"/>
        <w:keepLines w:val="0"/>
        <w:pageBreakBefore w:val="0"/>
        <w:widowControl w:val="0"/>
        <w:kinsoku/>
        <w:wordWrap w:val="0"/>
        <w:overflowPunct/>
        <w:topLinePunct/>
        <w:autoSpaceDE/>
        <w:autoSpaceDN/>
        <w:bidi w:val="0"/>
        <w:adjustRightInd/>
        <w:snapToGrid/>
        <w:spacing w:line="614"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建设低碳城市。</w:t>
      </w:r>
      <w:r>
        <w:rPr>
          <w:rFonts w:hint="eastAsia" w:cs="仿宋_GB2312"/>
          <w:color w:val="000000" w:themeColor="text1"/>
          <w:szCs w:val="28"/>
          <w14:textFill>
            <w14:solidFill>
              <w14:schemeClr w14:val="tx1"/>
            </w14:solidFill>
          </w14:textFill>
        </w:rPr>
        <w:t>将低碳发展理念全面融入城市发展，构建低碳生产方式、生活方式和消费模式。加快建设可再生能源体系，推动分布式太阳能、风能多元化、规模化应用，提高新能源和可再生能源利用比例。实施绿色建筑行动计划，完善绿色建筑标准，大力发展绿色建材，强力推进建筑低碳化。倡导低碳绿色出行，改善步行、自行车出行条件。完善废旧物品回收与垃圾分类系统。继续巩固县城全面禁燃禁放成果，不断提升城市低碳水平。</w:t>
      </w:r>
    </w:p>
    <w:p w14:paraId="5B9B9A89">
      <w:pPr>
        <w:pStyle w:val="57"/>
        <w:keepNext w:val="0"/>
        <w:keepLines w:val="0"/>
        <w:pageBreakBefore w:val="0"/>
        <w:widowControl w:val="0"/>
        <w:kinsoku/>
        <w:wordWrap w:val="0"/>
        <w:overflowPunct/>
        <w:topLinePunct/>
        <w:autoSpaceDE/>
        <w:autoSpaceDN/>
        <w:bidi w:val="0"/>
        <w:adjustRightInd/>
        <w:snapToGrid/>
        <w:spacing w:line="614"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加强无障碍城市。</w:t>
      </w:r>
      <w:r>
        <w:rPr>
          <w:rFonts w:hint="eastAsia" w:cs="仿宋_GB2312"/>
          <w:color w:val="000000" w:themeColor="text1"/>
          <w:szCs w:val="28"/>
          <w14:textFill>
            <w14:solidFill>
              <w14:schemeClr w14:val="tx1"/>
            </w14:solidFill>
          </w14:textFill>
        </w:rPr>
        <w:t>加大政府投入力度，积极引导社会力量参与无障碍环境建设，推动无障碍环境建设健康发展。推动政府和社会公共服务场所无障碍建设，着力推动无障碍通道、设施和标志、公共交通无障碍设配、盲道铺设、家庭无障碍设施改造，强化无障碍设施日常维护与管理，加大无障碍信息建设。</w:t>
      </w:r>
    </w:p>
    <w:p w14:paraId="36BB4F8A">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2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15" w:name="_Toc88315791"/>
      <w:r>
        <w:rPr>
          <w:rFonts w:hint="eastAsia" w:ascii="黑体" w:hAnsi="黑体" w:eastAsia="黑体" w:cs="黑体"/>
          <w:b w:val="0"/>
          <w:bCs w:val="0"/>
          <w:color w:val="000000" w:themeColor="text1"/>
          <w14:textFill>
            <w14:solidFill>
              <w14:schemeClr w14:val="tx1"/>
            </w14:solidFill>
          </w14:textFill>
        </w:rPr>
        <w:t>第三节  快速推进产镇融合</w:t>
      </w:r>
      <w:bookmarkEnd w:id="115"/>
    </w:p>
    <w:p w14:paraId="28E9EBF6">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以产业为支撑大力推进“产镇联动”，明确产业与城镇功能、确定产业在城镇地位，打造产镇并进、以产促镇、以镇兴产的发展新格局。推进产业功能区依托镇区、产业功能区发展带动镇区协调发展，推进产业功能区基础设施配套，打造集约利用与人口集中的聚集镇区。围绕产业和产品，推动特色产业小镇建设。提升城乡接合部规划建设和管理服务水平，促进社区化发展。</w:t>
      </w:r>
    </w:p>
    <w:p w14:paraId="518FC475">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2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16" w:name="_Toc88315792"/>
      <w:r>
        <w:rPr>
          <w:rFonts w:hint="eastAsia" w:ascii="黑体" w:hAnsi="黑体" w:eastAsia="黑体" w:cs="黑体"/>
          <w:b w:val="0"/>
          <w:bCs w:val="0"/>
          <w:color w:val="000000" w:themeColor="text1"/>
          <w14:textFill>
            <w14:solidFill>
              <w14:schemeClr w14:val="tx1"/>
            </w14:solidFill>
          </w14:textFill>
        </w:rPr>
        <w:t>第四节  推动中心乡镇建设</w:t>
      </w:r>
      <w:bookmarkEnd w:id="116"/>
    </w:p>
    <w:p w14:paraId="356090C3">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hint="eastAsia"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逐步增强乡镇对周边农村地区的辐射带动能力，建设中心乡镇。推动乡镇重点产业向精深加工延伸产业链，深化产业分工层次，依托重点产业带动乡镇发展。继续加强乡镇重点产业与乡镇基础设施连接和公共服务共享，推进县域交通发展，培育形成通勤高效、一体发展的乡镇圈。加强市政基础设施和公共服务设施建设，教育医疗等公共资源配置向中心乡镇倾斜。加强各乡镇与临武县城发展的统筹规划相结合，通过规划引导、市场运作，逐步把各乡镇培育成为文化旅游、商贸物流、资源加工、交通枢纽等专业特色镇。</w:t>
      </w:r>
    </w:p>
    <w:p w14:paraId="19929365">
      <w:pPr>
        <w:rPr>
          <w:rFonts w:hint="eastAsia"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br w:type="page"/>
      </w:r>
    </w:p>
    <w:p w14:paraId="17D22700">
      <w:pPr>
        <w:pStyle w:val="4"/>
        <w:keepNext w:val="0"/>
        <w:keepLines w:val="0"/>
        <w:pageBreakBefore w:val="0"/>
        <w:widowControl w:val="0"/>
        <w:kinsoku/>
        <w:wordWrap w:val="0"/>
        <w:overflowPunct/>
        <w:topLinePunct/>
        <w:autoSpaceDE/>
        <w:autoSpaceDN/>
        <w:bidi w:val="0"/>
        <w:adjustRightInd/>
        <w:snapToGrid/>
        <w:spacing w:before="0" w:after="313" w:afterLines="100" w:line="60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17" w:name="_Toc88315793"/>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提升农业转移人口市民化质量</w:t>
      </w:r>
      <w:bookmarkEnd w:id="117"/>
    </w:p>
    <w:p w14:paraId="0D1AACA5">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坚持以人为核心，有序有效深化户籍、教育、医疗、住房、创业、公共服务等方面的体制改革，增强城镇人口吸引力。创建完备保障体系，加大财政支持力度，不断提升农业转移人口市民化质量。</w:t>
      </w:r>
    </w:p>
    <w:p w14:paraId="3294622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18" w:name="_Toc88315794"/>
      <w:r>
        <w:rPr>
          <w:rFonts w:hint="eastAsia" w:ascii="黑体" w:hAnsi="黑体" w:eastAsia="黑体" w:cs="黑体"/>
          <w:b w:val="0"/>
          <w:bCs w:val="0"/>
          <w:color w:val="000000" w:themeColor="text1"/>
          <w14:textFill>
            <w14:solidFill>
              <w14:schemeClr w14:val="tx1"/>
            </w14:solidFill>
          </w14:textFill>
        </w:rPr>
        <w:t>第一节  增强城镇人口吸引力</w:t>
      </w:r>
      <w:bookmarkEnd w:id="118"/>
    </w:p>
    <w:p w14:paraId="703ACF34">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强化基本公共服务保障。</w:t>
      </w:r>
      <w:r>
        <w:rPr>
          <w:rFonts w:hint="eastAsia" w:cs="仿宋_GB2312"/>
          <w:color w:val="000000" w:themeColor="text1"/>
          <w:szCs w:val="28"/>
          <w14:textFill>
            <w14:solidFill>
              <w14:schemeClr w14:val="tx1"/>
            </w14:solidFill>
          </w14:textFill>
        </w:rPr>
        <w:t>继续深化临武县公共服务均等化改革，加快补齐公共服务短板，完善城镇服务功能，提高城市公共服务水平。全面推动未落户常住人口逐步享有与户籍人口同等的城镇基本公共服务，保障转移人口享有的基本公共服务和便利。营造制度环境、政策环境、金融环境和文化氛围，全面推进公共服务均等化。</w:t>
      </w:r>
    </w:p>
    <w:p w14:paraId="0352193E">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增加城镇教育设施供给。</w:t>
      </w:r>
      <w:r>
        <w:rPr>
          <w:rFonts w:hint="eastAsia" w:cs="仿宋_GB2312"/>
          <w:color w:val="000000" w:themeColor="text1"/>
          <w:szCs w:val="28"/>
          <w14:textFill>
            <w14:solidFill>
              <w14:schemeClr w14:val="tx1"/>
            </w14:solidFill>
          </w14:textFill>
        </w:rPr>
        <w:t>继续推进临武县教育规划与城乡均衡化发展。坚持以流入地政府、公办学校为主，增加学位供给。加快城镇公办幼儿园和义务教育学位建设，健全进城农民子女入学政策，保障居住证持有人子女享有同等受教育权利。继续提高公办学校比例，大力发展学校基础设施建设，对原有学校进行扩容，增加城镇教育设施对转移人口供给。</w:t>
      </w:r>
    </w:p>
    <w:p w14:paraId="51CCB1A0">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提升城镇医疗服务水平。</w:t>
      </w:r>
      <w:r>
        <w:rPr>
          <w:rFonts w:hint="eastAsia" w:cs="仿宋_GB2312"/>
          <w:color w:val="000000" w:themeColor="text1"/>
          <w:szCs w:val="28"/>
          <w14:textFill>
            <w14:solidFill>
              <w14:schemeClr w14:val="tx1"/>
            </w14:solidFill>
          </w14:textFill>
        </w:rPr>
        <w:t>加快县级综合医院医疗卫生项目建设，提升城镇优质医疗服务水平。坚持以人民健康为中心，加快建成覆盖全民、权责清晰、保障适度、可持续的多层次医疗保障体系。通过统一制度、完善政策、健全机制、提升服务，增强医疗保障的公平性、协调性，推进医疗保障和医药服务高质量协同发展。</w:t>
      </w:r>
    </w:p>
    <w:p w14:paraId="364B266F">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19" w:name="_Toc88315795"/>
      <w:r>
        <w:rPr>
          <w:rFonts w:hint="eastAsia" w:ascii="黑体" w:hAnsi="黑体" w:eastAsia="黑体" w:cs="黑体"/>
          <w:b w:val="0"/>
          <w:bCs w:val="0"/>
          <w:color w:val="000000" w:themeColor="text1"/>
          <w14:textFill>
            <w14:solidFill>
              <w14:schemeClr w14:val="tx1"/>
            </w14:solidFill>
          </w14:textFill>
        </w:rPr>
        <w:t>第二节  深化城镇制度改革</w:t>
      </w:r>
      <w:bookmarkEnd w:id="119"/>
    </w:p>
    <w:p w14:paraId="570DB5DA">
      <w:pPr>
        <w:pStyle w:val="57"/>
        <w:keepNext w:val="0"/>
        <w:keepLines w:val="0"/>
        <w:pageBreakBefore w:val="0"/>
        <w:widowControl w:val="0"/>
        <w:kinsoku/>
        <w:wordWrap w:val="0"/>
        <w:overflowPunct/>
        <w:topLinePunct/>
        <w:autoSpaceDE/>
        <w:autoSpaceDN/>
        <w:bidi w:val="0"/>
        <w:adjustRightInd/>
        <w:snapToGrid/>
        <w:spacing w:line="63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推进人口管理制度改革。</w:t>
      </w:r>
      <w:r>
        <w:rPr>
          <w:rFonts w:hint="eastAsia" w:cs="仿宋_GB2312"/>
          <w:color w:val="000000" w:themeColor="text1"/>
          <w:szCs w:val="28"/>
          <w14:textFill>
            <w14:solidFill>
              <w14:schemeClr w14:val="tx1"/>
            </w14:solidFill>
          </w14:textFill>
        </w:rPr>
        <w:t>促进农业转移人口和其他常住人口在城镇落户。加快推进户口登记管理清理整顿工作，完善户口登记管理工作监管机制，简化户籍迁移手续，提高户籍管理精准度。大力推进不愿在城镇落户的转移人口市民化，加大户籍制度政策宣传，扩大政策影响范围和社会覆盖面，促进农业转移人口落户城区。</w:t>
      </w:r>
    </w:p>
    <w:p w14:paraId="07AAADA4">
      <w:pPr>
        <w:pStyle w:val="57"/>
        <w:keepNext w:val="0"/>
        <w:keepLines w:val="0"/>
        <w:pageBreakBefore w:val="0"/>
        <w:widowControl w:val="0"/>
        <w:kinsoku/>
        <w:wordWrap w:val="0"/>
        <w:overflowPunct/>
        <w:topLinePunct/>
        <w:autoSpaceDE/>
        <w:autoSpaceDN/>
        <w:bidi w:val="0"/>
        <w:adjustRightInd/>
        <w:snapToGrid/>
        <w:spacing w:line="63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健全城镇住房制度。</w:t>
      </w:r>
      <w:r>
        <w:rPr>
          <w:rFonts w:hint="eastAsia" w:cs="仿宋_GB2312"/>
          <w:color w:val="000000" w:themeColor="text1"/>
          <w:szCs w:val="28"/>
          <w14:textFill>
            <w14:solidFill>
              <w14:schemeClr w14:val="tx1"/>
            </w14:solidFill>
          </w14:textFill>
        </w:rPr>
        <w:t>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推进公租房货币化补贴提标扩面，放宽公租房准入条件，加快培育住房租赁市场，将在城镇稳定就业的外来务工人员纳入住房保障范围，加大对农民工等新市民公租房保障力度。</w:t>
      </w:r>
    </w:p>
    <w:p w14:paraId="2F914799">
      <w:pPr>
        <w:pStyle w:val="57"/>
        <w:keepNext w:val="0"/>
        <w:keepLines w:val="0"/>
        <w:pageBreakBefore w:val="0"/>
        <w:widowControl w:val="0"/>
        <w:kinsoku/>
        <w:wordWrap w:val="0"/>
        <w:overflowPunct/>
        <w:topLinePunct/>
        <w:autoSpaceDE/>
        <w:autoSpaceDN/>
        <w:bidi w:val="0"/>
        <w:adjustRightInd/>
        <w:snapToGrid/>
        <w:spacing w:line="63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营造良好就业创业环境。</w:t>
      </w:r>
      <w:r>
        <w:rPr>
          <w:rFonts w:hint="eastAsia" w:cs="仿宋_GB2312"/>
          <w:color w:val="000000" w:themeColor="text1"/>
          <w:szCs w:val="28"/>
          <w14:textFill>
            <w14:solidFill>
              <w14:schemeClr w14:val="tx1"/>
            </w14:solidFill>
          </w14:textFill>
        </w:rPr>
        <w:t>引导劳动者合理有序经营，落实好已出台的各项纾困政策。对高校毕业生、农民工、下岗失业人员等重点群体从事个体经营的，按规定给予创业补贴、担保贷款、税收优惠等支持。加快建设“互联网+就业”公共服务体系，对网络零售、移动出行、线上教育培训、在线医疗等新就业形态实行包容审慎监管，激励互联网平台创造更多灵活就业岗位。动态发布社会需要的新职业，开展有针对性培训，增强群众灵活就业能力。</w:t>
      </w:r>
    </w:p>
    <w:p w14:paraId="3FB7F488">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20" w:name="_Toc88315796"/>
      <w:r>
        <w:rPr>
          <w:rFonts w:hint="eastAsia" w:ascii="黑体" w:hAnsi="黑体" w:eastAsia="黑体" w:cs="黑体"/>
          <w:b w:val="0"/>
          <w:bCs w:val="0"/>
          <w:color w:val="000000" w:themeColor="text1"/>
          <w14:textFill>
            <w14:solidFill>
              <w14:schemeClr w14:val="tx1"/>
            </w14:solidFill>
          </w14:textFill>
        </w:rPr>
        <w:t>第三节  建设完备保障体系</w:t>
      </w:r>
      <w:bookmarkEnd w:id="120"/>
    </w:p>
    <w:p w14:paraId="3C14B7EE">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加大财政支撑力度。</w:t>
      </w:r>
      <w:r>
        <w:rPr>
          <w:rFonts w:hint="eastAsia" w:cs="仿宋_GB2312"/>
          <w:color w:val="000000" w:themeColor="text1"/>
          <w:szCs w:val="28"/>
          <w14:textFill>
            <w14:solidFill>
              <w14:schemeClr w14:val="tx1"/>
            </w14:solidFill>
          </w14:textFill>
        </w:rPr>
        <w:t>加快财税体制和投融资机制改革，创新金融服务，放开市场准入，逐步建立多元化、可持续的城镇化资金保障机制。按照事权与支出责任相适应的原则，合理确定各级政府在教育、基本医疗、社会保障等公共服务方面的事权，建立健全城镇基本公共服务支出分担机制，完善财政转移支付制度。创新金融服务和产品，多渠道推动股权融资。</w:t>
      </w:r>
    </w:p>
    <w:p w14:paraId="33E7242D">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强化社区自治和服务功能</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继续推进社区居民依法民主管理社区公共事务和公益事业。加快公共服务向社区延伸，整合人口、劳动就业、社保、民政、卫生计生、文化等管理职能和服务资源。加快智慧社区建设，构建社区综合服务管理平台。加强社区社会工作专业人才和志愿者队伍建设，推进社区工作人员专业化和职业化。</w:t>
      </w:r>
    </w:p>
    <w:p w14:paraId="0CEB8D53">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创新社会治安综合治理</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继续深化源头治理、动态协调、应急处置相互衔接、相互支撑的社会治安综合治理机制。继续完善立体化社会治安防控体系，创新治理方式，结合大数据、5G技术促进多部门协同的智慧城市管理。鼓励社会力量积极参与社会治安综合治理。及时解决影响人民群众安全的社会治安问题，加强对城市治安复杂部位的治安整治和管理。加大依法管理网络力度，加快完善互联网管理领导体制，确保国家网络和信息安全。</w:t>
      </w:r>
    </w:p>
    <w:p w14:paraId="7369037C">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p>
    <w:p w14:paraId="50668B45">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sectPr>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296AE36F">
      <w:pPr>
        <w:pStyle w:val="3"/>
        <w:keepNext w:val="0"/>
        <w:keepLines w:val="0"/>
        <w:pageBreakBefore w:val="0"/>
        <w:widowControl w:val="0"/>
        <w:numPr>
          <w:ilvl w:val="0"/>
          <w:numId w:val="0"/>
        </w:numPr>
        <w:kinsoku/>
        <w:wordWrap w:val="0"/>
        <w:overflowPunct/>
        <w:topLinePunct/>
        <w:autoSpaceDE/>
        <w:autoSpaceDN/>
        <w:bidi w:val="0"/>
        <w:adjustRightInd/>
        <w:snapToGrid/>
        <w:spacing w:before="0" w:after="313" w:afterLines="100" w:line="600" w:lineRule="exact"/>
        <w:ind w:leftChars="0"/>
        <w:textAlignment w:val="auto"/>
        <w:rPr>
          <w:shd w:val="clear"/>
        </w:rPr>
      </w:pPr>
      <w:bookmarkStart w:id="121" w:name="_Toc88315797"/>
      <w:r>
        <w:rPr>
          <w:rFonts w:hint="eastAsia"/>
          <w:shd w:val="clear"/>
          <w:lang w:val="en-US" w:eastAsia="zh-CN"/>
        </w:rPr>
        <w:t xml:space="preserve">第八篇  </w:t>
      </w:r>
      <w:r>
        <w:rPr>
          <w:rFonts w:hint="eastAsia"/>
          <w:shd w:val="clear"/>
        </w:rPr>
        <w:t>全面提升基础设施承载能力</w:t>
      </w:r>
      <w:bookmarkEnd w:id="121"/>
    </w:p>
    <w:p w14:paraId="2A704878">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围绕城镇化补短板，继续完善基础设施建设，推动“两新一重”，构建便捷交通、现代城镇市政设施、新型基础设施等，为经济社会发展提供高质量的基础保障。</w:t>
      </w:r>
    </w:p>
    <w:p w14:paraId="4BCE3B7F">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22" w:name="_Toc88315798"/>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构建立体交通大枢纽</w:t>
      </w:r>
      <w:bookmarkEnd w:id="122"/>
    </w:p>
    <w:p w14:paraId="33EB74B5">
      <w:pPr>
        <w:pStyle w:val="57"/>
        <w:keepNext w:val="0"/>
        <w:keepLines w:val="0"/>
        <w:pageBreakBefore w:val="0"/>
        <w:widowControl w:val="0"/>
        <w:kinsoku/>
        <w:wordWrap w:val="0"/>
        <w:overflowPunct/>
        <w:topLinePunct/>
        <w:autoSpaceDE/>
        <w:autoSpaceDN/>
        <w:bidi w:val="0"/>
        <w:adjustRightInd/>
        <w:snapToGrid/>
        <w:spacing w:line="56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加速构建对外快速通道、畅通乡镇交通网络，提高交通运输服务水平，形成综合立体交通网络新格局。</w:t>
      </w:r>
    </w:p>
    <w:p w14:paraId="7D7A368E">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对外交通。</w:t>
      </w:r>
      <w:r>
        <w:rPr>
          <w:rFonts w:hint="eastAsia" w:cs="仿宋_GB2312"/>
          <w:color w:val="000000" w:themeColor="text1"/>
          <w:szCs w:val="28"/>
          <w14:textFill>
            <w14:solidFill>
              <w14:schemeClr w14:val="tx1"/>
            </w14:solidFill>
          </w14:textFill>
        </w:rPr>
        <w:t>为打造临武县多层次交通通道，进一步拉通对外交通骨架，推动临武通用机场建设项目，推动广清永高铁过境临武。积极推动临武县城至郴州机场快速干线建设。积极推动西瑶到瑶安对外公路建设。全力推进铁路到临武工业园区项目建设。</w:t>
      </w:r>
    </w:p>
    <w:p w14:paraId="4B88D760">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内部交通。</w:t>
      </w:r>
      <w:r>
        <w:rPr>
          <w:rFonts w:hint="eastAsia" w:cs="仿宋_GB2312"/>
          <w:color w:val="000000" w:themeColor="text1"/>
          <w:szCs w:val="28"/>
          <w14:textFill>
            <w14:solidFill>
              <w14:schemeClr w14:val="tx1"/>
            </w14:solidFill>
          </w14:textFill>
        </w:rPr>
        <w:t>围绕“四横四纵”交通架构，全力推进城镇公路网建设。推动G234线粗石江至毛吉岭公路改建工程、S219线朱禾铺至粗石江公路改建工程、S215线石桥头至同益公路改建工程、S566线唐家至老屋场公路改建工程、X085线延伸段花塘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临叉公路、S219线古老坪至宜章毛坪公路改建工程、S568线临武梓木至马家公路建设项目、X085衫木溪</w:t>
      </w:r>
      <w:r>
        <w:rPr>
          <w:rFonts w:hint="eastAsia" w:cs="仿宋_GB2312"/>
          <w:szCs w:val="28"/>
        </w:rPr>
        <w:t>—</w:t>
      </w:r>
      <w:r>
        <w:rPr>
          <w:rFonts w:hint="eastAsia" w:cs="仿宋_GB2312"/>
          <w:color w:val="000000" w:themeColor="text1"/>
          <w:szCs w:val="28"/>
          <w14:textFill>
            <w14:solidFill>
              <w14:schemeClr w14:val="tx1"/>
            </w14:solidFill>
          </w14:textFill>
        </w:rPr>
        <w:t>花塘铺公路、X086龟头坳</w:t>
      </w:r>
      <w:r>
        <w:rPr>
          <w:rFonts w:hint="eastAsia" w:cs="仿宋_GB2312"/>
          <w:szCs w:val="28"/>
        </w:rPr>
        <w:t>—</w:t>
      </w:r>
      <w:r>
        <w:rPr>
          <w:rFonts w:hint="eastAsia" w:cs="仿宋_GB2312"/>
          <w:color w:val="000000" w:themeColor="text1"/>
          <w:szCs w:val="28"/>
          <w14:textFill>
            <w14:solidFill>
              <w14:schemeClr w14:val="tx1"/>
            </w14:solidFill>
          </w14:textFill>
        </w:rPr>
        <w:t>横头公路、X083石珠堆</w:t>
      </w:r>
      <w:r>
        <w:rPr>
          <w:rFonts w:hint="eastAsia" w:cs="仿宋_GB2312"/>
          <w:szCs w:val="28"/>
        </w:rPr>
        <w:t>—</w:t>
      </w:r>
      <w:r>
        <w:rPr>
          <w:rFonts w:hint="eastAsia" w:cs="仿宋_GB2312"/>
          <w:color w:val="000000" w:themeColor="text1"/>
          <w:szCs w:val="28"/>
          <w14:textFill>
            <w14:solidFill>
              <w14:schemeClr w14:val="tx1"/>
            </w14:solidFill>
          </w14:textFill>
        </w:rPr>
        <w:t>水东敬老院公路、X082万水</w:t>
      </w:r>
      <w:r>
        <w:rPr>
          <w:rFonts w:hint="eastAsia" w:cs="仿宋_GB2312"/>
          <w:szCs w:val="28"/>
        </w:rPr>
        <w:t>—</w:t>
      </w:r>
      <w:r>
        <w:rPr>
          <w:rFonts w:hint="eastAsia" w:cs="仿宋_GB2312"/>
          <w:color w:val="000000" w:themeColor="text1"/>
          <w:szCs w:val="28"/>
          <w14:textFill>
            <w14:solidFill>
              <w14:schemeClr w14:val="tx1"/>
            </w14:solidFill>
          </w14:textFill>
        </w:rPr>
        <w:t>醉乐亭公路建设，打造县域广覆盖公路网络。</w:t>
      </w:r>
    </w:p>
    <w:p w14:paraId="1F823176">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旅游公路。</w:t>
      </w:r>
      <w:r>
        <w:rPr>
          <w:rFonts w:hint="eastAsia" w:cs="仿宋_GB2312"/>
          <w:color w:val="000000" w:themeColor="text1"/>
          <w:szCs w:val="28"/>
          <w14:textFill>
            <w14:solidFill>
              <w14:schemeClr w14:val="tx1"/>
            </w14:solidFill>
          </w14:textFill>
        </w:rPr>
        <w:t>全力推动旅游公路建设。推动西瑶乡桑水至西瑶乡寺弯村旅游线路建设项目，提升县域旅游公路舒适性与快捷性。推进通天山景区旅游公路提质改造，提升县域旅游公路等级质量。</w:t>
      </w:r>
    </w:p>
    <w:p w14:paraId="3A50B634">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公共交通。</w:t>
      </w:r>
      <w:r>
        <w:rPr>
          <w:rFonts w:hint="eastAsia" w:cs="仿宋_GB2312"/>
          <w:color w:val="000000" w:themeColor="text1"/>
          <w:szCs w:val="28"/>
          <w14:textFill>
            <w14:solidFill>
              <w14:schemeClr w14:val="tx1"/>
            </w14:solidFill>
          </w14:textFill>
        </w:rPr>
        <w:t>加快推进公交车场、公交站点建设和公交站牌标准化改造。建设智能公交系统，逐步建立公交运营调度、线路运行显示、枢纽站导乘、出行查询服务等系统。</w:t>
      </w:r>
    </w:p>
    <w:p w14:paraId="3390A118">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绿色交通。</w:t>
      </w:r>
      <w:r>
        <w:rPr>
          <w:rFonts w:hint="eastAsia" w:cs="仿宋_GB2312"/>
          <w:color w:val="000000" w:themeColor="text1"/>
          <w:szCs w:val="28"/>
          <w14:textFill>
            <w14:solidFill>
              <w14:schemeClr w14:val="tx1"/>
            </w14:solidFill>
          </w14:textFill>
        </w:rPr>
        <w:t>加快新能源汽车、智慧公用自行车推广，提高能源公交车辆比重，扩大出租车、环卫车等领域新能源汽车使用比例。加快新能源汽车充电设施规划建设，建设电动汽车充电基础设施。提升改造步行与自行车系统。</w:t>
      </w:r>
    </w:p>
    <w:p w14:paraId="54D2AFF6">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智慧交通。</w:t>
      </w:r>
      <w:r>
        <w:rPr>
          <w:rFonts w:hint="eastAsia" w:cs="仿宋_GB2312"/>
          <w:color w:val="000000" w:themeColor="text1"/>
          <w:szCs w:val="28"/>
          <w14:textFill>
            <w14:solidFill>
              <w14:schemeClr w14:val="tx1"/>
            </w14:solidFill>
          </w14:textFill>
        </w:rPr>
        <w:t>运用信息技术大力提升交通设施的使用效率，依托综合交通信息网络与大数据中心，全面推动融合智慧停车、智慧交管等系统建设，积极构建智慧交通体系。围绕构建“共建共享”智慧治理新格局，打造智能交通信号灯、电子警察监控系统，建设违停抓拍视频监控系统等多位一体城市新场景智慧应用。</w:t>
      </w:r>
    </w:p>
    <w:p w14:paraId="3913B7E0">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color w:val="000000" w:themeColor="text1"/>
          <w:szCs w:val="28"/>
          <w14:textFill>
            <w14:solidFill>
              <w14:schemeClr w14:val="tx1"/>
            </w14:solidFill>
          </w14:textFill>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color w:val="000000" w:themeColor="text1"/>
          <w:szCs w:val="28"/>
          <w14:textFill>
            <w14:solidFill>
              <w14:schemeClr w14:val="tx1"/>
            </w14:solidFill>
          </w14:textFill>
        </w:rPr>
        <w:t>重大交通建设工程</w:t>
      </w:r>
    </w:p>
    <w:tbl>
      <w:tblPr>
        <w:tblStyle w:val="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94"/>
      </w:tblGrid>
      <w:tr w14:paraId="16E6A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94" w:type="dxa"/>
          </w:tcPr>
          <w:p w14:paraId="6C6A9FE8">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rPr>
              <w:t>临武通用机场建设项目、临武县城至郴州机场快速干线、铁路到临武工业园区项目、G234线粗石江至毛吉岭公路改建工程、S219线朱禾铺至粗石江公路改建工程、S215线石桥头至同益公路改建工程、S566线唐家至老屋场公路改建工程、X085线延伸段花塘铺—临叉公路、S219线古老坪至宜章毛坪公路改建工程、S568线临武梓木至马家公路改建工程</w:t>
            </w:r>
            <w:r>
              <w:rPr>
                <w:rFonts w:hint="eastAsia"/>
                <w:spacing w:val="-6"/>
              </w:rPr>
              <w:t>、环城北路西延及G234花塘段提质改造项目、X085衫木溪—花塘铺公路建设项目、X086龟头坳—横头公路建设项目、X083石珠堆—水东敬老院公路建设项目、X082万水—醉乐亭公路建设项目、通天山景区旅游公路提质改造工程、安全生命防护工程、通村、通组路建设及入户路改造项目、临武县唐家水至石门村扶贫通村公路建设工程、临武县城区道路建设项目、临武县城市停车场建设项目。</w:t>
            </w:r>
          </w:p>
        </w:tc>
      </w:tr>
    </w:tbl>
    <w:p w14:paraId="419F15B4">
      <w:pPr>
        <w:pStyle w:val="4"/>
        <w:keepNext w:val="0"/>
        <w:keepLines w:val="0"/>
        <w:pageBreakBefore w:val="0"/>
        <w:widowControl w:val="0"/>
        <w:numPr>
          <w:ilvl w:val="0"/>
          <w:numId w:val="0"/>
        </w:numPr>
        <w:kinsoku/>
        <w:wordWrap w:val="0"/>
        <w:overflowPunct/>
        <w:topLinePunct/>
        <w:autoSpaceDE/>
        <w:autoSpaceDN/>
        <w:bidi w:val="0"/>
        <w:adjustRightInd/>
        <w:snapToGrid/>
        <w:spacing w:before="0" w:after="0" w:line="600" w:lineRule="exact"/>
        <w:ind w:leftChars="0"/>
        <w:jc w:val="both"/>
        <w:textAlignment w:val="auto"/>
        <w:rPr>
          <w:rFonts w:hint="eastAsia" w:ascii="方正大标宋简体" w:hAnsi="方正大标宋简体" w:eastAsia="方正大标宋简体" w:cs="方正大标宋简体"/>
          <w:sz w:val="36"/>
          <w:szCs w:val="36"/>
        </w:rPr>
      </w:pPr>
      <w:bookmarkStart w:id="123" w:name="_Toc88315799"/>
    </w:p>
    <w:p w14:paraId="4F799E22">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大力推动新型基础设施建设</w:t>
      </w:r>
      <w:bookmarkEnd w:id="123"/>
    </w:p>
    <w:p w14:paraId="3AC0AB48">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积极推广5G、人工智能、云计算、区块链等为代表的新一代信息技术，注重新型基础设施布局，推动智慧临武建设。</w:t>
      </w:r>
    </w:p>
    <w:p w14:paraId="1547B573">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szCs w:val="28"/>
        </w:rPr>
      </w:pPr>
      <w:bookmarkStart w:id="124" w:name="_Toc88315800"/>
      <w:r>
        <w:rPr>
          <w:rFonts w:hint="eastAsia" w:ascii="黑体" w:hAnsi="黑体" w:eastAsia="黑体" w:cs="黑体"/>
          <w:b w:val="0"/>
          <w:bCs w:val="0"/>
          <w:szCs w:val="28"/>
        </w:rPr>
        <w:t>第一节  加快信息基础设施建设</w:t>
      </w:r>
      <w:bookmarkEnd w:id="124"/>
    </w:p>
    <w:p w14:paraId="25C15D4E">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w:t>
      </w:r>
      <w:r>
        <w:rPr>
          <w:rFonts w:eastAsia="楷体_GB2312"/>
          <w:szCs w:val="28"/>
        </w:rPr>
        <w:t>5G</w:t>
      </w:r>
      <w:r>
        <w:rPr>
          <w:rFonts w:hint="eastAsia" w:ascii="楷体_GB2312" w:hAnsi="楷体_GB2312" w:eastAsia="楷体_GB2312" w:cs="楷体_GB2312"/>
          <w:b/>
          <w:bCs/>
          <w:szCs w:val="28"/>
        </w:rPr>
        <w:t>网络应用基础设施建设</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编制5G建设行动计划，围绕5G网络基建，以城镇为重点，推动5G基站、机房及传输设备等建设，形成5G智能网络布局。2021-2022年共建设5G基站155个。在实现覆盖的基础上，持续推进重点区域深度覆盖和各乡镇功能性覆盖，形成有规模效应的应用。</w:t>
      </w:r>
    </w:p>
    <w:p w14:paraId="26907CD2">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推进千兆固网接入网络建设。</w:t>
      </w:r>
      <w:r>
        <w:rPr>
          <w:rFonts w:hint="eastAsia" w:cs="仿宋_GB2312"/>
          <w:color w:val="000000" w:themeColor="text1"/>
          <w:szCs w:val="28"/>
          <w14:textFill>
            <w14:solidFill>
              <w14:schemeClr w14:val="tx1"/>
            </w14:solidFill>
          </w14:textFill>
        </w:rPr>
        <w:t>积极在推进千兆固网接入网络建设，实现主城区家庭千兆接入能力和商务楼宇万兆接入能力全覆盖。推进网络、应用、终端全面支持IPv6，推动3D影视、超高清视频、网络游戏、VR、AR等高带宽内容发展。</w:t>
      </w:r>
    </w:p>
    <w:p w14:paraId="3F59A9DF">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推进政务专网建设。</w:t>
      </w:r>
      <w:r>
        <w:rPr>
          <w:rFonts w:hint="eastAsia" w:cs="仿宋_GB2312"/>
          <w:color w:val="000000" w:themeColor="text1"/>
          <w:szCs w:val="28"/>
          <w14:textFill>
            <w14:solidFill>
              <w14:schemeClr w14:val="tx1"/>
            </w14:solidFill>
          </w14:textFill>
        </w:rPr>
        <w:t>推进政务专网建设，保障政务专网的覆盖与承载能力，进而达到县乡</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镇</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政务平台高效平稳运作，形成县乡</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镇</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技术先进、互联互通、安全稳定的电子城域网络。充分利用政务光缆网和政务外网传输网资源，为高清视频会议和高清图像监控等流媒体业务提供高速可靠的专用传输通道，确保通信质量。完善4G专网覆盖，提高宽带数字集群服务能力。</w:t>
      </w:r>
    </w:p>
    <w:p w14:paraId="364079F3">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25" w:name="_Toc88315801"/>
      <w:r>
        <w:rPr>
          <w:rFonts w:hint="eastAsia" w:ascii="黑体" w:hAnsi="黑体" w:eastAsia="黑体" w:cs="黑体"/>
          <w:b w:val="0"/>
          <w:bCs w:val="0"/>
          <w:color w:val="000000" w:themeColor="text1"/>
          <w:szCs w:val="28"/>
          <w14:textFill>
            <w14:solidFill>
              <w14:schemeClr w14:val="tx1"/>
            </w14:solidFill>
          </w14:textFill>
        </w:rPr>
        <w:t>第二节  加大融合基础设施建设</w:t>
      </w:r>
      <w:bookmarkEnd w:id="125"/>
    </w:p>
    <w:p w14:paraId="54B8A3D1">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推动基础设施联网工程建设。</w:t>
      </w:r>
      <w:r>
        <w:rPr>
          <w:rFonts w:hint="eastAsia" w:cs="仿宋_GB2312"/>
          <w:color w:val="000000" w:themeColor="text1"/>
          <w:szCs w:val="28"/>
          <w14:textFill>
            <w14:solidFill>
              <w14:schemeClr w14:val="tx1"/>
            </w14:solidFill>
          </w14:textFill>
        </w:rPr>
        <w:t>构建新能源汽车充电基础设施网络体系，加快在学校、医院、旅游景区等公共服务区域建设公</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专</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用充电基础设施，积极布局公路沿线快速充电基础设施。以低碳发展为目标，开展城市公共设施、建筑、环保等领域智能化改造。为构建生态文明，加快推进智慧环境监测监控设施建设。</w:t>
      </w:r>
    </w:p>
    <w:p w14:paraId="2CD33DDB">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推进智慧社区基础设施建设。</w:t>
      </w:r>
      <w:r>
        <w:rPr>
          <w:rFonts w:hint="eastAsia" w:cs="仿宋_GB2312"/>
          <w:color w:val="000000" w:themeColor="text1"/>
          <w:szCs w:val="28"/>
          <w14:textFill>
            <w14:solidFill>
              <w14:schemeClr w14:val="tx1"/>
            </w14:solidFill>
          </w14:textFill>
        </w:rPr>
        <w:t>统筹推进提升居民社区生活品质，加快在社区推进基础数据库群、云交换平台等基础设施建设。为实现社区各独立应用子系统融合，对社区停车场、闭路监控系统、电梯管理、远程抄表、自动喷淋进行智能化管理。推进社区商业贸易活动智能化，实现社区居民网上交易。</w:t>
      </w:r>
    </w:p>
    <w:p w14:paraId="42798B37">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推进智慧旅游基础设施建设。</w:t>
      </w:r>
      <w:r>
        <w:rPr>
          <w:rFonts w:hint="eastAsia" w:cs="仿宋_GB2312"/>
          <w:color w:val="000000" w:themeColor="text1"/>
          <w:szCs w:val="28"/>
          <w14:textFill>
            <w14:solidFill>
              <w14:schemeClr w14:val="tx1"/>
            </w14:solidFill>
          </w14:textFill>
        </w:rPr>
        <w:t>依托先进信息化技术，结合本县景区特色，加快推进景区管理服务、生态保护、数字营销等方面的智慧化管理基础设施建设。推进景区智能网络建设，实现对景区地理事物、旅游者行为、工作人员行迹、景区基础设施进行可视化管理。推进以三维全景展示系统为中心的展示平台、景区电子自助导览系统、景区监控系统、门禁与安防系统建设，推动临武县景区监控信息引导系统、线上线下融合消费平台建设项目，实现景区智能化发展。</w:t>
      </w:r>
    </w:p>
    <w:p w14:paraId="2503EBA4">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推进数字政务建设。</w:t>
      </w:r>
      <w:r>
        <w:rPr>
          <w:rFonts w:hint="eastAsia" w:cs="仿宋_GB2312"/>
          <w:color w:val="000000" w:themeColor="text1"/>
          <w:szCs w:val="28"/>
          <w14:textFill>
            <w14:solidFill>
              <w14:schemeClr w14:val="tx1"/>
            </w14:solidFill>
          </w14:textFill>
        </w:rPr>
        <w:t>建设信息化基础设施，提供云存储、云计算等功能，整合现有政务资源，实现各部门的网络互通数据共享，打造优质高效的便民服务平台和政务管理平台。顺应新一轮科技革命趋势，充分发挥信息化驱动引领作用，推动智慧政务项目建设，推动政务建设发展数字化、网络化、智能化，加快数字政务建设。完善提升数字化城市管理信息系统，启动智慧城管项目建设。</w:t>
      </w:r>
    </w:p>
    <w:p w14:paraId="6969DAD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26" w:name="_Toc88315802"/>
      <w:r>
        <w:rPr>
          <w:rFonts w:hint="eastAsia" w:ascii="黑体" w:hAnsi="黑体" w:eastAsia="黑体" w:cs="黑体"/>
          <w:b w:val="0"/>
          <w:bCs w:val="0"/>
          <w:color w:val="000000" w:themeColor="text1"/>
          <w:szCs w:val="28"/>
          <w14:textFill>
            <w14:solidFill>
              <w14:schemeClr w14:val="tx1"/>
            </w14:solidFill>
          </w14:textFill>
        </w:rPr>
        <w:t>第三节  加码创新基础设施建设</w:t>
      </w:r>
      <w:bookmarkEnd w:id="126"/>
    </w:p>
    <w:p w14:paraId="60EE6899">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推动重大科技基础设施建设。</w:t>
      </w:r>
      <w:r>
        <w:rPr>
          <w:rFonts w:hint="eastAsia" w:cs="仿宋_GB2312"/>
          <w:color w:val="000000" w:themeColor="text1"/>
          <w:szCs w:val="28"/>
          <w14:textFill>
            <w14:solidFill>
              <w14:schemeClr w14:val="tx1"/>
            </w14:solidFill>
          </w14:textFill>
        </w:rPr>
        <w:t>积极引导高等院校、科研院所和企业开展前沿科技探索，以广东省电池行业协会和</w:t>
      </w:r>
      <w:r>
        <w:rPr>
          <w:rFonts w:hint="eastAsia" w:cs="仿宋_GB2312"/>
          <w:color w:val="000000" w:themeColor="text1"/>
          <w:szCs w:val="28"/>
          <w:lang w:eastAsia="zh-CN"/>
          <w14:textFill>
            <w14:solidFill>
              <w14:schemeClr w14:val="tx1"/>
            </w14:solidFill>
          </w14:textFill>
        </w:rPr>
        <w:t>中国科学院</w:t>
      </w:r>
      <w:r>
        <w:rPr>
          <w:rFonts w:hint="eastAsia" w:cs="仿宋_GB2312"/>
          <w:color w:val="000000" w:themeColor="text1"/>
          <w:szCs w:val="28"/>
          <w14:textFill>
            <w14:solidFill>
              <w14:schemeClr w14:val="tx1"/>
            </w14:solidFill>
          </w14:textFill>
        </w:rPr>
        <w:t>深圳先进技术研究院提供的项目和技术为支撑，建设中科久森新能源技术联合实验室项目，打造湘粤</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临武</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国家高新电池产业集聚区。推动建设科学数据和研究中心，加快形成以大科学装置为核心的原始创新集群。聚焦新能源等重点领域，全力争取纳入国家重大科技基础设施建设规划并落地临武。</w:t>
      </w:r>
    </w:p>
    <w:p w14:paraId="693DB74D">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推动产业技术创新基础设施建设。</w:t>
      </w:r>
      <w:r>
        <w:rPr>
          <w:rFonts w:hint="eastAsia" w:cs="仿宋_GB2312"/>
          <w:color w:val="000000" w:themeColor="text1"/>
          <w:szCs w:val="28"/>
          <w14:textFill>
            <w14:solidFill>
              <w14:schemeClr w14:val="tx1"/>
            </w14:solidFill>
          </w14:textFill>
        </w:rPr>
        <w:t>加快建设以“产业技术研发、科技企业孵化、科技成果转化、高端人才集聚”为主要功能的新型创业载体的硬件基础设施。启动建设先进技术工程化设施，加快在新能源领域创建一批省级和市级工程</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技术</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研究中心。加速创建新兴领域研发中心、孵化中心、展示中心及配套设施创新基础设施，加快建设重大创制国家科技重大专项成果转移转化试点示范基地。</w:t>
      </w:r>
    </w:p>
    <w:p w14:paraId="5253E94E">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推动创新平台建设。</w:t>
      </w:r>
      <w:r>
        <w:rPr>
          <w:rFonts w:hint="eastAsia" w:cs="仿宋_GB2312"/>
          <w:color w:val="000000" w:themeColor="text1"/>
          <w:szCs w:val="28"/>
          <w14:textFill>
            <w14:solidFill>
              <w14:schemeClr w14:val="tx1"/>
            </w14:solidFill>
          </w14:textFill>
        </w:rPr>
        <w:t>加快创建工业云制造、工业信息安全等国家制造业创新中心，启动建设一批市级产业创新发展平台。依托高校、</w:t>
      </w:r>
      <w:r>
        <w:rPr>
          <w:rFonts w:hint="eastAsia" w:cs="仿宋_GB2312"/>
          <w:color w:val="000000" w:themeColor="text1"/>
          <w:spacing w:val="-6"/>
          <w:szCs w:val="28"/>
          <w14:textFill>
            <w14:solidFill>
              <w14:schemeClr w14:val="tx1"/>
            </w14:solidFill>
          </w14:textFill>
        </w:rPr>
        <w:t>科研院所，力争建设一批前沿交叉创新平台和产业创新转化平台，打造产业技术基础公共服务平台、试验检测类公共服务平台、产业大数据公共平台等，启动临武县农业大数据应用云平台建设项目。围绕高端物流、供应链服务、电子信息、智能装备、大数据等领域，提升和优化研发与转化功能型平台布局，构建新兴产业技术创新发展的支撑体系。</w:t>
      </w:r>
    </w:p>
    <w:p w14:paraId="5AE0FBEB">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新型基础设施建设工程</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4"/>
      </w:tblGrid>
      <w:tr w14:paraId="5ACF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4" w:type="dxa"/>
            <w:shd w:val="clear" w:color="auto" w:fill="auto"/>
          </w:tcPr>
          <w:p w14:paraId="58C734FA">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b/>
                <w:bCs/>
              </w:rPr>
              <w:t>信息基础设施建设项目：</w:t>
            </w:r>
            <w:r>
              <w:rPr>
                <w:rFonts w:hint="eastAsia"/>
              </w:rPr>
              <w:t>临武县推进5G网络建设项目</w:t>
            </w:r>
          </w:p>
          <w:p w14:paraId="2A5FA4D5">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b/>
                <w:bCs/>
              </w:rPr>
              <w:t>融合基础设施建设项目：</w:t>
            </w:r>
            <w:r>
              <w:rPr>
                <w:rFonts w:hint="eastAsia"/>
              </w:rPr>
              <w:t>临武县城市供水智慧调度管控工程建设项目、临武县景区监控信息引导系统、临武县智慧城管建设项目、临武县智慧政务项目建设、临武县农村宅基地管理体系建设项目、线上线下融合消费平台5G、临武县农村集体产权交易综合平台建设项目、临武县农产品电子商务交易平台建设项目</w:t>
            </w:r>
          </w:p>
          <w:p w14:paraId="425F957F">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b/>
                <w:bCs/>
              </w:rPr>
              <w:t>创新基础设施建设项目：</w:t>
            </w:r>
            <w:r>
              <w:rPr>
                <w:rFonts w:hint="eastAsia"/>
              </w:rPr>
              <w:t>中科久森新能源技术联合实验室、临武县农业大数据应用云平台建设项目</w:t>
            </w:r>
          </w:p>
        </w:tc>
      </w:tr>
    </w:tbl>
    <w:p w14:paraId="0DED9C0B">
      <w:pPr>
        <w:pStyle w:val="72"/>
        <w:keepNext w:val="0"/>
        <w:keepLines w:val="0"/>
        <w:pageBreakBefore w:val="0"/>
        <w:widowControl w:val="0"/>
        <w:kinsoku/>
        <w:wordWrap w:val="0"/>
        <w:overflowPunct/>
        <w:topLinePunct/>
        <w:autoSpaceDE/>
        <w:autoSpaceDN/>
        <w:bidi w:val="0"/>
        <w:adjustRightInd/>
        <w:snapToGrid/>
        <w:spacing w:line="400" w:lineRule="exact"/>
        <w:ind w:firstLine="560"/>
        <w:jc w:val="both"/>
        <w:textAlignment w:val="auto"/>
        <w:rPr>
          <w:rFonts w:hint="eastAsia"/>
          <w:b/>
          <w:bCs/>
        </w:rPr>
      </w:pPr>
    </w:p>
    <w:p w14:paraId="7B46A237">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57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 xml:space="preserve"> </w:t>
      </w:r>
      <w:bookmarkStart w:id="127" w:name="_Toc88315803"/>
      <w:r>
        <w:rPr>
          <w:rFonts w:hint="eastAsia" w:ascii="方正大标宋简体" w:hAnsi="方正大标宋简体" w:eastAsia="方正大标宋简体" w:cs="方正大标宋简体"/>
          <w:sz w:val="36"/>
          <w:szCs w:val="36"/>
        </w:rPr>
        <w:t>提升城镇综合承载力</w:t>
      </w:r>
      <w:bookmarkEnd w:id="127"/>
    </w:p>
    <w:p w14:paraId="400EE91C">
      <w:pPr>
        <w:pStyle w:val="57"/>
        <w:keepNext w:val="0"/>
        <w:keepLines w:val="0"/>
        <w:pageBreakBefore w:val="0"/>
        <w:widowControl w:val="0"/>
        <w:kinsoku/>
        <w:wordWrap w:val="0"/>
        <w:overflowPunct/>
        <w:topLinePunct/>
        <w:autoSpaceDE/>
        <w:autoSpaceDN/>
        <w:bidi w:val="0"/>
        <w:adjustRightInd/>
        <w:snapToGrid/>
        <w:spacing w:line="55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围绕高品质生态县城建设，推动县城品质提档升级，加快布局城镇基础设施，加强供排水、能源供应、环卫、公共服务、应急等基础设施建设，提升城镇承载能力。</w:t>
      </w:r>
    </w:p>
    <w:p w14:paraId="7FAA52F6">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7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28" w:name="_Toc88315804"/>
      <w:r>
        <w:rPr>
          <w:rFonts w:hint="eastAsia" w:ascii="黑体" w:hAnsi="黑体" w:eastAsia="黑体" w:cs="黑体"/>
          <w:b w:val="0"/>
          <w:bCs w:val="0"/>
          <w:color w:val="000000" w:themeColor="text1"/>
          <w:szCs w:val="28"/>
          <w14:textFill>
            <w14:solidFill>
              <w14:schemeClr w14:val="tx1"/>
            </w14:solidFill>
          </w14:textFill>
        </w:rPr>
        <w:t>第一节  构建清洁低碳能源供应体系</w:t>
      </w:r>
      <w:bookmarkEnd w:id="128"/>
    </w:p>
    <w:p w14:paraId="597E7EE8">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完善电力供应保障能力</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为提高供应保障能力，在风电方面重点推进临武县上塘风电场、临武县金泉风电场、临武县斗岭风电场、临武县香花铺风电场等风电建设项目。推动临武县10万千瓦太阳能电站等项目建设。为优化电网规划及结构，推动工业园区110kV变电站等项目建设。</w:t>
      </w:r>
    </w:p>
    <w:p w14:paraId="38DE8302">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优化燃气基础设施布局。</w:t>
      </w:r>
      <w:r>
        <w:rPr>
          <w:rFonts w:hint="eastAsia" w:cs="仿宋_GB2312"/>
          <w:color w:val="000000" w:themeColor="text1"/>
          <w:szCs w:val="28"/>
          <w14:textFill>
            <w14:solidFill>
              <w14:schemeClr w14:val="tx1"/>
            </w14:solidFill>
          </w14:textFill>
        </w:rPr>
        <w:t>为保障用气安全，优化管网布局，推动油气管网与能源储备设施建设。完善燃气设置布局，增强供气保障，重点推进金煌</w:t>
      </w:r>
      <w:r>
        <w:rPr>
          <w:rFonts w:hint="eastAsia" w:cs="仿宋_GB2312"/>
          <w:color w:val="000000" w:themeColor="text1"/>
          <w:szCs w:val="28"/>
          <w:lang w:eastAsia="zh-CN"/>
          <w14:textFill>
            <w14:solidFill>
              <w14:schemeClr w14:val="tx1"/>
            </w14:solidFill>
          </w14:textFill>
        </w:rPr>
        <w:t>燃气储配站（</w:t>
      </w:r>
      <w:r>
        <w:rPr>
          <w:rFonts w:hint="eastAsia" w:cs="仿宋_GB2312"/>
          <w:color w:val="000000" w:themeColor="text1"/>
          <w:szCs w:val="28"/>
          <w14:textFill>
            <w14:solidFill>
              <w14:schemeClr w14:val="tx1"/>
            </w14:solidFill>
          </w14:textFill>
        </w:rPr>
        <w:t>接收门站</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及输气管网等项目建设。推动供气设施建设与升级，完善天然气网络，重点推进桂阳-临武输气管道工程等项目建设。</w:t>
      </w:r>
    </w:p>
    <w:p w14:paraId="230E227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7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29" w:name="_Toc88315805"/>
      <w:r>
        <w:rPr>
          <w:rFonts w:hint="eastAsia" w:ascii="黑体" w:hAnsi="黑体" w:eastAsia="黑体" w:cs="黑体"/>
          <w:b w:val="0"/>
          <w:bCs w:val="0"/>
          <w:color w:val="000000" w:themeColor="text1"/>
          <w:szCs w:val="28"/>
          <w14:textFill>
            <w14:solidFill>
              <w14:schemeClr w14:val="tx1"/>
            </w14:solidFill>
          </w14:textFill>
        </w:rPr>
        <w:t>第二节  提升城镇供排水保障能力</w:t>
      </w:r>
      <w:bookmarkEnd w:id="129"/>
    </w:p>
    <w:p w14:paraId="7C772048">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加大饮用水水源地管理力度。</w:t>
      </w:r>
      <w:r>
        <w:rPr>
          <w:rFonts w:hint="eastAsia" w:cs="仿宋_GB2312"/>
          <w:color w:val="000000" w:themeColor="text1"/>
          <w:szCs w:val="28"/>
          <w14:textFill>
            <w14:solidFill>
              <w14:schemeClr w14:val="tx1"/>
            </w14:solidFill>
          </w14:textFill>
        </w:rPr>
        <w:t>坚持以河长制为引领，构筑治水新格局。依法划定水源保护区，加强饮用水水源地保护及供水全过程监管，合理布设检测断面，定期开展水质检测分析，主要集中式饮用水水源地水质达标率达到100%，确保饮用水安全。推动枫木山水库新建工程、英溪冲水库新建工程、镇南乡大山背水库新建工程、香花镇十八厅水库扩容工程建设。加强水源地生态环境修复项目建设，持续开展矿区原址生态修复。</w:t>
      </w:r>
    </w:p>
    <w:p w14:paraId="5818E6F7">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完善供水基础设施。</w:t>
      </w:r>
      <w:r>
        <w:rPr>
          <w:rFonts w:hint="eastAsia" w:cs="仿宋_GB2312"/>
          <w:color w:val="000000" w:themeColor="text1"/>
          <w:szCs w:val="28"/>
          <w14:textFill>
            <w14:solidFill>
              <w14:schemeClr w14:val="tx1"/>
            </w14:solidFill>
          </w14:textFill>
        </w:rPr>
        <w:t>为提高饮用水安全，推动供水设施高质量发展，优化供水设施布局，满足行业标准。全面推动整治和提升小型水利设施建设项目，提升供水能力。快速推进全县工业用水、生产用水、生态用水基础设施建设。全面推进智慧水利工程建设，推动水务智慧调度中心工程建设项目，推动水务系统智慧化发展。推动第二水厂建设项目、农村安全饮水、农村规模化供水建设、农村水厂信息化、智能化建设、水库工程信息化建设、小水电生态流量工程建设，推进城乡供水一体化建设，全面提升供水保障能力。</w:t>
      </w:r>
    </w:p>
    <w:p w14:paraId="6E76EFE4">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推动供排水管网等配套设施建设。</w:t>
      </w:r>
      <w:r>
        <w:rPr>
          <w:rFonts w:hint="eastAsia" w:cs="仿宋_GB2312"/>
          <w:color w:val="000000" w:themeColor="text1"/>
          <w:szCs w:val="28"/>
          <w14:textFill>
            <w14:solidFill>
              <w14:schemeClr w14:val="tx1"/>
            </w14:solidFill>
          </w14:textFill>
        </w:rPr>
        <w:t>为保障供排水设施安全运行稳定，对供水管铺设早、管径小的供排水管网升级改造。全面启动莽山水库入临供水工程、万水洞水库外引水工程、大冲黑塘水库连通工程、农村规模化供水项目建设。实施农村水厂信息化、智能化建设项目，实现水质在线监测建设、管网流量、压力检测。推动水库工程信息化建设项目，实现视频监控、自动水位、确权划界等功能。</w:t>
      </w:r>
    </w:p>
    <w:p w14:paraId="0A67B27F">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7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30" w:name="_Toc88315806"/>
      <w:r>
        <w:rPr>
          <w:rFonts w:hint="eastAsia" w:ascii="黑体" w:hAnsi="黑体" w:eastAsia="黑体" w:cs="黑体"/>
          <w:b w:val="0"/>
          <w:bCs w:val="0"/>
          <w:color w:val="000000" w:themeColor="text1"/>
          <w:szCs w:val="28"/>
          <w14:textFill>
            <w14:solidFill>
              <w14:schemeClr w14:val="tx1"/>
            </w14:solidFill>
          </w14:textFill>
        </w:rPr>
        <w:t>第三节  完善环卫基础设施布局</w:t>
      </w:r>
      <w:bookmarkEnd w:id="130"/>
    </w:p>
    <w:p w14:paraId="31174AA9">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完善污水处理基础设施。</w:t>
      </w:r>
      <w:r>
        <w:rPr>
          <w:rFonts w:hint="eastAsia" w:cs="仿宋_GB2312"/>
          <w:color w:val="000000" w:themeColor="text1"/>
          <w:szCs w:val="28"/>
          <w14:textFill>
            <w14:solidFill>
              <w14:schemeClr w14:val="tx1"/>
            </w14:solidFill>
          </w14:textFill>
        </w:rPr>
        <w:t>坚持打造“两江之源”生态品牌的绿色发展目标，推动临武县污水处理厂提质扩容工程项目，提升污水处理能力。围绕“生态临武”，加快推进武水河整治、三十六湾及周边区域重金属污染综合治理等生态项目。继续推进污染防治“减存量、控增量”行动计划，推动全域污水处理设施项目，实现临武水质达标。至</w:t>
      </w:r>
      <w:r>
        <w:rPr>
          <w:rFonts w:cs="仿宋_GB2312"/>
          <w:color w:val="000000" w:themeColor="text1"/>
          <w:szCs w:val="28"/>
          <w14:textFill>
            <w14:solidFill>
              <w14:schemeClr w14:val="tx1"/>
            </w14:solidFill>
          </w14:textFill>
        </w:rPr>
        <w:t>2025年底，县城建成区黑臭水体得到逐步整治，县城污水处理率达到100%</w:t>
      </w:r>
      <w:r>
        <w:rPr>
          <w:rFonts w:hint="eastAsia" w:cs="仿宋_GB2312"/>
          <w:color w:val="000000" w:themeColor="text1"/>
          <w:szCs w:val="28"/>
          <w14:textFill>
            <w14:solidFill>
              <w14:schemeClr w14:val="tx1"/>
            </w14:solidFill>
          </w14:textFill>
        </w:rPr>
        <w:t>。</w:t>
      </w:r>
    </w:p>
    <w:p w14:paraId="12C8579A">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补齐污水管网等配套设施短板。</w:t>
      </w:r>
      <w:r>
        <w:rPr>
          <w:rFonts w:hint="eastAsia" w:cs="仿宋_GB2312"/>
          <w:color w:val="000000" w:themeColor="text1"/>
          <w:szCs w:val="28"/>
          <w14:textFill>
            <w14:solidFill>
              <w14:schemeClr w14:val="tx1"/>
            </w14:solidFill>
          </w14:textFill>
        </w:rPr>
        <w:t>在实现美丽中国和高质量发展的要求下，加快推动配套污水管网建设，持续改善各流域水环境。逐步推动地下综合管廊建设项目，推动东云路西段城中村改造</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一期</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工程建设项目。加快消除城中村、老旧城区、城乡结合部管网空白区，加快补齐污水管网“毛细血管”。</w:t>
      </w:r>
    </w:p>
    <w:p w14:paraId="7067EB1C">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完善城镇生活垃圾无害化处理设施。</w:t>
      </w:r>
      <w:r>
        <w:rPr>
          <w:rFonts w:hint="eastAsia" w:cs="仿宋_GB2312"/>
          <w:color w:val="000000" w:themeColor="text1"/>
          <w:szCs w:val="28"/>
          <w14:textFill>
            <w14:solidFill>
              <w14:schemeClr w14:val="tx1"/>
            </w14:solidFill>
          </w14:textFill>
        </w:rPr>
        <w:t>围绕生态文明建设新格局，继续对现有设施进行改造升级，逐步缩小生活垃圾处理水平差距，加快建立与生活垃圾分类衔接的无害化处理设施。坚持以“分类回收，促进利用”为原则，逐步推动生活垃圾分类，制定分类办法，完善垃圾分类体制机制。加快建立垃圾分类投放、回收、运输、处理相衔接的全过程管理体系，促进生活垃圾回收网络与再生资源回收网络衔接，实现资源的最大化利用，不断提高生活垃圾减量化、资源化和无害化处理水平。</w:t>
      </w:r>
    </w:p>
    <w:p w14:paraId="612B1321">
      <w:pPr>
        <w:keepNext w:val="0"/>
        <w:keepLines w:val="0"/>
        <w:pageBreakBefore w:val="0"/>
        <w:widowControl w:val="0"/>
        <w:kinsoku/>
        <w:wordWrap w:val="0"/>
        <w:overflowPunct/>
        <w:topLinePunct/>
        <w:autoSpaceDE/>
        <w:autoSpaceDN/>
        <w:bidi w:val="0"/>
        <w:adjustRightInd/>
        <w:snapToGrid/>
        <w:spacing w:line="570" w:lineRule="exact"/>
        <w:jc w:val="center"/>
        <w:textAlignment w:val="auto"/>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基础设施重大项目</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0"/>
      </w:tblGrid>
      <w:tr w14:paraId="77BC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0" w:type="dxa"/>
            <w:shd w:val="clear" w:color="auto" w:fill="auto"/>
          </w:tcPr>
          <w:p w14:paraId="0FCEFD14">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能源项目：</w:t>
            </w:r>
            <w:r>
              <w:rPr>
                <w:rFonts w:hint="eastAsia"/>
              </w:rPr>
              <w:t>上塘风电场、金泉风电场、斗岭风电场、香花铺风电场、10万千瓦太阳能电站建设项目、桂阳-临武输气管道工程、临武县金煌</w:t>
            </w:r>
            <w:r>
              <w:rPr>
                <w:rFonts w:hint="eastAsia"/>
                <w:lang w:eastAsia="zh-CN"/>
              </w:rPr>
              <w:t>燃气储配站（</w:t>
            </w:r>
            <w:r>
              <w:rPr>
                <w:rFonts w:hint="eastAsia"/>
              </w:rPr>
              <w:t>接收门站</w:t>
            </w:r>
            <w:r>
              <w:rPr>
                <w:rFonts w:hint="eastAsia"/>
                <w:lang w:eastAsia="zh-CN"/>
              </w:rPr>
              <w:t>）</w:t>
            </w:r>
            <w:r>
              <w:rPr>
                <w:rFonts w:hint="eastAsia"/>
              </w:rPr>
              <w:t>及输气管网建设</w:t>
            </w:r>
          </w:p>
          <w:p w14:paraId="476587DF">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城镇供排水项目：</w:t>
            </w:r>
            <w:r>
              <w:rPr>
                <w:rFonts w:hint="eastAsia"/>
              </w:rPr>
              <w:t>第二水厂建设项目、农村安全饮水、农村规模化供水建设、莽山水库入临供水工程、枫木山水库新建工程、英溪冲水库新建工程、镇南乡茶里岩水库新建工程、镇南乡大山背水库新建工程、镇南乡江口水库扩容工程、万水洞水库外引水工程、大冲黑塘水库连通工程、长河水库、万水洞水库水源地保护工程、农村规模化供水建设、长河中型灌区续建配套节水改造工程、万水洞中型灌区续建配套节水改造工程、城东片区污水处理厂及配套管网建设、供排水和村镇污水治理及配套管网建设、临武县污水处理厂提质扩容建设项目、推动城乡供排水污水一体化县城管网配套设施项目。</w:t>
            </w:r>
          </w:p>
          <w:p w14:paraId="0CF2D296">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防洪安全项目：</w:t>
            </w:r>
            <w:r>
              <w:rPr>
                <w:rFonts w:hint="eastAsia"/>
              </w:rPr>
              <w:t>万水洞水库除险加固工程、临武县水库除险加固项目、临武县武水河、人民河主要河流河道整治工程、临武县金江河河道治理工程、临武县山洪沟治理、临武县乡村河道治理工程、临武县五塘冲水闸、文溪水闸除险加固工程、桐柏山水库枢纽工程</w:t>
            </w:r>
          </w:p>
        </w:tc>
      </w:tr>
    </w:tbl>
    <w:p w14:paraId="42B9D323">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sectPr>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30D832A5">
      <w:pPr>
        <w:pStyle w:val="3"/>
        <w:keepNext w:val="0"/>
        <w:keepLines w:val="0"/>
        <w:pageBreakBefore w:val="0"/>
        <w:widowControl w:val="0"/>
        <w:numPr>
          <w:ilvl w:val="0"/>
          <w:numId w:val="0"/>
        </w:numPr>
        <w:kinsoku/>
        <w:wordWrap w:val="0"/>
        <w:overflowPunct/>
        <w:topLinePunct/>
        <w:autoSpaceDE/>
        <w:autoSpaceDN/>
        <w:bidi w:val="0"/>
        <w:adjustRightInd/>
        <w:snapToGrid/>
        <w:spacing w:before="0" w:after="313" w:afterLines="100" w:line="600" w:lineRule="exact"/>
        <w:ind w:leftChars="0"/>
        <w:textAlignment w:val="auto"/>
        <w:rPr>
          <w:shd w:val="clear"/>
        </w:rPr>
      </w:pPr>
      <w:bookmarkStart w:id="131" w:name="_Toc88315807"/>
      <w:r>
        <w:rPr>
          <w:rFonts w:hint="eastAsia"/>
          <w:shd w:val="clear"/>
          <w:lang w:val="en-US" w:eastAsia="zh-CN"/>
        </w:rPr>
        <w:t xml:space="preserve">第九篇  </w:t>
      </w:r>
      <w:r>
        <w:rPr>
          <w:rFonts w:hint="eastAsia"/>
          <w:shd w:val="clear"/>
        </w:rPr>
        <w:t>高效推动文旅产业融合发展</w:t>
      </w:r>
      <w:bookmarkEnd w:id="131"/>
    </w:p>
    <w:p w14:paraId="38C43CAD">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深入贯彻习近平总书记关于文化和旅游工作特别是文化和旅游融合发展重要论述精神，坚持“宜融则融、能融尽融”，快速推进文化产业发展，推动文化和旅游工作各领域、多方位、全链条深度融合。</w:t>
      </w:r>
    </w:p>
    <w:p w14:paraId="0A8AA4EE">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firstLine="0"/>
        <w:textAlignment w:val="auto"/>
        <w:rPr>
          <w:rFonts w:hint="eastAsia" w:ascii="方正大标宋简体" w:hAnsi="方正大标宋简体" w:eastAsia="方正大标宋简体" w:cs="方正大标宋简体"/>
          <w:sz w:val="36"/>
          <w:szCs w:val="36"/>
        </w:rPr>
      </w:pPr>
      <w:bookmarkStart w:id="132" w:name="_Toc88315808"/>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大力发展文旅产业</w:t>
      </w:r>
      <w:bookmarkEnd w:id="132"/>
    </w:p>
    <w:p w14:paraId="44C21D8C">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实施“一城两翼三线多点”文化旅游发展战略，挖掘舜文化、傩文化、龙文化、玉文化、湘粤文化资源，融合特色产业，打造一批精品旅游工程和经典旅游线路，争创全国全域旅游示范县。</w:t>
      </w:r>
    </w:p>
    <w:p w14:paraId="1AEE6748">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33" w:name="_Toc88315809"/>
      <w:r>
        <w:rPr>
          <w:rFonts w:hint="eastAsia" w:ascii="黑体" w:hAnsi="黑体" w:eastAsia="黑体" w:cs="黑体"/>
          <w:b w:val="0"/>
          <w:bCs w:val="0"/>
          <w:color w:val="000000" w:themeColor="text1"/>
          <w:szCs w:val="28"/>
          <w14:textFill>
            <w14:solidFill>
              <w14:schemeClr w14:val="tx1"/>
            </w14:solidFill>
          </w14:textFill>
        </w:rPr>
        <w:t>第一节  快速推进文化产业发展</w:t>
      </w:r>
      <w:bookmarkEnd w:id="133"/>
    </w:p>
    <w:p w14:paraId="33356FD1">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推动文化产业发展</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依托通天山景区、华夏</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临武</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龙文化旅游区、傩文化产业园、西瑶绿谷生态度假区、金仙寨旅游区、龙源古镇、秦汉古道等重点开发建设项目，推进临武县瑶族民俗风情园、盘王庙、通天山康旅项目、渡头古城遗址公园、溱水关文化广场、南迁文化园、盐铁古道文化村、龙宫龙道、秦关汉营文化园、舜通宝玉石文化产业园、竹树脚红色旅游研学及党建基地建设，抢抓湖南作为国家首个低空飞行试验区政策机遇建设青草坪飞行基地，实施生态文化、工业文化、特色农业文化、影视文化、节庆文化打造以及农村文化遗存活化、生态旅游开发、工业文化提升、核心文化产业创新、农村文化户示范、民族文化之乡重塑建设七大工程，形成文化引领经济、经济支持文化、文化经济互动的发展格局。</w:t>
      </w:r>
    </w:p>
    <w:p w14:paraId="20411D75">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提升文化产业运作能力。</w:t>
      </w:r>
      <w:r>
        <w:rPr>
          <w:rFonts w:hint="eastAsia" w:cs="仿宋_GB2312"/>
          <w:color w:val="000000" w:themeColor="text1"/>
          <w:szCs w:val="28"/>
          <w14:textFill>
            <w14:solidFill>
              <w14:schemeClr w14:val="tx1"/>
            </w14:solidFill>
          </w14:textFill>
        </w:rPr>
        <w:t>按照“抬高起点、塑造亮点、放大特点、突出重点、抓住落点”的原则，制定出台包括土地供给、融资、财政支持、组织保障等方面优惠政策，精心策划包装通天山景区、华夏</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临武</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龙文化旅游区、傩文化产业园、西瑶绿谷生态度假区、金仙寨旅游区、龙源古镇、秦汉古道等重点文化产业项目，积极拓宽招商渠道，有针对性地开展网上推介、媒体推介、会展推介以及组团招商、专题招商、定向招商、以商招商等多种形式的招商引资活动。着力吸引民间资本参与文化产业发展，大力扶持小型文化创意企业发展，鼓励民间文化创业，形成以公有制为主体、多种所有制共同发展的文化产业格局。</w:t>
      </w:r>
    </w:p>
    <w:p w14:paraId="314A6400">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扩大文化消费。</w:t>
      </w:r>
      <w:r>
        <w:rPr>
          <w:rFonts w:hint="eastAsia" w:cs="仿宋_GB2312"/>
          <w:color w:val="000000" w:themeColor="text1"/>
          <w:szCs w:val="28"/>
          <w14:textFill>
            <w14:solidFill>
              <w14:schemeClr w14:val="tx1"/>
            </w14:solidFill>
          </w14:textFill>
        </w:rPr>
        <w:t>加强文化市场体系建设，鼓励引导文化企业投资兴建更多适合群众需求的文化消费场所。积极开发基层文化市场，为城乡基层群众提供喜闻乐见的文化产品和服务。引导在商业演出和电影放映中安排一定数量的低价场次或门票，鼓励网络文化运营商开发更多低收费业务，促进基层文化消费。推进网络数字技术与文化融合，支持发展移动多媒体广</w:t>
      </w:r>
      <w:r>
        <w:rPr>
          <w:rFonts w:hint="eastAsia" w:cs="仿宋_GB2312"/>
          <w:color w:val="000000" w:themeColor="text1"/>
          <w:spacing w:val="-6"/>
          <w:szCs w:val="28"/>
          <w14:textFill>
            <w14:solidFill>
              <w14:schemeClr w14:val="tx1"/>
            </w14:solidFill>
          </w14:textFill>
        </w:rPr>
        <w:t>播电视、数字多媒体广播、手机广播电视，开发移动文化信息服务、数字娱乐产品等增值业务，加快培育新的文化消费增长点。</w:t>
      </w:r>
    </w:p>
    <w:p w14:paraId="1FB8361B">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加强文化遗产保护和宣传。</w:t>
      </w:r>
      <w:r>
        <w:rPr>
          <w:rFonts w:hint="eastAsia" w:cs="仿宋_GB2312"/>
          <w:color w:val="000000" w:themeColor="text1"/>
          <w:szCs w:val="28"/>
          <w14:textFill>
            <w14:solidFill>
              <w14:schemeClr w14:val="tx1"/>
            </w14:solidFill>
          </w14:textFill>
        </w:rPr>
        <w:t>落实责任，将渡头古城址、临武碉楼群、汾市汉墓群、湘粤古道、东林庵等省、市、县级文化遗产及地方戏曲等非物质文化遗产保护列入重要议事日程，并纳入经济和社会发展计划以及城乡规划。建立健全文化遗产保护责任制度和责任追究制度和相应的文化遗产保护协调机构。文物行政部门等行政执法机关严厉打击破坏文化遗产的各类违法犯罪行为，开展相关文化遗产保护专项活动，重点追究因决策失误、玩忽职守，造成文化遗产破坏、被盗或流失的各类违法犯罪行为，追究法律责任。将文化遗产保护经费纳入本级财政预算，保障重点文化遗产经费投入。抓紧制定和完善有关社会捐赠和赞助的政策措施，调动社会团体、企业和个人参与文化遗产保护的积极性。加强文化遗产保护管理机构和专业队伍建设，大力培养文化遗产保护和管理所需的各类专门人才。教育部门要将优秀文化遗产内容和文化遗产保护知识纳入教学计划，编入地方教材，组织参观学习活动，激发青少年热爱祖国优秀传统文化的热情。运用新闻等媒体手段，大力宣传保护文化遗产的先进典型，及时曝光破坏文化遗产的违法行为及事件，发挥舆论监督作用，在全社会形成保护文化遗产的良好氛围。</w:t>
      </w:r>
    </w:p>
    <w:p w14:paraId="332CF760">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34" w:name="_Toc88315810"/>
      <w:r>
        <w:rPr>
          <w:rFonts w:hint="eastAsia" w:ascii="黑体" w:hAnsi="黑体" w:eastAsia="黑体" w:cs="黑体"/>
          <w:b w:val="0"/>
          <w:bCs w:val="0"/>
          <w:color w:val="000000" w:themeColor="text1"/>
          <w:szCs w:val="28"/>
          <w14:textFill>
            <w14:solidFill>
              <w14:schemeClr w14:val="tx1"/>
            </w14:solidFill>
          </w14:textFill>
        </w:rPr>
        <w:t>第二节  着力推进文旅融合发展</w:t>
      </w:r>
      <w:bookmarkEnd w:id="134"/>
    </w:p>
    <w:p w14:paraId="10DB2205">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树牢融合发展理念。</w:t>
      </w:r>
      <w:r>
        <w:rPr>
          <w:rFonts w:hint="eastAsia" w:cs="仿宋_GB2312"/>
          <w:color w:val="000000" w:themeColor="text1"/>
          <w:szCs w:val="28"/>
          <w14:textFill>
            <w14:solidFill>
              <w14:schemeClr w14:val="tx1"/>
            </w14:solidFill>
          </w14:textFill>
        </w:rPr>
        <w:t>树立以文促旅、以旅彰文、和合共生的理念，通过龙文化、玉文化、傩文化、舜文化等资源的利用及影视文化创意的引入，提升旅游品位、丰富旅游业态、增强产品吸引力，拓展旅游发展空间。持续推进四季花果旅游文化节、水果采摘体验节、通天之</w:t>
      </w:r>
      <w:r>
        <w:rPr>
          <w:rFonts w:hint="eastAsia" w:cs="仿宋_GB2312"/>
          <w:color w:val="000000" w:themeColor="text1"/>
          <w:spacing w:val="-6"/>
          <w:szCs w:val="28"/>
          <w14:textFill>
            <w14:solidFill>
              <w14:schemeClr w14:val="tx1"/>
            </w14:solidFill>
          </w14:textFill>
        </w:rPr>
        <w:t>路寻宝之旅、龙文化研讨会、花卉科普研讨会、徐霞客论坛和宝玉石研讨会，打造徐霞客精品路线游，加快智慧旅游平台建设，通过公共文化机构、对外文化交流等平台的使用，促进旅游推广，加强与周边旅游景区及旅行社的对接，使临武成为重要的粤港澳大湾区旅游集散地。</w:t>
      </w:r>
    </w:p>
    <w:p w14:paraId="3062DBAE">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大力促进产业融合</w:t>
      </w:r>
      <w:r>
        <w:rPr>
          <w:rFonts w:hint="eastAsia" w:cs="仿宋_GB2312"/>
          <w:color w:val="000000" w:themeColor="text1"/>
          <w:szCs w:val="28"/>
          <w14:textFill>
            <w14:solidFill>
              <w14:schemeClr w14:val="tx1"/>
            </w14:solidFill>
          </w14:textFill>
        </w:rPr>
        <w:t>。积极寻找文化和旅游产业链条各环节</w:t>
      </w:r>
      <w:r>
        <w:rPr>
          <w:rFonts w:hint="eastAsia" w:cs="仿宋_GB2312"/>
          <w:color w:val="000000" w:themeColor="text1"/>
          <w:szCs w:val="28"/>
          <w:lang w:eastAsia="zh-CN"/>
          <w14:textFill>
            <w14:solidFill>
              <w14:schemeClr w14:val="tx1"/>
            </w14:solidFill>
          </w14:textFill>
        </w:rPr>
        <w:t>地对</w:t>
      </w:r>
      <w:r>
        <w:rPr>
          <w:rFonts w:hint="eastAsia" w:cs="仿宋_GB2312"/>
          <w:color w:val="000000" w:themeColor="text1"/>
          <w:szCs w:val="28"/>
          <w14:textFill>
            <w14:solidFill>
              <w14:schemeClr w14:val="tx1"/>
            </w14:solidFill>
          </w14:textFill>
        </w:rPr>
        <w:t>接点，发挥各自优势、形成新增长点。深入实施“互联网+”战略，加快智慧旅游平台建设，利用手机、微信、微博、APP等“新媒体”，推进临武智慧旅游发展。统筹推进临武文化生态保护区和全域旅游发展，推动秦汉古道、滴水源、通天山、西瑶绿谷国家森林公园等重点旅游景区、旅游度假区。推进临武红色旅游、旅游演艺、文化遗产旅游、主题公园、文化主题酒店等已有融合发展业态提质升级。支持开发集文化创意、特色民宿、度假休闲、康体养生等主题于一体的文化旅游综合体。推出更多研学、寻根、文化遗产等专题文化旅游线路和项目。建立促进文化和旅游消费的长效机制，积极培育网络消</w:t>
      </w:r>
      <w:r>
        <w:rPr>
          <w:rFonts w:hint="eastAsia" w:cs="仿宋_GB2312"/>
          <w:color w:val="000000" w:themeColor="text1"/>
          <w:spacing w:val="-6"/>
          <w:szCs w:val="28"/>
          <w14:textFill>
            <w14:solidFill>
              <w14:schemeClr w14:val="tx1"/>
            </w14:solidFill>
          </w14:textFill>
        </w:rPr>
        <w:t>费、定制消费、体验消费、智能消费、时尚消费等消费新热点，完善行业标准体系、服务质量评价体系和消费反馈处理体系。</w:t>
      </w:r>
    </w:p>
    <w:p w14:paraId="617753EE">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着力推动市场融合。</w:t>
      </w:r>
      <w:r>
        <w:rPr>
          <w:rFonts w:hint="eastAsia" w:cs="仿宋_GB2312"/>
          <w:color w:val="000000" w:themeColor="text1"/>
          <w:szCs w:val="28"/>
          <w14:textFill>
            <w14:solidFill>
              <w14:schemeClr w14:val="tx1"/>
            </w14:solidFill>
          </w14:textFill>
        </w:rPr>
        <w:t>推动文化和旅游市场培育监管工作一体部署、一体推进。鼓励文化机构和旅游企业对接合作，支持文化和旅游跨业企业做优做强，推动形成一批以文化和旅游为主业、以融合发展为特色、具有较强竞争力的领军企业、骨干企业。优化营商环境，促进创新创业平台和众创空间服务升级，为文化和旅游领域小微企业、民营企业融合发展营造良好政策环境。促进文旅市场监管融合，建设信用体系，实施各类专项整治、专项保障活动，开展重大案件评选、举报投诉受理、证件管理等工作，推动文化市场综合执法队伍整合组建。</w:t>
      </w:r>
    </w:p>
    <w:p w14:paraId="0EAA48D3">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竭力推动服务融合。</w:t>
      </w:r>
      <w:r>
        <w:rPr>
          <w:rFonts w:hint="eastAsia" w:cs="仿宋_GB2312"/>
          <w:color w:val="000000" w:themeColor="text1"/>
          <w:szCs w:val="28"/>
          <w14:textFill>
            <w14:solidFill>
              <w14:schemeClr w14:val="tx1"/>
            </w14:solidFill>
          </w14:textFill>
        </w:rPr>
        <w:t>统筹公共服务设施建设管理，探索建设、改造一批文化和旅游综合服务设施，推动公共文化设施和旅游景区的厕所同标准规划、建设、管理。在旅游公共服务设施修建、改造中，增加文化内涵、彰显地方特色。利用公共文化机构平台，加大文明旅游宣传力度。进一步统筹公共服务机构功能设置，加强临武重要旅游景区、旅游度假区公共服务能力，加强管理和培训，进一步提升服务人员职业素质，建立景区顾客服务满意度考评制度和奖惩机制。构建主客共享的文化和旅游新空间，在游客聚集区积极引入影院、剧场、书店等文化设施。</w:t>
      </w:r>
    </w:p>
    <w:p w14:paraId="0835B665">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35" w:name="_Toc88315811"/>
      <w:r>
        <w:rPr>
          <w:rFonts w:hint="eastAsia" w:ascii="黑体" w:hAnsi="黑体" w:eastAsia="黑体" w:cs="黑体"/>
          <w:b w:val="0"/>
          <w:bCs w:val="0"/>
          <w:color w:val="000000" w:themeColor="text1"/>
          <w:szCs w:val="28"/>
          <w14:textFill>
            <w14:solidFill>
              <w14:schemeClr w14:val="tx1"/>
            </w14:solidFill>
          </w14:textFill>
        </w:rPr>
        <w:t>第三节  实施全域旅游战略</w:t>
      </w:r>
      <w:bookmarkEnd w:id="135"/>
    </w:p>
    <w:p w14:paraId="19351BC9">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在武水河沿线，重点打造紫薇天下、龙归坪生态庄园、卧龙田园综合体等生态旅游精品。在秦汉古道沿线，重点打造戍卒文化、盐铁文化、南迁文化、科举文化等主题文化公园。在岳临高速沿线，重点打造通天山、西瑶绿谷、临武龙宫、龙文化微电影小镇等重点特色景区。同时大力建设旅游公路，将各景区景点融合串联，县内县外交通联通，全面拓宽旅游空间。</w:t>
      </w:r>
    </w:p>
    <w:p w14:paraId="38373A04">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文旅产业培育工程</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8"/>
      </w:tblGrid>
      <w:tr w14:paraId="6293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8" w:type="dxa"/>
            <w:shd w:val="clear" w:color="auto" w:fill="auto"/>
          </w:tcPr>
          <w:p w14:paraId="65E37E5E">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b/>
                <w:bCs/>
              </w:rPr>
              <w:t>龙文化主题文旅项目。</w:t>
            </w:r>
            <w:r>
              <w:rPr>
                <w:rFonts w:hint="eastAsia"/>
              </w:rPr>
              <w:t>以石门龙洞的“石龙”为印象，结合临武丰富的“龙文化”元素，计划建设龙文化博物馆、龙宫生态文化旅游区、中华龙坛、中国龙文化创意产业园、华夏龙文化微电影小镇等项目，打响临武龙文化文旅品牌。</w:t>
            </w:r>
          </w:p>
          <w:p w14:paraId="3A3A48F4">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b/>
                <w:bCs/>
              </w:rPr>
              <w:t>玉文化主题文旅项目。</w:t>
            </w:r>
            <w:r>
              <w:rPr>
                <w:rFonts w:hint="eastAsia"/>
              </w:rPr>
              <w:t>推进临武工业园区宝玉石文化旅游特色产业小镇项目，打造省级珠宝玉石检验检测中心等品牌，坚持推广临武宝玉石文化节等节会活动。结合通天山生态区风景开发建设，提高通天美玉知名度，叫响“通天美景·华夏瑰宝”独特品牌。</w:t>
            </w:r>
          </w:p>
          <w:p w14:paraId="5C97000D">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b/>
                <w:bCs/>
              </w:rPr>
              <w:t>舜文化主题文旅项目。</w:t>
            </w:r>
            <w:r>
              <w:rPr>
                <w:rFonts w:hint="eastAsia"/>
              </w:rPr>
              <w:t>深入挖掘舜帝南巡临武故事，提升舜峰寨公园建设，促进文演类项目及相关旅游产品开发营销，推进“舜”字号品牌建设。</w:t>
            </w:r>
          </w:p>
          <w:p w14:paraId="58811C0B">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b/>
                <w:bCs/>
              </w:rPr>
              <w:t>湘粤文化文旅建设项目。</w:t>
            </w:r>
            <w:r>
              <w:rPr>
                <w:rFonts w:hint="eastAsia"/>
              </w:rPr>
              <w:t>推动秦汉古道沿线文旅项目建设，沿古道沿线重点打造戍卒文化、盐铁文化、南迁文化、科举文化等主题文化公园。</w:t>
            </w:r>
          </w:p>
          <w:p w14:paraId="1F5F2D01">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b/>
                <w:bCs/>
              </w:rPr>
              <w:t>傩文化主题文旅项目。</w:t>
            </w:r>
            <w:r>
              <w:rPr>
                <w:rFonts w:hint="eastAsia"/>
              </w:rPr>
              <w:t>依托西瑶绿谷国家森林公园生态景区自然及人文资源，进行高标准招标引商，进一步完善景区基础设施建设，完成相关提质改建工程，优化服务区管理建设，提升公园整体服务水平，打造标志性建筑群；完成打造临武傩文化文旅开发工程。</w:t>
            </w:r>
          </w:p>
          <w:p w14:paraId="0BC31EAF">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b/>
                <w:bCs/>
              </w:rPr>
              <w:t>花塘乡香花铺龙道景区建设项目。</w:t>
            </w:r>
            <w:r>
              <w:rPr>
                <w:rFonts w:hint="eastAsia"/>
              </w:rPr>
              <w:t>深入挖掘龙道景区由矿物晶体“装饰”的自然风景，结合附近村庄打造“美丽乡村”。</w:t>
            </w:r>
          </w:p>
        </w:tc>
      </w:tr>
    </w:tbl>
    <w:p w14:paraId="47843A2A">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56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 xml:space="preserve"> </w:t>
      </w:r>
      <w:bookmarkStart w:id="136" w:name="_Toc88315812"/>
      <w:r>
        <w:rPr>
          <w:rFonts w:hint="eastAsia" w:ascii="方正大标宋简体" w:hAnsi="方正大标宋简体" w:eastAsia="方正大标宋简体" w:cs="方正大标宋简体"/>
          <w:sz w:val="36"/>
          <w:szCs w:val="36"/>
        </w:rPr>
        <w:t>全力推动文化事业蓬勃发展</w:t>
      </w:r>
      <w:bookmarkEnd w:id="136"/>
    </w:p>
    <w:p w14:paraId="49711F2D">
      <w:pPr>
        <w:pStyle w:val="57"/>
        <w:keepNext w:val="0"/>
        <w:keepLines w:val="0"/>
        <w:pageBreakBefore w:val="0"/>
        <w:widowControl w:val="0"/>
        <w:kinsoku/>
        <w:wordWrap w:val="0"/>
        <w:overflowPunct/>
        <w:topLinePunct/>
        <w:autoSpaceDE/>
        <w:autoSpaceDN/>
        <w:bidi w:val="0"/>
        <w:adjustRightInd/>
        <w:snapToGrid/>
        <w:spacing w:line="60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健全现代公共文化服务体系，进一步提升公共文化辐射力和服务水平，大力发展非遗文化，促进文化传播力不断提升、文化软实力不断增强，文化事业繁荣蓬勃发展。</w:t>
      </w:r>
    </w:p>
    <w:p w14:paraId="3C150130">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37" w:name="_Toc88315813"/>
      <w:r>
        <w:rPr>
          <w:rFonts w:hint="eastAsia" w:ascii="黑体" w:hAnsi="黑体" w:eastAsia="黑体" w:cs="黑体"/>
          <w:b w:val="0"/>
          <w:bCs w:val="0"/>
          <w:color w:val="000000" w:themeColor="text1"/>
          <w:szCs w:val="28"/>
          <w14:textFill>
            <w14:solidFill>
              <w14:schemeClr w14:val="tx1"/>
            </w14:solidFill>
          </w14:textFill>
        </w:rPr>
        <w:t>第一节  打造公共文化服务体系</w:t>
      </w:r>
      <w:bookmarkEnd w:id="137"/>
    </w:p>
    <w:p w14:paraId="2A5318A6">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基本公共文化服务均等化</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健全公共文化设施运行管理标准和服务标准体系，规范各类公共文化机构服务项目和流程。以标准化促进均等化，填平补齐公共文化资源，推动区域间、城乡间公共文化服务均衡协调发展。推进乡镇和村</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社区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综合性文化服务中心建设，充分发挥村民服务中心、社区综合服务设施、党群活动中心等主阵地作用，将老年人、未成年人、残疾人、农民工、农村留守妇女儿童作为公共文化服务的重点对象，有针对性地开展各类公益性文化服务活动。全力推进县乡村三级文化服务阵地建设，着力打造城乡一体化公共文化服务体系。继续推进文化馆、图书馆、电子阅览室、综合阅览室等文化基础设施建设。</w:t>
      </w:r>
    </w:p>
    <w:p w14:paraId="5C2BB6EC">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强化公共文化服务产品供给。</w:t>
      </w:r>
      <w:r>
        <w:rPr>
          <w:rFonts w:hint="eastAsia" w:cs="仿宋_GB2312"/>
          <w:color w:val="000000" w:themeColor="text1"/>
          <w:szCs w:val="28"/>
          <w14:textFill>
            <w14:solidFill>
              <w14:schemeClr w14:val="tx1"/>
            </w14:solidFill>
          </w14:textFill>
        </w:rPr>
        <w:t>建立健全群众文化需求反馈机制，开展“菜单式”“订单式”服务；加大对跨部门、跨行业、跨地域公共文化资源的整合力度，建设公共文化服务机构横向、纵向、区域联盟，推进公共文化服务互联互通，实现区域文化共建共享；创作生产更多传播当代中国价值观念，体现中华优秀文化，反映各族群众审美追求，思想性、艺术性、观赏性有机统一的优秀文化产品；积极开展全民艺术普及、全民阅读、全民健身、全民科普活动。</w:t>
      </w:r>
    </w:p>
    <w:p w14:paraId="57662A2F">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推动“互联网+公共文化服务”建设。</w:t>
      </w:r>
      <w:r>
        <w:rPr>
          <w:rFonts w:hint="eastAsia" w:cs="仿宋_GB2312"/>
          <w:color w:val="000000" w:themeColor="text1"/>
          <w:szCs w:val="28"/>
          <w14:textFill>
            <w14:solidFill>
              <w14:schemeClr w14:val="tx1"/>
            </w14:solidFill>
          </w14:textFill>
        </w:rPr>
        <w:t>结合“宽带中国” “智慧城市”等国家和湖南省重大信息工程建设，加快推进公共文化机构数字化建设；统筹实施文化信息资源共享、贫困地区公共数字文化提档升级、数字图书馆、数字文化馆、数字博物馆、直播卫星广播电视公共服务、农村数字电影放映、数字农家书屋、城乡电子阅报屏等项目建设，构建标准统一、互联互通的公共数字文化服务网络。</w:t>
      </w:r>
    </w:p>
    <w:p w14:paraId="3FF6B82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38" w:name="_Toc88315814"/>
      <w:r>
        <w:rPr>
          <w:rFonts w:hint="eastAsia" w:ascii="黑体" w:hAnsi="黑体" w:eastAsia="黑体" w:cs="黑体"/>
          <w:b w:val="0"/>
          <w:bCs w:val="0"/>
          <w:color w:val="000000" w:themeColor="text1"/>
          <w:szCs w:val="28"/>
          <w14:textFill>
            <w14:solidFill>
              <w14:schemeClr w14:val="tx1"/>
            </w14:solidFill>
          </w14:textFill>
        </w:rPr>
        <w:t>第二节  加强文化遗产保护传承</w:t>
      </w:r>
      <w:bookmarkEnd w:id="138"/>
    </w:p>
    <w:p w14:paraId="6408D396">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提高非物质文化遗产保护传承水平。</w:t>
      </w:r>
      <w:r>
        <w:rPr>
          <w:rFonts w:hint="eastAsia" w:cs="仿宋_GB2312"/>
          <w:color w:val="000000" w:themeColor="text1"/>
          <w:szCs w:val="28"/>
          <w14:textFill>
            <w14:solidFill>
              <w14:schemeClr w14:val="tx1"/>
            </w14:solidFill>
          </w14:textFill>
        </w:rPr>
        <w:t>按照注重临武文化遗产的真实性、整体性、传承性和保护性为主，抢救第一、综合利用，传承发展的方针，充分保护和传承非物质文化遗产。以传承人培养为核心，以融入现代生活为导向，完善保护制度，扩大传承人群，巩固抢救保护成果，提高保护传承水平，促进非物质文化遗产可持续发展。弘扬舜文化、龙文化、玉文化、傩文化、湖湘文化、七夕文化、瑶族传统文化，传承民族精神。开展打击文物犯罪专项行动，将保护文物安全落到实处。</w:t>
      </w:r>
    </w:p>
    <w:p w14:paraId="16029002">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弘扬临武特色民俗文化。</w:t>
      </w:r>
      <w:r>
        <w:rPr>
          <w:rFonts w:hint="eastAsia" w:cs="仿宋_GB2312"/>
          <w:color w:val="000000" w:themeColor="text1"/>
          <w:szCs w:val="28"/>
          <w14:textFill>
            <w14:solidFill>
              <w14:schemeClr w14:val="tx1"/>
            </w14:solidFill>
          </w14:textFill>
        </w:rPr>
        <w:t>大力传承发展临武傩戏、临武祁剧、临武小调、临武跳龙、临武瑶族长鼓舞、湘南民居木雕技艺、龙须草席编制技艺、武源闹春习俗、大头罗汉舞，打造临武传统文化名片。以梧桐书院为抓手，通过开堂讲座、研学旅行、夏令营等多种形式，打造建设成为中华优秀文化传承传播基地、湖南国学教育人才高地、现代教育的重要补充场所。依托龙归坪村，以“龙文化”为主题的传统古村落为目标，打造成集文化体验、写生摄影、观光游览、休闲娱乐等功能为一体的美丽乡村。</w:t>
      </w:r>
    </w:p>
    <w:p w14:paraId="151D8AB6">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加强文物保护。</w:t>
      </w:r>
      <w:r>
        <w:rPr>
          <w:rFonts w:hint="eastAsia" w:cs="仿宋_GB2312"/>
          <w:bCs/>
          <w:color w:val="000000" w:themeColor="text1"/>
          <w:szCs w:val="28"/>
          <w14:textFill>
            <w14:solidFill>
              <w14:schemeClr w14:val="tx1"/>
            </w14:solidFill>
          </w14:textFill>
        </w:rPr>
        <w:t>以渡头古城遗址被公布为第八批全国重点文物保护单位契机，积极与上级沟通对接，编制好渡头古城遗址保护规划与大遗址公园展示工程的立项报告，争取国家专项资金支持。编制好文物保护修缮方案，实施一批重点文物的修缮保护工程和消防工程。推进博物馆建设与展陈，充分展示千年古县的悠久历史和灿烂文化，力争纳入中央补助地方博物馆、纪念馆免费开放专项资金范围。</w:t>
      </w:r>
    </w:p>
    <w:p w14:paraId="305CD8C5">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39" w:name="_Toc88315815"/>
      <w:bookmarkStart w:id="140" w:name="_Toc59639382"/>
      <w:r>
        <w:rPr>
          <w:rFonts w:hint="eastAsia" w:ascii="黑体" w:hAnsi="黑体" w:eastAsia="黑体" w:cs="黑体"/>
          <w:b w:val="0"/>
          <w:bCs w:val="0"/>
          <w:color w:val="000000" w:themeColor="text1"/>
          <w:szCs w:val="28"/>
          <w14:textFill>
            <w14:solidFill>
              <w14:schemeClr w14:val="tx1"/>
            </w14:solidFill>
          </w14:textFill>
        </w:rPr>
        <w:t>第三节  持续提高文化软实力</w:t>
      </w:r>
      <w:bookmarkEnd w:id="139"/>
      <w:bookmarkEnd w:id="140"/>
    </w:p>
    <w:p w14:paraId="3B8A0CFC">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提升文化竞争力。</w:t>
      </w:r>
      <w:r>
        <w:rPr>
          <w:rFonts w:hint="eastAsia" w:cs="仿宋_GB2312"/>
          <w:color w:val="000000" w:themeColor="text1"/>
          <w:szCs w:val="28"/>
          <w14:textFill>
            <w14:solidFill>
              <w14:schemeClr w14:val="tx1"/>
            </w14:solidFill>
          </w14:textFill>
        </w:rPr>
        <w:t>促进文化产业转型升级，围绕创建“省级全域旅游示范县”目标，持续推进“文化兴县”战略，深入挖掘特色文化，打造“通天美景</w:t>
      </w:r>
      <w:r>
        <w:rPr>
          <w:rFonts w:hint="eastAsia"/>
        </w:rPr>
        <w:t>·</w:t>
      </w:r>
      <w:r>
        <w:rPr>
          <w:rFonts w:hint="eastAsia" w:cs="仿宋_GB2312"/>
          <w:color w:val="000000" w:themeColor="text1"/>
          <w:szCs w:val="28"/>
          <w14:textFill>
            <w14:solidFill>
              <w14:schemeClr w14:val="tx1"/>
            </w14:solidFill>
          </w14:textFill>
        </w:rPr>
        <w:t>华夏瑰宝”文化旅游品牌，加快推进舜武文体学校、卧龙谷、石林百花园、龙憩国际酒店等项目建设。通过引凤</w:t>
      </w:r>
      <w:r>
        <w:rPr>
          <w:rFonts w:hint="eastAsia" w:cs="仿宋_GB2312"/>
          <w:color w:val="000000" w:themeColor="text1"/>
          <w:szCs w:val="28"/>
          <w:lang w:eastAsia="zh-CN"/>
          <w14:textFill>
            <w14:solidFill>
              <w14:schemeClr w14:val="tx1"/>
            </w14:solidFill>
          </w14:textFill>
        </w:rPr>
        <w:t>筑巢</w:t>
      </w:r>
      <w:r>
        <w:rPr>
          <w:rFonts w:hint="eastAsia" w:cs="仿宋_GB2312"/>
          <w:color w:val="000000" w:themeColor="text1"/>
          <w:szCs w:val="28"/>
          <w14:textFill>
            <w14:solidFill>
              <w14:schemeClr w14:val="tx1"/>
            </w14:solidFill>
          </w14:textFill>
        </w:rPr>
        <w:t>，着</w:t>
      </w:r>
      <w:r>
        <w:rPr>
          <w:rFonts w:hint="eastAsia" w:cs="仿宋_GB2312"/>
          <w:color w:val="000000" w:themeColor="text1"/>
          <w:spacing w:val="-6"/>
          <w:szCs w:val="28"/>
          <w14:textFill>
            <w14:solidFill>
              <w14:schemeClr w14:val="tx1"/>
            </w14:solidFill>
          </w14:textFill>
        </w:rPr>
        <w:t>力引进优秀旅游策划团队和旅游投资开发企业，重点开发通天山、临武龙宫等景点，引进市场主体经营西瑶绿谷，形成良性发展。力争黄龙山植物园创建为</w:t>
      </w:r>
      <w:r>
        <w:rPr>
          <w:rFonts w:hint="eastAsia" w:cs="仿宋_GB2312"/>
          <w:color w:val="000000" w:themeColor="text1"/>
          <w:spacing w:val="-6"/>
          <w:szCs w:val="28"/>
          <w:lang w:eastAsia="zh-CN"/>
          <w14:textFill>
            <w14:solidFill>
              <w14:schemeClr w14:val="tx1"/>
            </w14:solidFill>
          </w14:textFill>
        </w:rPr>
        <w:t>国家3A级旅游景区</w:t>
      </w:r>
      <w:r>
        <w:rPr>
          <w:rFonts w:hint="eastAsia" w:cs="仿宋_GB2312"/>
          <w:color w:val="000000" w:themeColor="text1"/>
          <w:spacing w:val="-6"/>
          <w:szCs w:val="28"/>
          <w14:textFill>
            <w14:solidFill>
              <w14:schemeClr w14:val="tx1"/>
            </w14:solidFill>
          </w14:textFill>
        </w:rPr>
        <w:t>，进一步提升景点景区建设和运营水平。</w:t>
      </w:r>
    </w:p>
    <w:p w14:paraId="16B1D7B5">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搭建文化发展平台。</w:t>
      </w:r>
      <w:r>
        <w:rPr>
          <w:rFonts w:hint="eastAsia" w:cs="仿宋_GB2312"/>
          <w:color w:val="000000" w:themeColor="text1"/>
          <w:szCs w:val="28"/>
          <w14:textFill>
            <w14:solidFill>
              <w14:schemeClr w14:val="tx1"/>
            </w14:solidFill>
          </w14:textFill>
        </w:rPr>
        <w:t>加快戏曲文化生态保护区规划编制工作，加快旅游综合服务平台建设，实施全域旅游规划编制和智慧旅游平台建设，建立健全智慧旅游信息网络和数据库，逐步实现旅游信息共享。依托旅游交通导览系统，充分利用游客集散中心，推动文旅产业融合。借助信息时代融媒体、自媒体、本地名人的宣传效应，加快本地文化产品、文旅产品的推广和宣传。推进“旅游+体育”融合发展，继续办好体育旅游节等赛事活动，带动人气，引进游客，提升临武知名度和美誉度，进一步推动全域旅游发展。</w:t>
      </w:r>
    </w:p>
    <w:p w14:paraId="2F48C864">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420" w:hanging="420"/>
        <w:textAlignment w:val="auto"/>
        <w:rPr>
          <w:rFonts w:hint="eastAsia" w:ascii="方正大标宋简体" w:hAnsi="方正大标宋简体" w:eastAsia="方正大标宋简体" w:cs="方正大标宋简体"/>
          <w:sz w:val="36"/>
          <w:szCs w:val="36"/>
        </w:rPr>
      </w:pPr>
      <w:bookmarkStart w:id="141" w:name="_Toc59639383"/>
      <w:r>
        <w:rPr>
          <w:rFonts w:hint="eastAsia" w:ascii="方正大标宋简体" w:hAnsi="方正大标宋简体" w:eastAsia="方正大标宋简体" w:cs="方正大标宋简体"/>
          <w:sz w:val="36"/>
          <w:szCs w:val="36"/>
        </w:rPr>
        <w:t xml:space="preserve"> </w:t>
      </w:r>
      <w:bookmarkStart w:id="142" w:name="_Toc88315816"/>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推动精神文明创建</w:t>
      </w:r>
      <w:bookmarkEnd w:id="141"/>
      <w:bookmarkEnd w:id="142"/>
    </w:p>
    <w:p w14:paraId="7323D557">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积极开展精神文明创建活动，切实提升文明创建质量与水平；深入开展群众性精神文明创建活动，不断提升居民文化素质和社会文明程度。</w:t>
      </w:r>
    </w:p>
    <w:p w14:paraId="55C673BA">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43" w:name="_Toc59639384"/>
      <w:bookmarkStart w:id="144" w:name="_Toc88315817"/>
      <w:r>
        <w:rPr>
          <w:rFonts w:hint="eastAsia" w:ascii="黑体" w:hAnsi="黑体" w:eastAsia="黑体" w:cs="黑体"/>
          <w:b w:val="0"/>
          <w:bCs w:val="0"/>
          <w:color w:val="000000" w:themeColor="text1"/>
          <w:szCs w:val="28"/>
          <w14:textFill>
            <w14:solidFill>
              <w14:schemeClr w14:val="tx1"/>
            </w14:solidFill>
          </w14:textFill>
        </w:rPr>
        <w:t>第一节  完善社会主义核心价值体系</w:t>
      </w:r>
      <w:bookmarkEnd w:id="143"/>
      <w:bookmarkEnd w:id="144"/>
    </w:p>
    <w:p w14:paraId="611A771D">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践行社会主义核心价值观</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深入挖掘和阐释中华优秀传统文化的时代价值，使中华优秀传统文化成为涵养社会主义核心价值观的重要源泉。进一步巩固文明城市创建成果，以全国文明城市创建为目标，深化社会主义核心价值观宣传普及，利用公园、广场、车站等公共场所，建设一批特色鲜明的主题公园、主题广场、主题街道，推出系列社会主义核心价值观公益广告。充分利用微信、微博、移动互联网等新兴媒体，全面提升城市文明程度，积极发动社会资源，广泛利用各种社会媒介全力推进公益广告宣传工作。继续深入创建文明卫生、文明交通、文明餐桌、文明礼仪、文明旅游等系列活动。</w:t>
      </w:r>
    </w:p>
    <w:p w14:paraId="5A509369">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全面开展爱国主义教育。</w:t>
      </w:r>
      <w:r>
        <w:rPr>
          <w:rFonts w:hint="eastAsia" w:cs="仿宋_GB2312"/>
          <w:color w:val="000000" w:themeColor="text1"/>
          <w:szCs w:val="28"/>
          <w14:textFill>
            <w14:solidFill>
              <w14:schemeClr w14:val="tx1"/>
            </w14:solidFill>
          </w14:textFill>
        </w:rPr>
        <w:t>深入贯彻《新时代爱国主义教育实施纲要》，把爱国主义教育作为精神文明建设的鲜明主题，贯穿到精神文明建设工作的各个方面。充分利用纪念活动、爱国主义教育基地、民族传统节庆等载体，不断丰富教育内容、创新教育载体、增强教育效果。大力实施革命纪念设施“提质工程”、陈列展览“创新工程”、大力实施培育时代新人“传承工程”、大力实施红色文化传播“品牌工程”、大力实施红色文化旅游“融合工程”，充分利用湖南“锦绣潇湘”全域旅游基地建设机遇，传承红色文化，加强爱国主义教育。</w:t>
      </w:r>
    </w:p>
    <w:p w14:paraId="17432C65">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加强新时代公民道德建设。</w:t>
      </w:r>
      <w:r>
        <w:rPr>
          <w:rFonts w:hint="eastAsia" w:cs="仿宋_GB2312"/>
          <w:color w:val="000000" w:themeColor="text1"/>
          <w:szCs w:val="28"/>
          <w14:textFill>
            <w14:solidFill>
              <w14:schemeClr w14:val="tx1"/>
            </w14:solidFill>
          </w14:textFill>
        </w:rPr>
        <w:t>以培育和践行社会主义核心价值观为根本，深入贯彻《新时代公民道德建设实施纲要》，建立与经济社会发展相适应的道德体系。继续推动开展“文明宣传教育活动”、“思想道德教育活动”、“文明行为实践活动”、“社会志愿服务活动”、“文明餐桌活动”、“系列好人评选活动”，强化公民道德建设。用好人精神持续打造道德之城，带动和促进市民文明素质提升，建立崇德向善的社会环境。构筑城市道德高地，厚植文明沃土，加强公民道德建设，全方位提升临武文明程度。</w:t>
      </w:r>
    </w:p>
    <w:p w14:paraId="1F13D97E">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45" w:name="_Toc88315818"/>
      <w:r>
        <w:rPr>
          <w:rFonts w:hint="eastAsia" w:ascii="黑体" w:hAnsi="黑体" w:eastAsia="黑体" w:cs="黑体"/>
          <w:b w:val="0"/>
          <w:bCs w:val="0"/>
          <w:color w:val="000000" w:themeColor="text1"/>
          <w:szCs w:val="28"/>
          <w14:textFill>
            <w14:solidFill>
              <w14:schemeClr w14:val="tx1"/>
            </w14:solidFill>
          </w14:textFill>
        </w:rPr>
        <w:t>第二节  提升新时代文明创建水平</w:t>
      </w:r>
      <w:bookmarkEnd w:id="145"/>
    </w:p>
    <w:p w14:paraId="442C5774">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深化文明村镇创建。</w:t>
      </w:r>
      <w:r>
        <w:rPr>
          <w:rFonts w:hint="eastAsia" w:cs="仿宋_GB2312"/>
          <w:color w:val="000000" w:themeColor="text1"/>
          <w:szCs w:val="28"/>
          <w14:textFill>
            <w14:solidFill>
              <w14:schemeClr w14:val="tx1"/>
            </w14:solidFill>
          </w14:textFill>
        </w:rPr>
        <w:t>以培育和践行社会主义核心价值观为根本，大力推进公民思想道德建设，深入开展群众性精神文明创建活动，着力提升村民文明素质。践行人民至上宗旨，不断加强社会主义精神文明建设，持续深化群众性精神文明创建活动和未成年人思想道德建设工作，着力培养担当民族复兴大任的时代新人，着力弘扬共筑美好生活梦想的时代新风。推广汾市镇白石村“全国文明村镇”创建经验，打造文明村镇新典范，力争“十四五”期间省市文明村镇创建数量、品质再上台阶，文明乡镇100%，文明村</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社区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50%。</w:t>
      </w:r>
    </w:p>
    <w:p w14:paraId="43445CD0">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深化文明单位创建。</w:t>
      </w:r>
      <w:r>
        <w:rPr>
          <w:rFonts w:hint="eastAsia" w:cs="仿宋_GB2312"/>
          <w:color w:val="000000" w:themeColor="text1"/>
          <w:szCs w:val="28"/>
          <w14:textFill>
            <w14:solidFill>
              <w14:schemeClr w14:val="tx1"/>
            </w14:solidFill>
          </w14:textFill>
        </w:rPr>
        <w:t>把文明创建落到激发干事热情和参与文明城市创建、乡村振兴、新时代文明实践中心试点建设、推进移风易俗、服务企业群众等实际行动上来，充分发挥文明单位的示范性和带动性，积极引导各级文明单位履行社会责任，巩固脱贫攻坚成果，帮助贫困群众增收致富。推动新经济组织、新社会组织开展精神文明创建活动。</w:t>
      </w:r>
    </w:p>
    <w:p w14:paraId="7AA026B1">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深化文明家庭创建。</w:t>
      </w:r>
      <w:r>
        <w:rPr>
          <w:rFonts w:hint="eastAsia" w:cs="仿宋_GB2312"/>
          <w:color w:val="000000" w:themeColor="text1"/>
          <w:szCs w:val="28"/>
          <w14:textFill>
            <w14:solidFill>
              <w14:schemeClr w14:val="tx1"/>
            </w14:solidFill>
          </w14:textFill>
        </w:rPr>
        <w:t>扎实推动家庭、家教、家风建设，以“注重家庭、注重家教、注重家风”为着力点，以提升公民素质、促进家庭和谐、提高社会文明程度为落脚点，广泛深入开展家庭文明创建活动。在全社会广泛开展“文明家庭”“五好家庭”“最美家庭”星级文明户、书香家庭、平安家庭等各具特色的创建活动。</w:t>
      </w:r>
    </w:p>
    <w:p w14:paraId="06FEDE9D">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深化文明校园创建。</w:t>
      </w:r>
      <w:r>
        <w:rPr>
          <w:rFonts w:hint="eastAsia" w:cs="仿宋_GB2312"/>
          <w:color w:val="000000" w:themeColor="text1"/>
          <w:szCs w:val="28"/>
          <w14:textFill>
            <w14:solidFill>
              <w14:schemeClr w14:val="tx1"/>
            </w14:solidFill>
          </w14:textFill>
        </w:rPr>
        <w:t>围绕实现文明校园创建全覆盖目标，突出师德建设和学生品德建设，加强对校园周边环境的清理、净化，不断努力形成党政各部门和社会各方面齐抓共管、携手育人的良好局面。坚持教育为本、德育为先，以师德师风建设、提升学生文明素养、校园文化建设为主要内容，抓好文明校园创建。充分发挥学校的主体作用，形成学校党政领导负责，各职能部门各司其职、密切配合，全校师生共同参与的工作机制，把文明校园打造成精神文明建设的响亮品牌，中小学校文明校园创建活动覆盖面达100%。</w:t>
      </w:r>
    </w:p>
    <w:p w14:paraId="16358F79">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深化诚信之城创建。</w:t>
      </w:r>
      <w:r>
        <w:rPr>
          <w:rFonts w:hint="eastAsia" w:cs="仿宋_GB2312"/>
          <w:color w:val="000000" w:themeColor="text1"/>
          <w:szCs w:val="28"/>
          <w14:textFill>
            <w14:solidFill>
              <w14:schemeClr w14:val="tx1"/>
            </w14:solidFill>
          </w14:textFill>
        </w:rPr>
        <w:t>深入贯彻习近平新时代中国特色社会主义思想和党的十九大和十九届二中、三中、四中、五中全会精神，认真学习贯彻习近平总书记关于加强诚信建设的重要指示精神，坚持以人民为中心的发展思想，坚持培育和践行社会主义核心价值观，加强政务诚信、商务诚信、社会诚信、司法公信建设，深入推进诚信建设制度化，加强诚信宣传教育，加强征信体系建设，加强集中专项治理，严肃查处失信行为，构建信用联合奖惩联动机制，</w:t>
      </w:r>
      <w:r>
        <w:rPr>
          <w:rFonts w:hint="eastAsia" w:cs="仿宋_GB2312"/>
          <w:color w:val="000000" w:themeColor="text1"/>
          <w:szCs w:val="28"/>
          <w:lang w:eastAsia="zh-CN"/>
          <w14:textFill>
            <w14:solidFill>
              <w14:schemeClr w14:val="tx1"/>
            </w14:solidFill>
          </w14:textFill>
        </w:rPr>
        <w:t>常抓不懈</w:t>
      </w:r>
      <w:r>
        <w:rPr>
          <w:rFonts w:hint="eastAsia" w:cs="仿宋_GB2312"/>
          <w:color w:val="000000" w:themeColor="text1"/>
          <w:szCs w:val="28"/>
          <w14:textFill>
            <w14:solidFill>
              <w14:schemeClr w14:val="tx1"/>
            </w14:solidFill>
          </w14:textFill>
        </w:rPr>
        <w:t>，久久为功，打造不敢失信、不能失信、不愿失信的社会环境，形成全社会诚实守信、重信守诺的良好风尚，将临武打造成省内一流、全国知名的“诚信之城”，为创建全国文明城市，加快建设“五个临武”提供强大的精神力量和道德支撑。</w:t>
      </w:r>
    </w:p>
    <w:p w14:paraId="584F8211">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深化体育之城创建。</w:t>
      </w:r>
      <w:r>
        <w:rPr>
          <w:rFonts w:hint="eastAsia" w:cs="仿宋_GB2312"/>
          <w:color w:val="000000" w:themeColor="text1"/>
          <w:szCs w:val="28"/>
          <w14:textFill>
            <w14:solidFill>
              <w14:schemeClr w14:val="tx1"/>
            </w14:solidFill>
          </w14:textFill>
        </w:rPr>
        <w:t>加强城区体育基础设施建设，加快乡镇、村</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社区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级体育健身工程建设，强化体育公共服务职能，完善全民健身服务体系，切实保障人民群众参加体育活动的权利。按照公共体育设施用地定额指标的规定，合理布局体育设施，确保体育设施项目建设顺利实施；在旧城改建中要保障体育设施建设预留地，采用土地盘活政策，改建落后设施，提高旧城区体育设施利用率。妥善安排重大体育建设项目的用地指标，加快体育场馆设施建设。规划主管部门在控制性详细规划、重要地块的修建性详细规划，人口规模在1000以上居住小区规划方案审查阶段，应征求体育主管部门意见。新建、改建的居民住宅区以及学校必须配套建设体育设施，并应当与主体工程同时设计、同时施工、同时验收、同时投入使用。</w:t>
      </w:r>
    </w:p>
    <w:p w14:paraId="353AD1E7">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46" w:name="_Toc88315819"/>
      <w:r>
        <w:rPr>
          <w:rFonts w:hint="eastAsia" w:ascii="黑体" w:hAnsi="黑体" w:eastAsia="黑体" w:cs="黑体"/>
          <w:b w:val="0"/>
          <w:bCs w:val="0"/>
          <w:color w:val="000000" w:themeColor="text1"/>
          <w:szCs w:val="28"/>
          <w14:textFill>
            <w14:solidFill>
              <w14:schemeClr w14:val="tx1"/>
            </w14:solidFill>
          </w14:textFill>
        </w:rPr>
        <w:t>第三节  倡导文明社会新风尚</w:t>
      </w:r>
      <w:bookmarkEnd w:id="146"/>
    </w:p>
    <w:p w14:paraId="73ADBBB1">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持续提升居民素质。</w:t>
      </w:r>
      <w:r>
        <w:rPr>
          <w:rFonts w:hint="eastAsia" w:cs="仿宋_GB2312"/>
          <w:color w:val="000000" w:themeColor="text1"/>
          <w:szCs w:val="28"/>
          <w14:textFill>
            <w14:solidFill>
              <w14:schemeClr w14:val="tx1"/>
            </w14:solidFill>
          </w14:textFill>
        </w:rPr>
        <w:t>深入贯彻实施《郴州市文明行为促进条例》，鼓励居民文明出行，在全社会倡导礼让斑马线、排队上下车、不乱扔杂物等良好行为，组织开展“排队日”、“让座日”等主题活动，大力弘扬遵守秩序和文明礼让之风，进一步提升公民的法治意识、规则意识和公德意识。开展“节俭养德”、“文明餐桌”行动，在机关、学校、企业、社区、村居等公共场所开展多种形式的节俭养德宣传。开展公民文明旅游素质提升行动，利用五一、国庆、元旦等重要节点开展文明旅游集中宣传活动，形成文明旅游浓厚氛围，创建文明景区。</w:t>
      </w:r>
    </w:p>
    <w:p w14:paraId="6FBDFB26">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强化文明宣传。</w:t>
      </w:r>
      <w:r>
        <w:rPr>
          <w:rFonts w:hint="eastAsia" w:cs="仿宋_GB2312"/>
          <w:color w:val="000000" w:themeColor="text1"/>
          <w:szCs w:val="28"/>
          <w14:textFill>
            <w14:solidFill>
              <w14:schemeClr w14:val="tx1"/>
            </w14:solidFill>
          </w14:textFill>
        </w:rPr>
        <w:t>不断拓展、完善宣传手段，充分利用微信、微博、移动客户端及手机报等载体，提高报道的传播力和影响力，时刻让广大市民感受到创文的宏大声势，切实发挥精神文明建设耳濡目染、润物无声的教育引导效果。强化社会宣传，在主次干道、商业街区、公交站点、道路名牌、广场、公园、绿地、小区、建筑工地等设置文明城市公益广告宣传牌，加大宣传力度。以中小学生、社区居民等为重点，通过举办讲座、发放宣传单、签订承诺书、电话调查等方式，加大对居民的宣传教育力度。</w:t>
      </w:r>
    </w:p>
    <w:p w14:paraId="34DB1122">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深化残疾人精神文明建设。</w:t>
      </w:r>
      <w:r>
        <w:rPr>
          <w:rFonts w:hint="eastAsia" w:cs="仿宋_GB2312"/>
          <w:color w:val="000000" w:themeColor="text1"/>
          <w:szCs w:val="28"/>
          <w14:textFill>
            <w14:solidFill>
              <w14:schemeClr w14:val="tx1"/>
            </w14:solidFill>
          </w14:textFill>
        </w:rPr>
        <w:t>以文明创建为抓手，以残疾人社会保障体系和服务体系建设为重点，依托帮扶项目与培训工程，从综合救助到技能助残、从提供帮扶到就业服务，切实为残疾人解决最关心、最直接、最现实的问题。依托“全国助残日”、六一儿童节、“爱耳日”、“国际残疾人日”等重大节日，组织社会爱心人士开展扶残助残活动，在全社会形成扶残助残氛围。依托临武县特殊教育学校，提升适龄听力、智力、视力残疾儿童少年的义务教育水平，积极支持特殊教育发展。</w:t>
      </w:r>
    </w:p>
    <w:p w14:paraId="0824918F">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深化新时代文明实践。</w:t>
      </w:r>
      <w:r>
        <w:rPr>
          <w:rFonts w:hint="eastAsia" w:cs="仿宋_GB2312"/>
          <w:color w:val="000000" w:themeColor="text1"/>
          <w:szCs w:val="28"/>
          <w14:textFill>
            <w14:solidFill>
              <w14:schemeClr w14:val="tx1"/>
            </w14:solidFill>
          </w14:textFill>
        </w:rPr>
        <w:t>要深入学习贯彻习近平新时代中国特色社会主义思想和党的十九大精神，贯彻落实全国宣传思想工作会议精神，着眼凝聚群众、引导群众，牢牢把握传播新思想、引领新风尚的工作目标，统筹推进学习实践科学理论、宣传宣讲党的政策、培育践行主流价值、丰富活跃文化生活、持续深入移风易俗五项工作内容，扎实推进新时代文明实践中心工作，真正做到阵地资源整合到位、体制机制健全到位、服务群众精准到位，不断提升动员能力、整合能力、引导能力、服务能力，努力把中心建设成为学习传播科学理论的大众平台、加强基层思想政治工作的坚强阵地、培养时代新人和弘扬时代新风的精神家园、开展特色志愿服务的广阔舞台，更好地动员和激励广大农村群众积极投身社会主义现代化建设。</w:t>
      </w:r>
    </w:p>
    <w:p w14:paraId="3D92D50F">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sectPr>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7FD69DD8">
      <w:pPr>
        <w:pStyle w:val="3"/>
        <w:keepNext w:val="0"/>
        <w:keepLines w:val="0"/>
        <w:pageBreakBefore w:val="0"/>
        <w:widowControl w:val="0"/>
        <w:numPr>
          <w:ilvl w:val="0"/>
          <w:numId w:val="0"/>
        </w:numPr>
        <w:kinsoku/>
        <w:wordWrap w:val="0"/>
        <w:overflowPunct/>
        <w:topLinePunct/>
        <w:autoSpaceDE/>
        <w:autoSpaceDN/>
        <w:bidi w:val="0"/>
        <w:adjustRightInd/>
        <w:snapToGrid/>
        <w:spacing w:before="0" w:after="313" w:afterLines="100" w:line="580" w:lineRule="exact"/>
        <w:ind w:leftChars="0"/>
        <w:textAlignment w:val="auto"/>
        <w:rPr>
          <w:shd w:val="clear"/>
        </w:rPr>
      </w:pPr>
      <w:bookmarkStart w:id="147" w:name="_Toc88315820"/>
      <w:r>
        <w:rPr>
          <w:rFonts w:hint="eastAsia"/>
          <w:shd w:val="clear"/>
          <w:lang w:val="en-US" w:eastAsia="zh-CN"/>
        </w:rPr>
        <w:t xml:space="preserve">第十篇  </w:t>
      </w:r>
      <w:r>
        <w:rPr>
          <w:rFonts w:hint="eastAsia"/>
          <w:shd w:val="clear"/>
        </w:rPr>
        <w:t>切实加强生态环境保护</w:t>
      </w:r>
      <w:bookmarkEnd w:id="147"/>
    </w:p>
    <w:p w14:paraId="5FFC3474">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坚持“绿水青山就是金山银山”的绿色发展理念，立足强化湘江、珠江“源头担当”打造“两江之源”生态品牌的绿色发展目标，统筹打好蓝天碧水净土保卫战，全力整治环境污染，解决突出环境问题，坚定不移走生态优先、绿色发展之路。</w:t>
      </w:r>
    </w:p>
    <w:p w14:paraId="517EE0A5">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firstLine="42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48" w:name="_Toc88315821"/>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全面加强生态保护和修复</w:t>
      </w:r>
      <w:bookmarkEnd w:id="148"/>
    </w:p>
    <w:p w14:paraId="11107A81">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坚持保护优先、自然恢复为主的方针，强化底线约束，从构建“山水林田湖草”生命共同体角度，加强生态保护力度，着力推动重点生态系统修复，持续推进农村生态环保工作，全面加强临武县生态保护和修复，实现人与自然和谐相处。</w:t>
      </w:r>
    </w:p>
    <w:p w14:paraId="62EC25FE">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szCs w:val="28"/>
        </w:rPr>
      </w:pPr>
      <w:bookmarkStart w:id="149" w:name="_Toc88315822"/>
      <w:r>
        <w:rPr>
          <w:rFonts w:hint="eastAsia" w:ascii="黑体" w:hAnsi="黑体" w:eastAsia="黑体" w:cs="黑体"/>
          <w:b w:val="0"/>
          <w:bCs w:val="0"/>
          <w:szCs w:val="28"/>
        </w:rPr>
        <w:t>第一节  加强生态资源保护力度</w:t>
      </w:r>
      <w:bookmarkEnd w:id="149"/>
    </w:p>
    <w:p w14:paraId="7274DC99">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强化重要生态区自然资源保护</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持续加强西山黄沙坪、金仙寨自然保护区、舜峰寨公园、长河水库生态涵养林、西瑶绿谷国家森林公园等重点风景旅游区、重点水域廊道及湿地、野生动植物保护区等自然资源的保护。严格保持南岭山地森林重点生态功能区水源涵养功能，禁止区域内非保护性采伐，保护和恢复植被，保护珍稀动物。在生态保护区内的坡耕地逐步退耕还林，对已遭破坏的林地、植被有计划地进行修复和治理，增强水土保持能力。</w:t>
      </w:r>
    </w:p>
    <w:p w14:paraId="504AB43D">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加强重要水资源保护。</w:t>
      </w:r>
      <w:r>
        <w:rPr>
          <w:rFonts w:hint="eastAsia" w:cs="仿宋_GB2312"/>
          <w:color w:val="000000" w:themeColor="text1"/>
          <w:szCs w:val="28"/>
          <w14:textFill>
            <w14:solidFill>
              <w14:schemeClr w14:val="tx1"/>
            </w14:solidFill>
          </w14:textFill>
        </w:rPr>
        <w:t>持续做好武水河、人民河、长河水库、万水洞水库等县域内主要水库和滩涂的保护工作。坚持开发与保护并重，推进三十六湾地区、甘溪河流域、珠江源头北江流域等重要水系污染防治及河流沿岸环境治理工程。对县域内的水域廊道和湿地，严格执行“绝对生态控制区”和“建设控制区”两级保护的措施。</w:t>
      </w:r>
    </w:p>
    <w:p w14:paraId="5DE8E283">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积极开展生态文明示范建设。</w:t>
      </w:r>
      <w:r>
        <w:rPr>
          <w:rFonts w:hint="eastAsia" w:cs="仿宋_GB2312"/>
          <w:color w:val="000000" w:themeColor="text1"/>
          <w:szCs w:val="28"/>
          <w14:textFill>
            <w14:solidFill>
              <w14:schemeClr w14:val="tx1"/>
            </w14:solidFill>
          </w14:textFill>
        </w:rPr>
        <w:t>强化临武县重大交通基础设施建设和旅游资源开发的生态监管和恢复。积极开展生态文明示范建设，以临武县生态文明示范区建设为载体，加强生态创建工作，不断提高和完善生态文明建设水平。在县域内主要的高速公路和省道设置陆生生物多样性通道，进一步维护县域内生物多样性保护，实现人与自然和谐相处。</w:t>
      </w:r>
    </w:p>
    <w:p w14:paraId="3155688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50" w:name="_Toc88315823"/>
      <w:r>
        <w:rPr>
          <w:rFonts w:hint="eastAsia" w:ascii="黑体" w:hAnsi="黑体" w:eastAsia="黑体" w:cs="黑体"/>
          <w:b w:val="0"/>
          <w:bCs w:val="0"/>
          <w:color w:val="000000" w:themeColor="text1"/>
          <w:szCs w:val="28"/>
          <w14:textFill>
            <w14:solidFill>
              <w14:schemeClr w14:val="tx1"/>
            </w14:solidFill>
          </w14:textFill>
        </w:rPr>
        <w:t>第二节  重点推进水生态建设</w:t>
      </w:r>
      <w:bookmarkEnd w:id="150"/>
    </w:p>
    <w:p w14:paraId="0034C4D6">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b/>
          <w:bCs/>
          <w:szCs w:val="28"/>
        </w:rPr>
      </w:pPr>
      <w:r>
        <w:rPr>
          <w:rFonts w:hint="eastAsia" w:ascii="楷体_GB2312" w:hAnsi="楷体_GB2312" w:eastAsia="楷体_GB2312" w:cs="楷体_GB2312"/>
          <w:b/>
          <w:bCs/>
          <w:szCs w:val="28"/>
        </w:rPr>
        <w:t>大力开展县城水生态文明建设。</w:t>
      </w:r>
      <w:r>
        <w:rPr>
          <w:rFonts w:hint="eastAsia" w:cs="仿宋_GB2312"/>
          <w:bCs/>
          <w:szCs w:val="28"/>
        </w:rPr>
        <w:t>解决县城武水河枯水期水量小、水质不达标的问题，改善和美化临武县城区生态环境，调高县城区居民生活质量，兴建临武县城区水生态综合治理工程。通过入河排污口整治，改造污水截留管网工程，并充分利用桐柏山水库及宝贝林水库水资源，通过连通工程补给水量。通过雨水径流污染控制等措施，构建“活水、净水、美水”的县城水生态格局。</w:t>
      </w:r>
    </w:p>
    <w:p w14:paraId="51BED5CE">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大力推进水源地保护。</w:t>
      </w:r>
      <w:r>
        <w:rPr>
          <w:rFonts w:hint="eastAsia" w:cs="仿宋_GB2312"/>
          <w:color w:val="000000" w:themeColor="text1"/>
          <w:szCs w:val="28"/>
          <w14:textFill>
            <w14:solidFill>
              <w14:schemeClr w14:val="tx1"/>
            </w14:solidFill>
          </w14:textFill>
        </w:rPr>
        <w:t>完善和推进长河水库、万水洞水库、桐柏山水库、枫木山水库等重要饮用水水源地、集中供水水源地、备用</w:t>
      </w:r>
      <w:r>
        <w:rPr>
          <w:rFonts w:hint="eastAsia" w:cs="仿宋_GB2312"/>
          <w:color w:val="000000" w:themeColor="text1"/>
          <w:szCs w:val="28"/>
          <w:lang w:eastAsia="zh-CN"/>
          <w14:textFill>
            <w14:solidFill>
              <w14:schemeClr w14:val="tx1"/>
            </w14:solidFill>
          </w14:textFill>
        </w:rPr>
        <w:t>水</w:t>
      </w:r>
      <w:r>
        <w:rPr>
          <w:rFonts w:hint="eastAsia" w:cs="仿宋_GB2312"/>
          <w:color w:val="000000" w:themeColor="text1"/>
          <w:szCs w:val="28"/>
          <w14:textFill>
            <w14:solidFill>
              <w14:schemeClr w14:val="tx1"/>
            </w14:solidFill>
          </w14:textFill>
        </w:rPr>
        <w:t>源地保护和系统治理工程，对河流进行保洁。全面完成饮用水水源保护区划定和规范化建设，依法清理保护区内违法建筑和排污口，积极推进第二水源地建设与整治。进一步加大水源涵养林的补充建设和养护工作，推进珠江防护林等工程。水源地周边林带宽度应保证不小于500米，同时加强管理，严禁建设项目对水源涵养林的侵占和砍伐。新增林带以营造乡土树种为主，增强森林生态功能。</w:t>
      </w:r>
    </w:p>
    <w:p w14:paraId="707AB106">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加强重金属污染区综合治理。</w:t>
      </w:r>
      <w:r>
        <w:rPr>
          <w:rFonts w:hint="eastAsia" w:cs="仿宋_GB2312"/>
          <w:color w:val="000000" w:themeColor="text1"/>
          <w:szCs w:val="28"/>
          <w14:textFill>
            <w14:solidFill>
              <w14:schemeClr w14:val="tx1"/>
            </w14:solidFill>
          </w14:textFill>
        </w:rPr>
        <w:t>对主要入河排污口及陶家河重金属污染区进行综合治理。持续推进临武县三十六湾矿区山水林田湖草生态保护修复试点工程、两江口至浸漕河段重金属污染和陶家河治理项目，持续加强河道疏浚与护坡修建，推进采矿破坏水体修复。坚持推进植被绿化及生态恢复。</w:t>
      </w:r>
    </w:p>
    <w:p w14:paraId="67F8D957">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持续推进重要湿地水生态建设。</w:t>
      </w:r>
      <w:r>
        <w:rPr>
          <w:rFonts w:hint="eastAsia" w:cs="仿宋_GB2312"/>
          <w:color w:val="000000" w:themeColor="text1"/>
          <w:szCs w:val="28"/>
          <w14:textFill>
            <w14:solidFill>
              <w14:schemeClr w14:val="tx1"/>
            </w14:solidFill>
          </w14:textFill>
        </w:rPr>
        <w:t>加强长河水库、万水洞水库等县域内重要湿地水生态建设工程。加强管理力度，禁止在重要水生态区游泳、捕鱼、堆放垃圾、排放污水。完善水景观建设，增加森林覆盖率，进一步提高水源涵养功能，确保湿地水生态安全。</w:t>
      </w:r>
    </w:p>
    <w:p w14:paraId="566EDBC1">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51" w:name="_Toc88315824"/>
      <w:r>
        <w:rPr>
          <w:rFonts w:hint="eastAsia" w:ascii="黑体" w:hAnsi="黑体" w:eastAsia="黑体" w:cs="黑体"/>
          <w:b w:val="0"/>
          <w:bCs w:val="0"/>
          <w:color w:val="000000" w:themeColor="text1"/>
          <w:szCs w:val="28"/>
          <w14:textFill>
            <w14:solidFill>
              <w14:schemeClr w14:val="tx1"/>
            </w14:solidFill>
          </w14:textFill>
        </w:rPr>
        <w:t>第三节  全面推进农村生态环保工作</w:t>
      </w:r>
      <w:bookmarkEnd w:id="151"/>
    </w:p>
    <w:p w14:paraId="739CE8EF">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加强农村生活污染治理。</w:t>
      </w:r>
      <w:r>
        <w:rPr>
          <w:rFonts w:hint="eastAsia" w:cs="仿宋_GB2312"/>
          <w:color w:val="000000" w:themeColor="text1"/>
          <w:szCs w:val="28"/>
          <w14:textFill>
            <w14:solidFill>
              <w14:schemeClr w14:val="tx1"/>
            </w14:solidFill>
          </w14:textFill>
        </w:rPr>
        <w:t>持续推进农村环境综合整治工作，建立农村集镇、自然村落和散居农户生产、生活污水处理和后续服务体系。建立“户、村、乡、县四位一体”的农村生活垃圾收集与处理处置系统。建立完善农村生活污水、生活垃圾污染治理设施长效运行机制，配备处理设施运行维护和管理人员，强化人员技术培训和管理，建立设施运营规章制度，保障设施长期、稳定运行。</w:t>
      </w:r>
    </w:p>
    <w:p w14:paraId="2BA4109A">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大力推广节约型农业技术。</w:t>
      </w:r>
      <w:r>
        <w:rPr>
          <w:rFonts w:hint="eastAsia" w:cs="仿宋_GB2312"/>
          <w:color w:val="000000" w:themeColor="text1"/>
          <w:spacing w:val="6"/>
          <w:szCs w:val="28"/>
          <w14:textFill>
            <w14:solidFill>
              <w14:schemeClr w14:val="tx1"/>
            </w14:solidFill>
          </w14:textFill>
        </w:rPr>
        <w:t>推广测土配方施肥技术，科学施用化肥农药，实施化肥农药零增长行动。推进农业作物秸秆综合利用，从源头上实现污染物减量化。针对已经因农田污染致使水体富营养化的村级水域，采取源头控制、中端拦截、末端治理的方式进行防控和修复</w:t>
      </w:r>
      <w:r>
        <w:rPr>
          <w:rFonts w:hint="eastAsia" w:cs="仿宋_GB2312"/>
          <w:color w:val="000000" w:themeColor="text1"/>
          <w:spacing w:val="-6"/>
          <w:szCs w:val="28"/>
          <w14:textFill>
            <w14:solidFill>
              <w14:schemeClr w14:val="tx1"/>
            </w14:solidFill>
          </w14:textFill>
        </w:rPr>
        <w:t>。</w:t>
      </w:r>
    </w:p>
    <w:p w14:paraId="165969B7">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建立农村环境监测评价体系。</w:t>
      </w:r>
      <w:r>
        <w:rPr>
          <w:rFonts w:hint="eastAsia" w:cs="仿宋_GB2312"/>
          <w:color w:val="000000" w:themeColor="text1"/>
          <w:szCs w:val="28"/>
          <w14:textFill>
            <w14:solidFill>
              <w14:schemeClr w14:val="tx1"/>
            </w14:solidFill>
          </w14:textFill>
        </w:rPr>
        <w:t>加强环境监测站的能力建设。重点开展乡镇集中式饮用水水源地水质、地表水环境监测，逐步建立农村环境监测网络，并及时公布监测区域农村环境信息。将环境执法监督体系向农村延伸，积极推进乡镇跨行政区域监察执法体系建设。</w:t>
      </w:r>
    </w:p>
    <w:p w14:paraId="7BEAE04C">
      <w:pPr>
        <w:keepNext w:val="0"/>
        <w:keepLines w:val="0"/>
        <w:pageBreakBefore w:val="0"/>
        <w:widowControl w:val="0"/>
        <w:kinsoku/>
        <w:wordWrap w:val="0"/>
        <w:overflowPunct/>
        <w:topLinePunct/>
        <w:autoSpaceDE/>
        <w:autoSpaceDN/>
        <w:bidi w:val="0"/>
        <w:adjustRightInd/>
        <w:snapToGrid/>
        <w:spacing w:line="580" w:lineRule="exact"/>
        <w:jc w:val="center"/>
        <w:textAlignment w:val="auto"/>
        <w:rPr>
          <w:rFonts w:hint="eastAsia" w:ascii="黑体" w:hAnsi="黑体" w:eastAsia="黑体" w:cs="黑体"/>
          <w:szCs w:val="28"/>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重点生态保护和修复工程</w:t>
      </w:r>
    </w:p>
    <w:tbl>
      <w:tblPr>
        <w:tblStyle w:val="2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Layout w:type="autofit"/>
        <w:tblCellMar>
          <w:top w:w="0" w:type="dxa"/>
          <w:left w:w="108" w:type="dxa"/>
          <w:bottom w:w="0" w:type="dxa"/>
          <w:right w:w="108" w:type="dxa"/>
        </w:tblCellMar>
      </w:tblPr>
      <w:tblGrid>
        <w:gridCol w:w="8840"/>
      </w:tblGrid>
      <w:tr w14:paraId="1412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hemeFill="accent1" w:themeFillTint="66"/>
          <w:tblCellMar>
            <w:top w:w="0" w:type="dxa"/>
            <w:left w:w="108" w:type="dxa"/>
            <w:bottom w:w="0" w:type="dxa"/>
            <w:right w:w="108" w:type="dxa"/>
          </w:tblCellMar>
        </w:tblPrEx>
        <w:tc>
          <w:tcPr>
            <w:tcW w:w="8840" w:type="dxa"/>
            <w:shd w:val="clear" w:color="auto" w:fill="auto"/>
          </w:tcPr>
          <w:p w14:paraId="6A8F8085">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临武县森林质量精准提升工程：</w:t>
            </w:r>
            <w:r>
              <w:rPr>
                <w:rFonts w:hint="eastAsia"/>
              </w:rPr>
              <w:t>做好国家森林城市申报工作，着力提高城市绿化率，加快兴建舜峰寨公园和大江山公园，加强对临武县县域内森林进一步提质建设，实现森林质量精准提升5万亩、森林覆盖率稳定在62%以上。</w:t>
            </w:r>
          </w:p>
          <w:p w14:paraId="0E30D9F6">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临武县珠江防护林工程：</w:t>
            </w:r>
            <w:r>
              <w:rPr>
                <w:rFonts w:hint="eastAsia"/>
              </w:rPr>
              <w:t>加强对珠江防护林工程建设，实现人工造林3万亩，封山育林4万亩。</w:t>
            </w:r>
          </w:p>
          <w:p w14:paraId="23FC0FBD">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重要河段水污染治理工程：</w:t>
            </w:r>
            <w:r>
              <w:rPr>
                <w:rFonts w:hint="eastAsia"/>
              </w:rPr>
              <w:t>推进珠江源头北江流域临武段水污染环境防治、临武县三十六湾甘溪河流域断面超标治理项目、两江口至浸漕河段重金属污染和陶家河治理项目，进一步提升临武县流域水质量。</w:t>
            </w:r>
          </w:p>
          <w:p w14:paraId="22A3BEBC">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重要生态治理工程：</w:t>
            </w:r>
            <w:r>
              <w:rPr>
                <w:rFonts w:hint="eastAsia"/>
              </w:rPr>
              <w:t>临武县水东-金江采煤沉陷区综合治理工程、临武县三十六湾矿区山水林田湖草生态保护修复试点工程。解决废弃矿井涌水超标、地下水超标等问题。对采煤废石堆占用林草地进行复垦、复绿和土地整治。对区内50余处滑坡、泥石流等地质灾害进行治理。完成对重金属污染治理、人畜饮水工程、采矿挖损山体修复、采矿压占林草地修复、采矿破坏水体修复、采矿损坏农田修复和矿山地质环境治理等。</w:t>
            </w:r>
          </w:p>
        </w:tc>
      </w:tr>
    </w:tbl>
    <w:p w14:paraId="1DD577C7">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 xml:space="preserve"> </w:t>
      </w:r>
      <w:bookmarkStart w:id="152" w:name="_Toc88315825"/>
      <w:r>
        <w:rPr>
          <w:rFonts w:hint="eastAsia" w:ascii="方正大标宋简体" w:hAnsi="方正大标宋简体" w:eastAsia="方正大标宋简体" w:cs="方正大标宋简体"/>
          <w:sz w:val="36"/>
          <w:szCs w:val="36"/>
        </w:rPr>
        <w:t>大力提升环境质量</w:t>
      </w:r>
      <w:bookmarkEnd w:id="152"/>
    </w:p>
    <w:p w14:paraId="0808848E">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聚焦大气、水、土壤污染防治等重点领域，提高环境治理水平，优化城镇生态布局，不断加强生态环境监管能力，完善环境产品交易制度，建设生态资源价值实现机制，构建现代生态环境治理体系，全面提升生态环境质量，建成新时代生态文明示范县。</w:t>
      </w:r>
    </w:p>
    <w:p w14:paraId="1A01471E">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sz w:val="32"/>
          <w:szCs w:val="28"/>
        </w:rPr>
      </w:pPr>
      <w:bookmarkStart w:id="153" w:name="_Toc88315826"/>
      <w:r>
        <w:rPr>
          <w:rFonts w:hint="eastAsia" w:ascii="黑体" w:hAnsi="黑体" w:eastAsia="黑体" w:cs="黑体"/>
          <w:b w:val="0"/>
          <w:bCs w:val="0"/>
          <w:sz w:val="32"/>
          <w:szCs w:val="28"/>
        </w:rPr>
        <w:t>第一节  打好污染防治攻坚战</w:t>
      </w:r>
      <w:bookmarkEnd w:id="153"/>
    </w:p>
    <w:p w14:paraId="23085076">
      <w:pPr>
        <w:pStyle w:val="57"/>
        <w:keepNext w:val="0"/>
        <w:keepLines w:val="0"/>
        <w:pageBreakBefore w:val="0"/>
        <w:widowControl w:val="0"/>
        <w:kinsoku/>
        <w:wordWrap w:val="0"/>
        <w:overflowPunct/>
        <w:topLinePunct/>
        <w:autoSpaceDE/>
        <w:autoSpaceDN/>
        <w:bidi w:val="0"/>
        <w:adjustRightInd/>
        <w:snapToGrid/>
        <w:spacing w:line="612"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加强大气污染防治</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强化燃煤污染治理，持续整治燃煤锅炉，加大散煤替代力度，推进清洁低碳发展，倡导“两型”生产生活方式，减少污染物排放，加大节能减排力度，推进临武县中欣国际商务中心、久森新能源、东佳电子、声海科技等节能环保、清洁能源、金融科技等相关产业。坚持推进“散乱污”涉气企业整治工作，制定临武县专项整治行动方案，重点整治工业废气、烧制砖瓦行业、烟花爆竹燃放、城区建设工地扬尘、垃圾场扬尘、渣土运输、机动车尾气排放、黄标车和老旧车辆淘汰、餐饮油烟污染等。大力开展植树造林和裸露地面治理，提高绿化覆盖率，加强城市道路绿化带建设。巩固蓝天保卫战成果，保持空气质量优良率96%以上。</w:t>
      </w:r>
    </w:p>
    <w:p w14:paraId="1F681F8B">
      <w:pPr>
        <w:pStyle w:val="57"/>
        <w:keepNext w:val="0"/>
        <w:keepLines w:val="0"/>
        <w:pageBreakBefore w:val="0"/>
        <w:widowControl w:val="0"/>
        <w:kinsoku/>
        <w:wordWrap w:val="0"/>
        <w:overflowPunct/>
        <w:topLinePunct/>
        <w:autoSpaceDE/>
        <w:autoSpaceDN/>
        <w:bidi w:val="0"/>
        <w:adjustRightInd/>
        <w:snapToGrid/>
        <w:spacing w:line="612"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加强水污染防治。</w:t>
      </w:r>
      <w:r>
        <w:rPr>
          <w:rFonts w:hint="eastAsia" w:cs="仿宋_GB2312"/>
          <w:color w:val="000000" w:themeColor="text1"/>
          <w:szCs w:val="28"/>
          <w14:textFill>
            <w14:solidFill>
              <w14:schemeClr w14:val="tx1"/>
            </w14:solidFill>
          </w14:textFill>
        </w:rPr>
        <w:t>以河长制为引领，构筑治水新格局，落实水资源开发利用总量、用水效率、水功能区限制纳污等三条红线控制指标，强化水行政执法管理，实行最严格的水资源管理制度，切实做好长河水库、万水洞水库水源地及两江源头等水体保护工作。强化工业园区的水污染治理，推进园区污水集中处理设施建设。强化城镇生活污染治理，对城镇污水处理设施建设进行升级改造和管网完善。持续改善矿区水环境质量，对IV类及以下水质的河流加强综合整治。持续推进三十六湾、陶家河等矿区及其河流流域山水林田湖草生态修复工程。推进秀水河、古山河、杉木水等域内河流河道生态修复及人工湿地工程建设。大力推进城乡污水治理体系建设项目，减少农业源污染物排放量，采取畜禽养殖污染防治专项活动，编制相关实施方案，科学划定畜禽养殖禁养区，推进养殖场的粪污设施改造，散养密集区要实行畜禽粪便污水分户收集、集中处理利用，以及规模化畜禽养殖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小区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实施雨污分流。</w:t>
      </w:r>
    </w:p>
    <w:p w14:paraId="052CB6BF">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加强土壤</w:t>
      </w:r>
      <w:r>
        <w:rPr>
          <w:rFonts w:hint="eastAsia" w:ascii="楷体_GB2312" w:hAnsi="楷体_GB2312" w:eastAsia="楷体_GB2312" w:cs="楷体_GB2312"/>
          <w:b/>
          <w:bCs/>
          <w:szCs w:val="28"/>
          <w:lang w:eastAsia="zh-CN"/>
        </w:rPr>
        <w:t>污染</w:t>
      </w:r>
      <w:r>
        <w:rPr>
          <w:rFonts w:hint="eastAsia" w:ascii="楷体_GB2312" w:hAnsi="楷体_GB2312" w:eastAsia="楷体_GB2312" w:cs="楷体_GB2312"/>
          <w:b/>
          <w:bCs/>
          <w:szCs w:val="28"/>
        </w:rPr>
        <w:t>防治。</w:t>
      </w:r>
      <w:r>
        <w:rPr>
          <w:rFonts w:hint="eastAsia" w:cs="仿宋_GB2312"/>
          <w:color w:val="000000" w:themeColor="text1"/>
          <w:szCs w:val="28"/>
          <w14:textFill>
            <w14:solidFill>
              <w14:schemeClr w14:val="tx1"/>
            </w14:solidFill>
          </w14:textFill>
        </w:rPr>
        <w:t>严格落实“土十条”，统筹抓好土壤污染防治、化肥农药减量等工作，加快中央土壤治理专项资金项目实施进度。进一步推动污染治理工作，大力推动临武县石漠化综合治理工程、临武县土壤污染地块治理修复项目及临武县水东-金江采煤沉陷区综合治理工程，切实抓好废弃尾砂、废渣、石漠化综合利用工作。着重解决水东镇、镇南乡土法烧砒土壤污染和万水乡历史遗留污染问题，完成永发砷渣遗留污染治理项目。积极推进技术研发运用，提高尾矿废渣资源综合利用率。深入推进土地“三项攻坚”，全面落实生态环境保护</w:t>
      </w:r>
      <w:r>
        <w:rPr>
          <w:rFonts w:hint="eastAsia" w:cs="仿宋_GB2312"/>
          <w:color w:val="000000" w:themeColor="text1"/>
          <w:spacing w:val="-6"/>
          <w:szCs w:val="28"/>
          <w14:textFill>
            <w14:solidFill>
              <w14:schemeClr w14:val="tx1"/>
            </w14:solidFill>
          </w14:textFill>
        </w:rPr>
        <w:t>红线制度，切实抓好露天采石场的规划编制工作，加大对无证开采、越界开采、违规用地、偷排漏排等非法行为的打击力度。持续推进南方矿业等绿色矿山建设，强化环境监测，按时按序抓好污染源普查工作。</w:t>
      </w:r>
    </w:p>
    <w:p w14:paraId="42D743F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 w:val="32"/>
          <w:szCs w:val="28"/>
          <w14:textFill>
            <w14:solidFill>
              <w14:schemeClr w14:val="tx1"/>
            </w14:solidFill>
          </w14:textFill>
        </w:rPr>
      </w:pPr>
      <w:bookmarkStart w:id="154" w:name="_Toc88315827"/>
      <w:r>
        <w:rPr>
          <w:rFonts w:hint="eastAsia" w:ascii="黑体" w:hAnsi="黑体" w:eastAsia="黑体" w:cs="黑体"/>
          <w:b w:val="0"/>
          <w:bCs w:val="0"/>
          <w:color w:val="000000" w:themeColor="text1"/>
          <w:sz w:val="32"/>
          <w:szCs w:val="28"/>
          <w14:textFill>
            <w14:solidFill>
              <w14:schemeClr w14:val="tx1"/>
            </w14:solidFill>
          </w14:textFill>
        </w:rPr>
        <w:t>第二节  逐步优化生态城镇布局</w:t>
      </w:r>
      <w:bookmarkEnd w:id="154"/>
    </w:p>
    <w:p w14:paraId="6BC7AFB7">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大力推进绿地系统建设。</w:t>
      </w:r>
      <w:r>
        <w:rPr>
          <w:rFonts w:hint="eastAsia" w:cs="仿宋_GB2312"/>
          <w:color w:val="000000" w:themeColor="text1"/>
          <w:szCs w:val="28"/>
          <w14:textFill>
            <w14:solidFill>
              <w14:schemeClr w14:val="tx1"/>
            </w14:solidFill>
          </w14:textFill>
        </w:rPr>
        <w:t>坚持构筑“蓝脉绿网、山水宜居”的城市绿地系统结构。构建以武水河、沙市河为主体，纵横交错的水渠为补充的城市水系蓝脉。推进形成由城市主要绿化点</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街头绿地、居住区绿地、广场绿化</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、绿化带</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滨河绿带</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和绿化面</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风景林地、城市公园</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组成，通过主要城市道路绿化带串联共同构成“点、线、面”相互渗透的绿化网络。城市道路按标准配套建设道路绿地，按创建省级园林城市标准配套建设小游园。</w:t>
      </w:r>
    </w:p>
    <w:p w14:paraId="14F09536">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推进县城公园提质改造。</w:t>
      </w:r>
      <w:r>
        <w:rPr>
          <w:rFonts w:hint="eastAsia" w:cs="仿宋_GB2312"/>
          <w:color w:val="000000" w:themeColor="text1"/>
          <w:szCs w:val="28"/>
          <w14:textFill>
            <w14:solidFill>
              <w14:schemeClr w14:val="tx1"/>
            </w14:solidFill>
          </w14:textFill>
        </w:rPr>
        <w:t>进一步优化大江山公园、黄龙山公园、舜峰寨公园、挂榜山公园、迴峰塔公园</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东塔公园</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、西瑶绿谷国家森林公园基础设施建设。对包括舜峰寨公园、沙溪湖公园和韩张公园在内的现有公园绿地</w:t>
      </w:r>
      <w:r>
        <w:rPr>
          <w:rFonts w:hint="eastAsia" w:cs="仿宋_GB2312"/>
          <w:color w:val="000000" w:themeColor="text1"/>
          <w:szCs w:val="28"/>
          <w:lang w:eastAsia="zh-CN"/>
          <w14:textFill>
            <w14:solidFill>
              <w14:schemeClr w14:val="tx1"/>
            </w14:solidFill>
          </w14:textFill>
        </w:rPr>
        <w:t>因地制宜地进行</w:t>
      </w:r>
      <w:r>
        <w:rPr>
          <w:rFonts w:hint="eastAsia" w:cs="仿宋_GB2312"/>
          <w:color w:val="000000" w:themeColor="text1"/>
          <w:szCs w:val="28"/>
          <w14:textFill>
            <w14:solidFill>
              <w14:schemeClr w14:val="tx1"/>
            </w14:solidFill>
          </w14:textFill>
        </w:rPr>
        <w:t>提质改造，进一步提高县域绿地率及人均公园面积，打造宜居宜游县城。</w:t>
      </w:r>
    </w:p>
    <w:p w14:paraId="6CC01E01">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 w:val="32"/>
          <w:szCs w:val="28"/>
          <w14:textFill>
            <w14:solidFill>
              <w14:schemeClr w14:val="tx1"/>
            </w14:solidFill>
          </w14:textFill>
        </w:rPr>
      </w:pPr>
      <w:bookmarkStart w:id="155" w:name="_Toc88315828"/>
      <w:r>
        <w:rPr>
          <w:rFonts w:hint="eastAsia" w:ascii="黑体" w:hAnsi="黑体" w:eastAsia="黑体" w:cs="黑体"/>
          <w:b w:val="0"/>
          <w:bCs w:val="0"/>
          <w:color w:val="000000" w:themeColor="text1"/>
          <w:sz w:val="32"/>
          <w:szCs w:val="28"/>
          <w14:textFill>
            <w14:solidFill>
              <w14:schemeClr w14:val="tx1"/>
            </w14:solidFill>
          </w14:textFill>
        </w:rPr>
        <w:t>第三节  提高环境治理水平</w:t>
      </w:r>
      <w:bookmarkEnd w:id="155"/>
    </w:p>
    <w:p w14:paraId="714ABC43">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完善生态环境监测体系。</w:t>
      </w:r>
      <w:r>
        <w:rPr>
          <w:rFonts w:hint="eastAsia" w:cs="仿宋_GB2312"/>
          <w:color w:val="000000" w:themeColor="text1"/>
          <w:szCs w:val="28"/>
          <w14:textFill>
            <w14:solidFill>
              <w14:schemeClr w14:val="tx1"/>
            </w14:solidFill>
          </w14:textFill>
        </w:rPr>
        <w:t>建设天地一体化生态监测系统，完善临武县高风险污染行业及城乡区域重点污染源的在线监测系统，实现大气、水、土壤、生态、</w:t>
      </w:r>
      <w:r>
        <w:rPr>
          <w:rFonts w:hint="eastAsia" w:cs="仿宋_GB2312"/>
          <w:color w:val="000000" w:themeColor="text1"/>
          <w:szCs w:val="28"/>
          <w:lang w:eastAsia="zh-CN"/>
          <w14:textFill>
            <w14:solidFill>
              <w14:schemeClr w14:val="tx1"/>
            </w14:solidFill>
          </w14:textFill>
        </w:rPr>
        <w:t>噪声</w:t>
      </w:r>
      <w:r>
        <w:rPr>
          <w:rFonts w:hint="eastAsia" w:cs="仿宋_GB2312"/>
          <w:color w:val="000000" w:themeColor="text1"/>
          <w:szCs w:val="28"/>
          <w14:textFill>
            <w14:solidFill>
              <w14:schemeClr w14:val="tx1"/>
            </w14:solidFill>
          </w14:textFill>
        </w:rPr>
        <w:t>、辐射要素监测全覆盖。探索实施对全域河流水环境质量自动监测系统建设，增建临武县武水、沙市等重点河段水质自动监测站点，增设全域环境空气质量自动监测站。开展服务性环境监测社会化试点，引导社会力量参与环境监测，政府加强监管，构建规范</w:t>
      </w:r>
      <w:r>
        <w:rPr>
          <w:rFonts w:hint="eastAsia" w:cs="仿宋_GB2312"/>
          <w:color w:val="000000" w:themeColor="text1"/>
          <w:szCs w:val="28"/>
          <w:lang w:eastAsia="zh-CN"/>
          <w14:textFill>
            <w14:solidFill>
              <w14:schemeClr w14:val="tx1"/>
            </w14:solidFill>
          </w14:textFill>
        </w:rPr>
        <w:t>有序地监测</w:t>
      </w:r>
      <w:r>
        <w:rPr>
          <w:rFonts w:hint="eastAsia" w:cs="仿宋_GB2312"/>
          <w:color w:val="000000" w:themeColor="text1"/>
          <w:szCs w:val="28"/>
          <w14:textFill>
            <w14:solidFill>
              <w14:schemeClr w14:val="tx1"/>
            </w14:solidFill>
          </w14:textFill>
        </w:rPr>
        <w:t>市场。</w:t>
      </w:r>
    </w:p>
    <w:p w14:paraId="5D14E54A">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强化生态环境管控能力建设。</w:t>
      </w:r>
      <w:r>
        <w:rPr>
          <w:rFonts w:hint="eastAsia" w:cs="仿宋_GB2312"/>
          <w:color w:val="000000" w:themeColor="text1"/>
          <w:szCs w:val="28"/>
          <w14:textFill>
            <w14:solidFill>
              <w14:schemeClr w14:val="tx1"/>
            </w14:solidFill>
          </w14:textFill>
        </w:rPr>
        <w:t>实行环境监管网格化管理，结合临武县环境监管任务、风貌管控及环境风险隐患防范要求，优化配置监管力量，积极创新基层环境监管机构设置形式，实现环境监管工作全覆盖，推动环境监管服务向基层延伸。加强环境应急能力建设，成立临武县环境应急中心，建立区域环境应急救援队伍和物资储备库，打造环境应急救援专业化队伍。科学编制自然资源资产负债表，实行领导干部自然资源资产离任</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任中</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审计制度和生态环境损害责任终生追究制度。</w:t>
      </w:r>
    </w:p>
    <w:p w14:paraId="06EE5315">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完善生态资源价值实现机制。</w:t>
      </w:r>
      <w:r>
        <w:rPr>
          <w:rFonts w:hint="eastAsia" w:cs="仿宋_GB2312"/>
          <w:color w:val="000000" w:themeColor="text1"/>
          <w:szCs w:val="28"/>
          <w14:textFill>
            <w14:solidFill>
              <w14:schemeClr w14:val="tx1"/>
            </w14:solidFill>
          </w14:textFill>
        </w:rPr>
        <w:t>推动用能权、碳排放权、排污权、水权、林权交易。完善温室气体排放检测制度，逐步将生态环境成本纳入经济运行成本，体现环境损害成本的污水、垃圾处理价格。试点实行重点企业污染物总量预算管理，推行排污权有偿使用和交易工作。</w:t>
      </w:r>
    </w:p>
    <w:p w14:paraId="6A45C47E">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13</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环境质量提升重点工程</w:t>
      </w:r>
    </w:p>
    <w:tbl>
      <w:tblPr>
        <w:tblStyle w:val="29"/>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3"/>
      </w:tblGrid>
      <w:tr w14:paraId="465E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3" w:type="dxa"/>
            <w:shd w:val="clear" w:color="auto" w:fill="auto"/>
          </w:tcPr>
          <w:p w14:paraId="780A86C4">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重点流域水污染防治：</w:t>
            </w:r>
            <w:r>
              <w:rPr>
                <w:rFonts w:hint="eastAsia"/>
              </w:rPr>
              <w:t>重点推进秀水河、古山河、杉木河、双溪河、马尿江河、廷上河、沙市河、金江河、土地河、陶家河生态清洁小流域建设项目。进一步优化相关流域坡改梯、河道生态、生产便道工程、人工湿地建设。</w:t>
            </w:r>
          </w:p>
          <w:p w14:paraId="56D2A3D5">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水治理智能化提升：</w:t>
            </w:r>
            <w:r>
              <w:rPr>
                <w:rFonts w:hint="eastAsia"/>
              </w:rPr>
              <w:t>推进农村水厂信息化、智能化建设、临武县水库工程信息化建设、临武县小水电生态流量工程建设项目，进一步提升临武县水治理信息化、智能化水平。</w:t>
            </w:r>
          </w:p>
          <w:p w14:paraId="652169E4">
            <w:pPr>
              <w:pStyle w:val="72"/>
              <w:keepNext w:val="0"/>
              <w:keepLines w:val="0"/>
              <w:pageBreakBefore w:val="0"/>
              <w:widowControl w:val="0"/>
              <w:kinsoku/>
              <w:wordWrap w:val="0"/>
              <w:overflowPunct/>
              <w:topLinePunct/>
              <w:autoSpaceDE/>
              <w:autoSpaceDN/>
              <w:bidi w:val="0"/>
              <w:adjustRightInd/>
              <w:snapToGrid/>
              <w:spacing w:line="540" w:lineRule="exact"/>
              <w:ind w:firstLine="560"/>
              <w:jc w:val="both"/>
              <w:textAlignment w:val="auto"/>
            </w:pPr>
            <w:r>
              <w:rPr>
                <w:rFonts w:hint="eastAsia"/>
                <w:b/>
                <w:bCs/>
              </w:rPr>
              <w:t>土壤污染防治：</w:t>
            </w:r>
            <w:r>
              <w:rPr>
                <w:rFonts w:hint="eastAsia"/>
              </w:rPr>
              <w:t>加强矿产等工业废弃物综合利用。重点推进临武县石漠化综合治理工程、临武县土壤污染地块治理修复、临武县水东-金江采煤沉陷区综合治理工程、三十六湾矿区山水林田湖草生态保护修复试点工程项目、兑泰环保科技尾矿综合利用项目、花塘乡绿色矿山建设项目。着重解决水东镇、镇南乡土法烧砒土壤污染和万水乡历史遗留污染问题，完成永发砷渣遗留污染治理项目，进一步提升土壤环境质量。</w:t>
            </w:r>
          </w:p>
        </w:tc>
      </w:tr>
    </w:tbl>
    <w:p w14:paraId="6F587A2F">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420" w:hanging="42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56" w:name="_Toc88315829"/>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全力推动绿色发展</w:t>
      </w:r>
      <w:bookmarkEnd w:id="156"/>
    </w:p>
    <w:p w14:paraId="6F65978E">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践行绿色发展新理念，整合资源，促进资源能源节约利用，调整优化生产生活方式，推行绿色循环、可持续的生产方式，推动绿色低碳产业发展和高耗能产业转型升级。</w:t>
      </w:r>
    </w:p>
    <w:p w14:paraId="035C0441">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 w:val="32"/>
          <w:szCs w:val="28"/>
          <w14:textFill>
            <w14:solidFill>
              <w14:schemeClr w14:val="tx1"/>
            </w14:solidFill>
          </w14:textFill>
        </w:rPr>
      </w:pPr>
      <w:bookmarkStart w:id="157" w:name="_Toc88315830"/>
      <w:r>
        <w:rPr>
          <w:rFonts w:hint="eastAsia" w:ascii="黑体" w:hAnsi="黑体" w:eastAsia="黑体" w:cs="黑体"/>
          <w:b w:val="0"/>
          <w:bCs w:val="0"/>
          <w:color w:val="000000" w:themeColor="text1"/>
          <w:sz w:val="32"/>
          <w:szCs w:val="28"/>
          <w14:textFill>
            <w14:solidFill>
              <w14:schemeClr w14:val="tx1"/>
            </w14:solidFill>
          </w14:textFill>
        </w:rPr>
        <w:t>第一节  大力推进资源高效利用</w:t>
      </w:r>
      <w:bookmarkEnd w:id="157"/>
    </w:p>
    <w:p w14:paraId="7DA80A9D">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推进能源节约利用</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大力推动能源消费革命，全面推进工业、建筑、交通等各领域节能，制定临武县专项节能实施方案。持续推行“一挂双控”措施，将能源消耗与经济增长挂钩，淘汰落后产能，优化能源供给结构，积极推进临武县上塘风电场、金泉风电场、斗岭风电场、香花铺风电场及10万千瓦太阳能电站建设项目。</w:t>
      </w:r>
    </w:p>
    <w:p w14:paraId="083919B3">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建设节水型社会。</w:t>
      </w:r>
      <w:r>
        <w:rPr>
          <w:rFonts w:hint="eastAsia" w:cs="仿宋_GB2312"/>
          <w:color w:val="000000" w:themeColor="text1"/>
          <w:szCs w:val="28"/>
          <w14:textFill>
            <w14:solidFill>
              <w14:schemeClr w14:val="tx1"/>
            </w14:solidFill>
          </w14:textFill>
        </w:rPr>
        <w:t>实行节水设施与主体工程同时设计、同时施工、同时投产，建立以重点功能区为核心的水生态共建与利益共享的水生态补偿长效机制。加大农业节水力度，在南强镇、麦市镇、武水镇、西瑶乡、舜峰镇等重要粮食果蔬农产品产地推广管道输水、喷灌和微灌等高效节水灌溉技术，提高田间水利用系数。加大工业节水技术改造，提高临武工业园区用水的循环利用率。加大城市生活节水工作力度，大力推广生活节水器具，杜绝输水管网的跑、冒、滴、漏，着力降低供水管网漏损率。</w:t>
      </w:r>
    </w:p>
    <w:p w14:paraId="18D5456A">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推动土地集约利用。</w:t>
      </w:r>
      <w:r>
        <w:rPr>
          <w:rFonts w:hint="eastAsia" w:cs="仿宋_GB2312"/>
          <w:color w:val="000000" w:themeColor="text1"/>
          <w:szCs w:val="28"/>
          <w14:textFill>
            <w14:solidFill>
              <w14:schemeClr w14:val="tx1"/>
            </w14:solidFill>
          </w14:textFill>
        </w:rPr>
        <w:t>优化土地利用结构，推动工业园区优化建设</w:t>
      </w:r>
      <w:r>
        <w:rPr>
          <w:rFonts w:hint="eastAsia" w:cs="仿宋_GB2312"/>
          <w:color w:val="000000" w:themeColor="text1"/>
          <w:spacing w:val="-6"/>
          <w:szCs w:val="28"/>
          <w14:textFill>
            <w14:solidFill>
              <w14:schemeClr w14:val="tx1"/>
            </w14:solidFill>
          </w14:textFill>
        </w:rPr>
        <w:t>布局、产业集聚，鼓励建设多层标准厂房。开展园区闲置低效用地清理专项行动和节约集约用地评价，对符合节约集约用地要求的，优先供地。梳理闲置土地资源，盘活长期闲置的工业用地用于新上其他项目。</w:t>
      </w:r>
    </w:p>
    <w:p w14:paraId="3056FD4C">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推动循环型社会建设。</w:t>
      </w:r>
      <w:r>
        <w:rPr>
          <w:rFonts w:hint="eastAsia" w:cs="仿宋_GB2312"/>
          <w:color w:val="000000" w:themeColor="text1"/>
          <w:szCs w:val="28"/>
          <w14:textFill>
            <w14:solidFill>
              <w14:schemeClr w14:val="tx1"/>
            </w14:solidFill>
          </w14:textFill>
        </w:rPr>
        <w:t>降低企业的原材料消耗和能耗，推进水、气、热、渣综合利用，做好工业固废等大宗废弃物资源化利用，谋划建立国家级工业资源综合利用基地。统筹产业布局，推进工业园区循环化改造，推行清洁生产，构建资源—产品—废弃物—再生资源的循环经济产业链，推进生产和生活系统循环链接。实现园区工业废气达标排放率、污水处理率、工业固体废弃物综合利用处置率、生活垃圾无害化处理率均达到100%。推动临武县城市生活垃圾焚烧发电、生物质天然气、餐厨垃圾无害化处置和建筑垃圾等城镇资源利用项目建设。以临武县医疗废弃物集中处置中心项目建设为抓手，促进医疗废弃物处置、固废处理、污水处理。</w:t>
      </w:r>
    </w:p>
    <w:p w14:paraId="3FCD46EA">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 w:val="32"/>
          <w:szCs w:val="28"/>
          <w14:textFill>
            <w14:solidFill>
              <w14:schemeClr w14:val="tx1"/>
            </w14:solidFill>
          </w14:textFill>
        </w:rPr>
      </w:pPr>
      <w:bookmarkStart w:id="158" w:name="_Toc88315831"/>
      <w:r>
        <w:rPr>
          <w:rFonts w:hint="eastAsia" w:ascii="黑体" w:hAnsi="黑体" w:eastAsia="黑体" w:cs="黑体"/>
          <w:b w:val="0"/>
          <w:bCs w:val="0"/>
          <w:color w:val="000000" w:themeColor="text1"/>
          <w:sz w:val="32"/>
          <w:szCs w:val="28"/>
          <w14:textFill>
            <w14:solidFill>
              <w14:schemeClr w14:val="tx1"/>
            </w14:solidFill>
          </w14:textFill>
        </w:rPr>
        <w:t>第二节  全面推行绿色发展方式</w:t>
      </w:r>
      <w:bookmarkEnd w:id="158"/>
    </w:p>
    <w:p w14:paraId="367C4A00">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大力推进清洁生产。</w:t>
      </w:r>
      <w:r>
        <w:rPr>
          <w:rFonts w:hint="eastAsia" w:cs="仿宋_GB2312"/>
          <w:color w:val="000000" w:themeColor="text1"/>
          <w:szCs w:val="28"/>
          <w14:textFill>
            <w14:solidFill>
              <w14:schemeClr w14:val="tx1"/>
            </w14:solidFill>
          </w14:textFill>
        </w:rPr>
        <w:t>实施推广临武县绿色清洁生产专项活动，制定临武县清洁生产工作推行方案。积极开发、引进和推广应用各类新技术、新工艺，推动南方矿业等工矿高污企业绿色化转型发展。严格执行国家行业工艺技术标准和节能减排要求，倒逼生产工艺先进化改造，要求相关生产企业必须按要求配置先进的除尘系统、废水回收利用系统、固体废弃物处理系统等装备，大力推广使用密闭式生产、自动化控制、信息化管理等先进生产技术，推进清洁生产和资源循环综合利用。严格落实排污许可制度，着力整治“散乱污”企业。</w:t>
      </w:r>
    </w:p>
    <w:p w14:paraId="596EFD71">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着力打造绿色工厂。</w:t>
      </w:r>
      <w:r>
        <w:rPr>
          <w:rFonts w:hint="eastAsia" w:cs="仿宋_GB2312"/>
          <w:color w:val="000000" w:themeColor="text1"/>
          <w:szCs w:val="28"/>
          <w14:textFill>
            <w14:solidFill>
              <w14:schemeClr w14:val="tx1"/>
            </w14:solidFill>
          </w14:textFill>
        </w:rPr>
        <w:t>推动加工业创新发展，以临武工业园区为载体，在临武鸭、临武柚、临武香芋农产品加工和饲料加工等领域大力发展绿色加工，加快工业绿色改造升级，鼓励节约集约循环利用各类资源，引导建立低碳、低耗、循环、高效的绿色加工体系，形成“资源—加工—产品—资源”的循环发展模式，推介一批绿色加工先行区典型模式。</w:t>
      </w:r>
    </w:p>
    <w:p w14:paraId="54CF7003">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推动绿色低碳产业发展。</w:t>
      </w:r>
      <w:r>
        <w:rPr>
          <w:rFonts w:hint="eastAsia" w:cs="仿宋_GB2312"/>
          <w:color w:val="000000" w:themeColor="text1"/>
          <w:szCs w:val="28"/>
          <w14:textFill>
            <w14:solidFill>
              <w14:schemeClr w14:val="tx1"/>
            </w14:solidFill>
          </w14:textFill>
        </w:rPr>
        <w:t>大力发展节能环保产业和高新技术产业，推进工业园区发展电子信息、新能源装备制造、先进材料、数字经济、高端服务等重点产业。以主题路线和特色营造推进游憩产业，形成“内宜居、外乐游”的生态、资源的价值转换。打造农场休闲、健康服务等绿色产业体系，推进临武县创建家庭农场示范县建设。</w:t>
      </w:r>
    </w:p>
    <w:p w14:paraId="03ED5D0B">
      <w:pPr>
        <w:pStyle w:val="57"/>
        <w:keepNext w:val="0"/>
        <w:keepLines w:val="0"/>
        <w:pageBreakBefore w:val="0"/>
        <w:widowControl w:val="0"/>
        <w:kinsoku/>
        <w:wordWrap w:val="0"/>
        <w:overflowPunct/>
        <w:topLinePunct/>
        <w:autoSpaceDE/>
        <w:autoSpaceDN/>
        <w:bidi w:val="0"/>
        <w:adjustRightInd/>
        <w:snapToGrid/>
        <w:spacing w:line="56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促进高耗能产业转型升级。</w:t>
      </w:r>
      <w:r>
        <w:rPr>
          <w:rFonts w:hint="eastAsia" w:cs="仿宋_GB2312"/>
          <w:color w:val="000000" w:themeColor="text1"/>
          <w:szCs w:val="28"/>
          <w14:textFill>
            <w14:solidFill>
              <w14:schemeClr w14:val="tx1"/>
            </w14:solidFill>
          </w14:textFill>
        </w:rPr>
        <w:t>以制定临武工业园区负面清单形式，推动产业转型升级、淘汰，不再引入高耗能和落后产能，全面提升园区产业绿色化发展水平。引导重污染产业退出或搬迁，保障上风上水地区生态环境。</w:t>
      </w:r>
    </w:p>
    <w:p w14:paraId="70556C1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b w:val="0"/>
          <w:bCs w:val="0"/>
          <w:color w:val="000000" w:themeColor="text1"/>
          <w:sz w:val="32"/>
          <w:szCs w:val="28"/>
          <w14:textFill>
            <w14:solidFill>
              <w14:schemeClr w14:val="tx1"/>
            </w14:solidFill>
          </w14:textFill>
        </w:rPr>
      </w:pPr>
      <w:bookmarkStart w:id="159" w:name="_Toc88315832"/>
      <w:r>
        <w:rPr>
          <w:rFonts w:hint="eastAsia" w:ascii="黑体" w:hAnsi="黑体" w:eastAsia="黑体" w:cs="黑体"/>
          <w:b w:val="0"/>
          <w:bCs w:val="0"/>
          <w:color w:val="000000" w:themeColor="text1"/>
          <w:sz w:val="32"/>
          <w:szCs w:val="28"/>
          <w14:textFill>
            <w14:solidFill>
              <w14:schemeClr w14:val="tx1"/>
            </w14:solidFill>
          </w14:textFill>
        </w:rPr>
        <w:t>第三节  积极倡导绿色生活方式</w:t>
      </w:r>
      <w:bookmarkEnd w:id="159"/>
    </w:p>
    <w:p w14:paraId="3F65C18C">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实施节俭行动</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大力推广绿色出行，优化县城公共交通体系建设，优化共享单车布局，合理布局县城内公交车和出租车停靠站</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点</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新增车辆全部采用新能源汽车，建设公共充电桩，倡导步行和单车出行。倡导绿色生活，在餐饮企业、单位食堂、家庭全方位开展反食品浪费专项行动，以设定标语，联合广播、电视等新媒体手段加大宣传教育力度。党政机关、国有企业带头厉行节约反对浪费。</w:t>
      </w:r>
    </w:p>
    <w:p w14:paraId="546FE3E4">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促进绿色消费。</w:t>
      </w:r>
      <w:r>
        <w:rPr>
          <w:rFonts w:hint="eastAsia" w:cs="仿宋_GB2312"/>
          <w:color w:val="000000" w:themeColor="text1"/>
          <w:szCs w:val="28"/>
          <w14:textFill>
            <w14:solidFill>
              <w14:schemeClr w14:val="tx1"/>
            </w14:solidFill>
          </w14:textFill>
        </w:rPr>
        <w:t>生活消费中，充分利用“互联网+”模式，打造线上线下的绿色产品营销模式，激发绿色消费需求。做好节能与新能源汽车、高能效家电、节水型器具等节能环保低碳产品的推广宣传，积极引导市民充分考虑节能、节水、环保、循环、低碳、再生、有机等因素购买。大力发展绿色生态产业，重点发展绿色生态服务业，无论是在饮食居住、休闲旅游、保健养生、教育研修还是社交娱乐等行业，坚持绿色理念，切实打造绿色消费空间，增加绿色消费供给。</w:t>
      </w:r>
    </w:p>
    <w:p w14:paraId="4655E8CA">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培育社区绿色文化。</w:t>
      </w:r>
      <w:r>
        <w:rPr>
          <w:rFonts w:hint="eastAsia" w:cs="仿宋_GB2312"/>
          <w:color w:val="000000" w:themeColor="text1"/>
          <w:szCs w:val="28"/>
          <w14:textFill>
            <w14:solidFill>
              <w14:schemeClr w14:val="tx1"/>
            </w14:solidFill>
          </w14:textFill>
        </w:rPr>
        <w:t>倡导勤俭节约、反对浪费社会风尚，弘扬戒奢克俭优良传统，广泛开展绿色机关、绿色家庭、绿色学校、绿色社区等创建行动，增强社会节能减排意识。倡导以家庭为主体，节约用水用电，减少塑料制品应用。联合城乡相关垃圾回收机构，普遍推行居民垃圾分类，增强居民节约、环保、生态意识。</w:t>
      </w:r>
    </w:p>
    <w:p w14:paraId="3966183A">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sectPr>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64FA8580">
      <w:pPr>
        <w:pStyle w:val="3"/>
        <w:keepNext w:val="0"/>
        <w:keepLines w:val="0"/>
        <w:pageBreakBefore w:val="0"/>
        <w:widowControl w:val="0"/>
        <w:numPr>
          <w:ilvl w:val="0"/>
          <w:numId w:val="0"/>
        </w:numPr>
        <w:kinsoku/>
        <w:wordWrap w:val="0"/>
        <w:overflowPunct/>
        <w:topLinePunct/>
        <w:autoSpaceDE/>
        <w:autoSpaceDN/>
        <w:bidi w:val="0"/>
        <w:adjustRightInd/>
        <w:snapToGrid/>
        <w:spacing w:before="0" w:after="313" w:afterLines="100" w:line="600" w:lineRule="exact"/>
        <w:ind w:leftChars="0"/>
        <w:textAlignment w:val="auto"/>
        <w:rPr>
          <w:shd w:val="clear"/>
        </w:rPr>
      </w:pPr>
      <w:bookmarkStart w:id="160" w:name="_Toc88315833"/>
      <w:r>
        <w:rPr>
          <w:rFonts w:hint="eastAsia"/>
          <w:shd w:val="clear"/>
          <w:lang w:val="en-US" w:eastAsia="zh-CN"/>
        </w:rPr>
        <w:t xml:space="preserve">第十一篇  </w:t>
      </w:r>
      <w:r>
        <w:rPr>
          <w:rFonts w:hint="eastAsia"/>
          <w:shd w:val="clear"/>
        </w:rPr>
        <w:t>加速提高基本公共服务水平</w:t>
      </w:r>
      <w:bookmarkEnd w:id="160"/>
    </w:p>
    <w:p w14:paraId="5076D9E7">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牢固树立以人民为中心的发展理念，以“和谐临武、幸福临武”建设为引领，以保障和改善民生为重点，突出人民至上，推动实施共享发展战略，不断提升人民生活水平，推进城乡基本公共服务均等化，实现城乡协调发展。</w:t>
      </w:r>
    </w:p>
    <w:p w14:paraId="700E6C87">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420" w:hanging="42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 xml:space="preserve"> </w:t>
      </w:r>
      <w:bookmarkStart w:id="161" w:name="_Toc88315834"/>
      <w:r>
        <w:rPr>
          <w:rFonts w:hint="eastAsia" w:ascii="方正大标宋简体" w:hAnsi="方正大标宋简体" w:eastAsia="方正大标宋简体" w:cs="方正大标宋简体"/>
          <w:sz w:val="36"/>
          <w:szCs w:val="36"/>
        </w:rPr>
        <w:t>着力提高居民就业水平</w:t>
      </w:r>
      <w:bookmarkEnd w:id="161"/>
    </w:p>
    <w:p w14:paraId="34AECBE8">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以实现更高质量就业、促进居民增收为抓手，不断提升居民生活品质和幸福指数，促进城乡居民生活水平和收入水平显著提高，着力提升城乡居民生活现代化水平，切实增强临武县生活宜居度、市民认可度。</w:t>
      </w:r>
    </w:p>
    <w:p w14:paraId="7AAE5643">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 w:val="32"/>
          <w:szCs w:val="28"/>
          <w14:textFill>
            <w14:solidFill>
              <w14:schemeClr w14:val="tx1"/>
            </w14:solidFill>
          </w14:textFill>
        </w:rPr>
      </w:pPr>
      <w:bookmarkStart w:id="162" w:name="_Toc88315835"/>
      <w:r>
        <w:rPr>
          <w:rFonts w:hint="eastAsia" w:ascii="黑体" w:hAnsi="黑体" w:eastAsia="黑体" w:cs="黑体"/>
          <w:b w:val="0"/>
          <w:bCs w:val="0"/>
          <w:color w:val="000000" w:themeColor="text1"/>
          <w:sz w:val="32"/>
          <w:szCs w:val="28"/>
          <w14:textFill>
            <w14:solidFill>
              <w14:schemeClr w14:val="tx1"/>
            </w14:solidFill>
          </w14:textFill>
        </w:rPr>
        <w:t>第一节  提升城乡居民收入水平</w:t>
      </w:r>
      <w:bookmarkEnd w:id="162"/>
    </w:p>
    <w:p w14:paraId="7494E394">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努力促进收入增长</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实现经济发展与居民收入同步增长，劳动报酬增长与劳动生产率同步提高，激发技能人才、新型职业农民、科研人员、小微创业者等重点群体活力，带动城乡居民增收。挖掘临武工业园区、香芋生产基地、宝玉石小镇潜力，通过重点产业发展，推动</w:t>
      </w:r>
      <w:r>
        <w:rPr>
          <w:rFonts w:hint="eastAsia" w:cs="仿宋_GB2312"/>
          <w:color w:val="000000" w:themeColor="text1"/>
          <w:spacing w:val="-6"/>
          <w:szCs w:val="28"/>
          <w14:textFill>
            <w14:solidFill>
              <w14:schemeClr w14:val="tx1"/>
            </w14:solidFill>
          </w14:textFill>
        </w:rPr>
        <w:t>实施旅游发展促增收、农业示范促增收、玉石产业快速发展促增收示范工程，增加经营性收入。发展壮大现代服务业，鼓励发展家政、养老、护理等生活性服务业和金融、信息咨询和中介服务业等生产性服务业，增加工资性收入。盘活用好农村资源要素，增加农民财产性收入。</w:t>
      </w:r>
    </w:p>
    <w:p w14:paraId="04D19220">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持续优化收入分配结构</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促进收入分配格局更加合理有序，优化公务员、国有企业负责人与机关事业单位工资结构，提升低收入、重负担家庭收入水平，扩大中等收入群体规模，逐步形成橄榄型分配格局。完善最低工资保障、企业工资指导线制度，努力提升最低工资标准和非全日制用工小时最低工资标准。尊重市场规律，保护各生产要素贡献应得收入，鼓励形成除劳动就业之外，以要素</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资金、技术、信息服务等</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投入获得合法收入。</w:t>
      </w:r>
    </w:p>
    <w:p w14:paraId="7FBC05BD">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建立促进收入增长机制。</w:t>
      </w:r>
      <w:r>
        <w:rPr>
          <w:rFonts w:hint="eastAsia" w:cs="仿宋_GB2312"/>
          <w:color w:val="000000" w:themeColor="text1"/>
          <w:szCs w:val="28"/>
          <w14:textFill>
            <w14:solidFill>
              <w14:schemeClr w14:val="tx1"/>
            </w14:solidFill>
          </w14:textFill>
        </w:rPr>
        <w:t>强化保障，认真贯彻执行最低工资标准，全力做好保障农民工工资支付工作。加强平台建设，依托县就业超市，充分利用“互联网+就业”平台，提升公共就业服务能力。加强技能培训，加强技能人才培养，鼓励和引导临武县职业中专、培训机构面向各类劳动者开展普惠性职业技能培训，开展“订单式”“对接式”“储备式”技能培训，让劳动者提技能、增收入。积极开展创业培训，依托乡镇劳动保障服务站和就业训练安置基地等培训主体，以培训促创业，以创业促进就业和增收。</w:t>
      </w:r>
    </w:p>
    <w:p w14:paraId="3A42803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 w:val="32"/>
          <w:szCs w:val="28"/>
          <w14:textFill>
            <w14:solidFill>
              <w14:schemeClr w14:val="tx1"/>
            </w14:solidFill>
          </w14:textFill>
        </w:rPr>
      </w:pPr>
      <w:bookmarkStart w:id="163" w:name="_Toc88315836"/>
      <w:r>
        <w:rPr>
          <w:rFonts w:hint="eastAsia" w:ascii="黑体" w:hAnsi="黑体" w:eastAsia="黑体" w:cs="黑体"/>
          <w:b w:val="0"/>
          <w:bCs w:val="0"/>
          <w:color w:val="000000" w:themeColor="text1"/>
          <w:sz w:val="32"/>
          <w:szCs w:val="28"/>
          <w14:textFill>
            <w14:solidFill>
              <w14:schemeClr w14:val="tx1"/>
            </w14:solidFill>
          </w14:textFill>
        </w:rPr>
        <w:t>第二节  全面落实就业优先战略</w:t>
      </w:r>
      <w:bookmarkEnd w:id="163"/>
    </w:p>
    <w:p w14:paraId="78BE13B7">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实现更高质量就业。</w:t>
      </w:r>
      <w:r>
        <w:rPr>
          <w:rFonts w:hint="eastAsia" w:cs="仿宋_GB2312"/>
          <w:color w:val="000000" w:themeColor="text1"/>
          <w:szCs w:val="28"/>
          <w14:textFill>
            <w14:solidFill>
              <w14:schemeClr w14:val="tx1"/>
            </w14:solidFill>
          </w14:textFill>
        </w:rPr>
        <w:t>充分扩大和稳定就业，加大就业优惠政策力度，发挥好创业带动就业的作用，增加就业岗位。大力发展劳动密集型企业、第二、三产业和中小企业，培育新的经济增长点，创造更多的就业机会。发挥乡镇社区劳动保障站在促进城乡就业方面的基础性作用，开展好城乡劳动力管理、培训和就业服务等工作，实施就业创业提升工程和职业技能提升行动。充分利用县就业服务中心、临武工业园区管委会等平台不断扩大就业渠道，转变就业观念，促进就业结构不断优化。继续开展“民营企业招聘周”、“秋季大型招聘会”、“大学生就业招聘会”等专场招聘活动。</w:t>
      </w:r>
    </w:p>
    <w:p w14:paraId="1D7AFA66">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帮扶重点群体就业。</w:t>
      </w:r>
      <w:r>
        <w:rPr>
          <w:rFonts w:hint="eastAsia" w:cs="仿宋_GB2312"/>
          <w:color w:val="000000" w:themeColor="text1"/>
          <w:szCs w:val="28"/>
          <w14:textFill>
            <w14:solidFill>
              <w14:schemeClr w14:val="tx1"/>
            </w14:solidFill>
          </w14:textFill>
        </w:rPr>
        <w:t>做好高校毕业生就业工作，加大大学生创业孵化基地投入，确保高校毕业生就业人数持续增加、就业结构更趋合理，到基层就业、自主创业的规模进一步扩大。重点做好大中专毕业生、农村转移劳动力、退役军人、城镇困难人员、建档立卡贫困劳动力、具有劳动能力且有就业意愿的残疾人等重点群体就业创业。针对初、高中毕业生、中职学校学生、农村留守人员、残疾人、进城务工人员等具有不同特点的群体，制定针对性较强的就业培训计划，提高培训的针对性和有效性。实施新型职业农民培育工程。</w:t>
      </w:r>
    </w:p>
    <w:p w14:paraId="4ABDBA4A">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强化公共就业服务。</w:t>
      </w:r>
      <w:r>
        <w:rPr>
          <w:rFonts w:hint="eastAsia" w:cs="仿宋_GB2312"/>
          <w:color w:val="000000" w:themeColor="text1"/>
          <w:szCs w:val="28"/>
          <w14:textFill>
            <w14:solidFill>
              <w14:schemeClr w14:val="tx1"/>
            </w14:solidFill>
          </w14:textFill>
        </w:rPr>
        <w:t>加快建设“互联网+就业”公共服务体系，深入推进“311”就业服务，依托省级创业孵化基地，汇聚创业实践人才，优化提升创业服务。利用电商平台等多种方式拓展市场，打造就业平台，继续完善创建新的创业孵化基地。打造职业培训平台，充实职业培训机构力量，通过校校联合、校企联合模式，采取订单式、定向式培训，开设家政服务、育婴师、电子商务师等培训课程，建立“培训+鉴定+就业”模式，实现培训与就业有效对接。利用现代化信息手段优化配置企业招工的岗位需求与民工的就业需求，引导低收入群体就近就业、快速就业、稳定就业，完善供需匹配。</w:t>
      </w:r>
    </w:p>
    <w:p w14:paraId="14A3062E">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民生改善专项行动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1B28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shd w:val="clear" w:color="auto" w:fill="auto"/>
          </w:tcPr>
          <w:p w14:paraId="6C56E7E1">
            <w:pPr>
              <w:pStyle w:val="72"/>
              <w:keepNext w:val="0"/>
              <w:keepLines w:val="0"/>
              <w:pageBreakBefore w:val="0"/>
              <w:widowControl w:val="0"/>
              <w:kinsoku/>
              <w:wordWrap w:val="0"/>
              <w:overflowPunct/>
              <w:topLinePunct/>
              <w:autoSpaceDE/>
              <w:autoSpaceDN/>
              <w:bidi w:val="0"/>
              <w:adjustRightInd/>
              <w:snapToGrid/>
              <w:spacing w:line="580" w:lineRule="exact"/>
              <w:ind w:firstLine="560"/>
              <w:jc w:val="both"/>
              <w:textAlignment w:val="auto"/>
            </w:pPr>
            <w:r>
              <w:rPr>
                <w:rFonts w:hint="eastAsia"/>
                <w:b/>
                <w:bCs/>
              </w:rPr>
              <w:t>创业带动就业工程：</w:t>
            </w:r>
            <w:r>
              <w:rPr>
                <w:rFonts w:hint="eastAsia"/>
              </w:rPr>
              <w:t>加强对大学生、退役人员、下岗失业人员和农民工等创业者的创业培训，增强创业能力，提高创业成功率。继续完善创业孵化基地，落实好创业担保贷款、创业补贴等扶持政策。指导基层服务平台开展创业带动就业示范基地创建活动，对创业者进行跟踪帮扶指导，推动创业带动就业。加强对困难人员的就业援助，加强实名制动态管理和分类帮扶，实现零就业家庭动态清零。加强创业指导服务，充分利用创业指导服务中心，配备5名专职工作人员，组建由100名专家、教授和企业家组成的创业指导专家志愿团，为创业者提供有关创业政策扶持服务。</w:t>
            </w:r>
          </w:p>
          <w:p w14:paraId="64BC7669">
            <w:pPr>
              <w:pStyle w:val="72"/>
              <w:keepNext w:val="0"/>
              <w:keepLines w:val="0"/>
              <w:pageBreakBefore w:val="0"/>
              <w:widowControl w:val="0"/>
              <w:kinsoku/>
              <w:wordWrap w:val="0"/>
              <w:overflowPunct/>
              <w:topLinePunct/>
              <w:autoSpaceDE/>
              <w:autoSpaceDN/>
              <w:bidi w:val="0"/>
              <w:adjustRightInd/>
              <w:snapToGrid/>
              <w:spacing w:line="580" w:lineRule="exact"/>
              <w:ind w:firstLine="560"/>
              <w:jc w:val="both"/>
              <w:textAlignment w:val="auto"/>
            </w:pPr>
            <w:r>
              <w:rPr>
                <w:rFonts w:hint="eastAsia"/>
                <w:b/>
                <w:bCs/>
              </w:rPr>
              <w:t>就业培训行动计划：</w:t>
            </w:r>
            <w:r>
              <w:rPr>
                <w:rFonts w:hint="eastAsia"/>
              </w:rPr>
              <w:t>针对初、高中毕业生、中职学校学生、农村留守人员、进城务工人员等具有不同特点群体，制定针对性较强的就业培训计划，大力开展失业人员再培训，面向长期失业青年、农村留守妇女、大龄失业人员等，开发周期短、需求大、易就业的培训项目。鼓励职业院校、就业平台大力开展家政、养老、护工、育婴、电商、快递、手工等领域初级技能培训，推荐贫困家庭“两后生”参加职业中专玉石雕刻三年制班，服务宝玉石产业的发展。</w:t>
            </w:r>
          </w:p>
        </w:tc>
      </w:tr>
    </w:tbl>
    <w:p w14:paraId="20D42CD8">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firstLine="0"/>
        <w:textAlignment w:val="auto"/>
        <w:rPr>
          <w:rFonts w:hint="eastAsia" w:ascii="方正大标宋简体" w:hAnsi="方正大标宋简体" w:eastAsia="方正大标宋简体" w:cs="方正大标宋简体"/>
          <w:sz w:val="36"/>
          <w:szCs w:val="36"/>
        </w:rPr>
      </w:pPr>
      <w:bookmarkStart w:id="164" w:name="_Toc88315837"/>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加快推动教育现代化</w:t>
      </w:r>
      <w:bookmarkEnd w:id="164"/>
    </w:p>
    <w:p w14:paraId="5FEF2DDC">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加快推进教育现代化，建设教育强县，办好人民满意的教育。深化教育教学改革，坚持教育优先和城乡一体化发展，全面推动教育高质量发展。</w:t>
      </w:r>
    </w:p>
    <w:p w14:paraId="5D4C823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 w:val="32"/>
          <w:szCs w:val="28"/>
          <w14:textFill>
            <w14:solidFill>
              <w14:schemeClr w14:val="tx1"/>
            </w14:solidFill>
          </w14:textFill>
        </w:rPr>
      </w:pPr>
      <w:bookmarkStart w:id="165" w:name="_Toc88315838"/>
      <w:r>
        <w:rPr>
          <w:rFonts w:hint="eastAsia" w:ascii="黑体" w:hAnsi="黑体" w:eastAsia="黑体" w:cs="黑体"/>
          <w:b w:val="0"/>
          <w:bCs w:val="0"/>
          <w:color w:val="000000" w:themeColor="text1"/>
          <w:sz w:val="32"/>
          <w:szCs w:val="28"/>
          <w14:textFill>
            <w14:solidFill>
              <w14:schemeClr w14:val="tx1"/>
            </w14:solidFill>
          </w14:textFill>
        </w:rPr>
        <w:t>第一节  公共教育优质均衡发展</w:t>
      </w:r>
      <w:bookmarkEnd w:id="165"/>
    </w:p>
    <w:p w14:paraId="35CC9CA8">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义务教育优质均衡发展</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巩固义务教育，全面提高九年义务教育巩固率，全面实施免费义务教育，推动义务教育优质均衡发展。坚持教育发展优先，围绕全国义务教育均衡发展督查和全省两项教育督导评估工作评先评优目标，突出教育均衡发展，突出培养高素质人才。继续推进教育强县“1126”工程，实施城区学校扩容提质工程、农村薄弱学校改造工程、平安学校创建工程、“三名”创建工程</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定期评选“名师、名班主任、名校长”给予奖励</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、教学质量提升工程、特色教育品牌创建工程，大力推进传统文化进校园工程，促进教育质量提高、教学水平提升。</w:t>
      </w:r>
    </w:p>
    <w:p w14:paraId="3997631D">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优化教育资源布局。</w:t>
      </w:r>
      <w:r>
        <w:rPr>
          <w:rFonts w:hint="eastAsia" w:cs="仿宋_GB2312"/>
          <w:color w:val="000000" w:themeColor="text1"/>
          <w:szCs w:val="28"/>
          <w14:textFill>
            <w14:solidFill>
              <w14:schemeClr w14:val="tx1"/>
            </w14:solidFill>
          </w14:textFill>
        </w:rPr>
        <w:t>合理布局学前教育资源，建成覆盖城乡、就近入园的学前教育公共服务网络，完善临武县城中小学布局，大力实施两类学校建设项目、办学条件改善项目。加快发展现代职业教育，推进产教深度融合，打造现代职业教育集团，探索中高职衔接、校企融合的新发展模式，深化区域职教交流合作。强化师资力量，恢复教师进修学校，成立独立的教师发展中心，加大培训培养力度；组建科学师资队伍，改善教师工作环境，提高教师薪资水平，拓宽教师队伍来源渠道。</w:t>
      </w:r>
    </w:p>
    <w:p w14:paraId="482930C7">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缩短城乡教育差距。</w:t>
      </w:r>
      <w:r>
        <w:rPr>
          <w:rFonts w:hint="eastAsia" w:cs="仿宋_GB2312"/>
          <w:color w:val="000000" w:themeColor="text1"/>
          <w:szCs w:val="28"/>
          <w14:textFill>
            <w14:solidFill>
              <w14:schemeClr w14:val="tx1"/>
            </w14:solidFill>
          </w14:textFill>
        </w:rPr>
        <w:t>深化考试招生制度改革，培育形成分类考试、综合评价、多元录取的考试招生模式，建立保障高中阶段优质教育机会均等的新机制，缩小区域、城乡、群体之间入学机会差距。有效促进城乡优质教育资源共享，重塑教育形态和生态，依托“互联网+教育”，建立网络资源教育平台，构建城乡一体化的课程资源体系，建立和完善线上线下、城市乡村合作的“双师教学”模式。充分借用专家学者力量，依托本土专家和学者，促进教育水平提升。</w:t>
      </w:r>
    </w:p>
    <w:p w14:paraId="63D70856">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重点支持高中阶段教育。</w:t>
      </w:r>
      <w:r>
        <w:rPr>
          <w:rFonts w:hint="eastAsia" w:cs="仿宋_GB2312"/>
          <w:color w:val="000000" w:themeColor="text1"/>
          <w:szCs w:val="28"/>
          <w14:textFill>
            <w14:solidFill>
              <w14:schemeClr w14:val="tx1"/>
            </w14:solidFill>
          </w14:textFill>
        </w:rPr>
        <w:t>构建现代职业教育体系，建立服务区域</w:t>
      </w:r>
      <w:r>
        <w:rPr>
          <w:rFonts w:hint="eastAsia" w:cs="仿宋_GB2312"/>
          <w:color w:val="000000" w:themeColor="text1"/>
          <w:spacing w:val="-6"/>
          <w:szCs w:val="28"/>
          <w14:textFill>
            <w14:solidFill>
              <w14:schemeClr w14:val="tx1"/>
            </w14:solidFill>
          </w14:textFill>
        </w:rPr>
        <w:t>经济高质量发展的职业教育制度和模式，提升职业教育水平。依托临武职业中专建设，大力培养应用型技术技能人才，提升职校毕业生就业质量。推动学前教育、特殊教育、民办教育、继续教育事业健康发展。</w:t>
      </w:r>
    </w:p>
    <w:p w14:paraId="554B4F2C">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b w:val="0"/>
          <w:bCs w:val="0"/>
          <w:color w:val="000000" w:themeColor="text1"/>
          <w:sz w:val="32"/>
          <w:szCs w:val="28"/>
          <w14:textFill>
            <w14:solidFill>
              <w14:schemeClr w14:val="tx1"/>
            </w14:solidFill>
          </w14:textFill>
        </w:rPr>
      </w:pPr>
      <w:bookmarkStart w:id="166" w:name="_Toc88315839"/>
      <w:r>
        <w:rPr>
          <w:rFonts w:hint="eastAsia" w:ascii="黑体" w:hAnsi="黑体" w:eastAsia="黑体" w:cs="黑体"/>
          <w:b w:val="0"/>
          <w:bCs w:val="0"/>
          <w:color w:val="000000" w:themeColor="text1"/>
          <w:sz w:val="32"/>
          <w:szCs w:val="28"/>
          <w14:textFill>
            <w14:solidFill>
              <w14:schemeClr w14:val="tx1"/>
            </w14:solidFill>
          </w14:textFill>
        </w:rPr>
        <w:t>第二节  实现教育模式创新发展</w:t>
      </w:r>
      <w:bookmarkEnd w:id="166"/>
    </w:p>
    <w:p w14:paraId="5032321C">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推动教育创新发展。</w:t>
      </w:r>
      <w:r>
        <w:rPr>
          <w:rFonts w:hint="eastAsia" w:cs="仿宋_GB2312"/>
          <w:color w:val="000000" w:themeColor="text1"/>
          <w:szCs w:val="28"/>
          <w14:textFill>
            <w14:solidFill>
              <w14:schemeClr w14:val="tx1"/>
            </w14:solidFill>
          </w14:textFill>
        </w:rPr>
        <w:t>推动教育理念创新发展，创新人才培养机制，创新教育教学方法，创新高素质专门人才培养途径，加强学科教育改革，坚持内涵式发展，推动科学教育与临武经济融合发展，大力实施产教融合工程、创新创业工程。充分利用数字通信技术、人工智能技术，精准把握教育发展和人才成长的规律和态势，实现新技术与教育教学模式的有机融合和跨越式发展。</w:t>
      </w:r>
    </w:p>
    <w:p w14:paraId="6849F3E1">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提升教育信息化水平。</w:t>
      </w:r>
      <w:r>
        <w:rPr>
          <w:rFonts w:hint="eastAsia" w:cs="仿宋_GB2312"/>
          <w:color w:val="000000" w:themeColor="text1"/>
          <w:szCs w:val="28"/>
          <w14:textFill>
            <w14:solidFill>
              <w14:schemeClr w14:val="tx1"/>
            </w14:solidFill>
          </w14:textFill>
        </w:rPr>
        <w:t>持续推动教育信息化，积极利用云计算、大数据等新技术，持续提升基础能力，构建覆盖全域、多级分布、互联互通的数字教育资源云服务体系。着力建设共享平台、推进教学应用、提升运用能力，示范引领临武“智慧教育”建设，实施中小学教师信息技术应用能力提升工程2.0，建设市级“数字校园示范学校”、“信息技术云教室”。建设中小学适应五育并举的现代信息化教育装备，加大信息化教育建设投入，加大一体机、班班通等多媒体教学设备配置力度，推广交互式教学理念和思想，促进全域推进信息化培训为教师“减负增效”。</w:t>
      </w:r>
    </w:p>
    <w:p w14:paraId="6F6AB3FE">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教育基础设施提升工程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4"/>
      </w:tblGrid>
      <w:tr w14:paraId="3F41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94" w:type="dxa"/>
          </w:tcPr>
          <w:p w14:paraId="70E9B8B9">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教育</w:t>
            </w:r>
            <w:r>
              <w:rPr>
                <w:rFonts w:hint="eastAsia"/>
                <w:b/>
                <w:bCs/>
                <w:lang w:eastAsia="zh-CN"/>
              </w:rPr>
              <w:t>基础设施</w:t>
            </w:r>
            <w:r>
              <w:rPr>
                <w:rFonts w:hint="eastAsia"/>
                <w:b/>
                <w:bCs/>
              </w:rPr>
              <w:t>提升工程：</w:t>
            </w:r>
            <w:r>
              <w:rPr>
                <w:rFonts w:hint="eastAsia"/>
              </w:rPr>
              <w:t>强化教育基础设施建设，加快高、中、小学全面提质改造项目，创造良好教学环境，到2025年完成新建第三幼儿园、第四幼儿园、水东镇幼儿园；临武工业园区新建一所初中，三中小学分离出去，完成第四完小改扩建，加快推进临武县职业中专二期新建项目、临武玉潭学校、临武二中、水东镇中学；推动实施农村中小学环形跑道、足球场和篮球场改造项目、学校预制板结构教学用房拆除重建项目、临武县“互联网+教育”项目；以上总投资预计21亿元。</w:t>
            </w:r>
          </w:p>
        </w:tc>
      </w:tr>
    </w:tbl>
    <w:p w14:paraId="6C3046D6">
      <w:pPr>
        <w:pStyle w:val="4"/>
        <w:keepNext w:val="0"/>
        <w:keepLines w:val="0"/>
        <w:pageBreakBefore w:val="0"/>
        <w:widowControl w:val="0"/>
        <w:kinsoku/>
        <w:wordWrap w:val="0"/>
        <w:overflowPunct/>
        <w:topLinePunct/>
        <w:autoSpaceDE/>
        <w:autoSpaceDN/>
        <w:bidi w:val="0"/>
        <w:adjustRightInd/>
        <w:snapToGrid/>
        <w:spacing w:before="0" w:after="313" w:afterLines="100" w:line="600" w:lineRule="exact"/>
        <w:ind w:left="420" w:hanging="42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67" w:name="_Toc88315840"/>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奋力推进健康临武建设</w:t>
      </w:r>
      <w:bookmarkEnd w:id="167"/>
    </w:p>
    <w:p w14:paraId="7C5FCEE5">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推动公共卫生服务和医疗服务高效协同，深化医药卫生体制改革，强化卫生健康服务体系建设，加强医疗卫生基础设施建设，提升公共卫生队伍水平，提升医疗服务水平，打造“健康临武”。</w:t>
      </w:r>
    </w:p>
    <w:p w14:paraId="478D0B95">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szCs w:val="28"/>
        </w:rPr>
      </w:pPr>
      <w:bookmarkStart w:id="168" w:name="_Toc88315841"/>
      <w:r>
        <w:rPr>
          <w:rFonts w:hint="eastAsia" w:ascii="黑体" w:hAnsi="黑体" w:eastAsia="黑体" w:cs="黑体"/>
          <w:b w:val="0"/>
          <w:bCs w:val="0"/>
          <w:szCs w:val="28"/>
        </w:rPr>
        <w:t>第一节  加强卫生健康服务体系建设</w:t>
      </w:r>
      <w:bookmarkEnd w:id="168"/>
    </w:p>
    <w:p w14:paraId="4B35AA8C">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完善疾病预防控制服务体系</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进一步推进慢性病综合防控示范区建设；进一步完善传染病监测网络和预警能力</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体系</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建设。树立防范化解重大风险的底线思维，坚持卫生应急“一体两翼”的发展思路，推进卫生应急体系建设，全面提升突发急性传染病防控和突发事件紧急医学救援能力。建立感染性疾病诊疗中心。加强疾病预防控制能力建设，提高公共卫生突发事件的应对能力。加强基层卫生院人才的引进和培训力度，提高基层医护人员的待遇，改善基层医护人员的生活条件，使高学历人才引得进、留得住。</w:t>
      </w:r>
    </w:p>
    <w:p w14:paraId="67A932CE">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构建综合康养恢复体系。</w:t>
      </w:r>
      <w:r>
        <w:rPr>
          <w:rFonts w:hint="eastAsia" w:cs="仿宋_GB2312"/>
          <w:color w:val="000000" w:themeColor="text1"/>
          <w:szCs w:val="28"/>
          <w14:textFill>
            <w14:solidFill>
              <w14:schemeClr w14:val="tx1"/>
            </w14:solidFill>
          </w14:textFill>
        </w:rPr>
        <w:t>建立和完善包括健康教育、预防保健、疾病诊治、康复护理、长期照护、安宁疗护的综合、连续的服务体系，构建覆盖城乡，涵盖婚前、孕前、孕期、新生儿和儿童各阶段的出生缺陷综合防治体系，预防和减少出生缺陷，提高出生人口素质。进一步提升孕产妇、儿童健康管理中心服务能力。加强老年人健康管理，开展老年健康与医养结合服务，提高老年人生活质量和健康水平。加快发展老年医院、康复、护理等接续性医疗机构，进一步优化综合性医院和中医医院科室设置，着力增强老年健康服务能力。</w:t>
      </w:r>
    </w:p>
    <w:p w14:paraId="58EB1A6A">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深化医疗卫生体制改革。</w:t>
      </w:r>
      <w:r>
        <w:rPr>
          <w:rFonts w:hint="eastAsia" w:cs="仿宋_GB2312"/>
          <w:color w:val="000000" w:themeColor="text1"/>
          <w:szCs w:val="28"/>
          <w14:textFill>
            <w14:solidFill>
              <w14:schemeClr w14:val="tx1"/>
            </w14:solidFill>
          </w14:textFill>
        </w:rPr>
        <w:t>完善现代医院管理制度，深化三医联动改革，深化药品全流程改革，巩固完善基本药物制度，完善药品集中采购政策措施，加快建立规范有序的药品供应保障制度。健全覆盖县、乡的药品临床使用监测网络，完善重点药品监控目录。规范使用湖南省增补的非基本药物目录动态调整机制下所确定的药品，建立基本药物储备制度。加强药品监督管理，严格落实药品安全责任，建立药品安全考核评价体系。</w:t>
      </w:r>
    </w:p>
    <w:p w14:paraId="4D62BAB4">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69" w:name="_Toc88315842"/>
      <w:r>
        <w:rPr>
          <w:rFonts w:hint="eastAsia" w:ascii="黑体" w:hAnsi="黑体" w:eastAsia="黑体" w:cs="黑体"/>
          <w:b w:val="0"/>
          <w:bCs w:val="0"/>
          <w:color w:val="000000" w:themeColor="text1"/>
          <w:szCs w:val="28"/>
          <w14:textFill>
            <w14:solidFill>
              <w14:schemeClr w14:val="tx1"/>
            </w14:solidFill>
          </w14:textFill>
        </w:rPr>
        <w:t>第二节  提升医疗卫生服务能力和水平</w:t>
      </w:r>
      <w:bookmarkEnd w:id="169"/>
    </w:p>
    <w:p w14:paraId="7778F82C">
      <w:pPr>
        <w:pStyle w:val="57"/>
        <w:keepNext w:val="0"/>
        <w:keepLines w:val="0"/>
        <w:pageBreakBefore w:val="0"/>
        <w:widowControl w:val="0"/>
        <w:kinsoku/>
        <w:wordWrap w:val="0"/>
        <w:overflowPunct/>
        <w:topLinePunct/>
        <w:autoSpaceDE/>
        <w:autoSpaceDN/>
        <w:bidi w:val="0"/>
        <w:adjustRightInd/>
        <w:snapToGrid/>
        <w:spacing w:line="57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加快县、乡镇和村三级医疗体系建设。</w:t>
      </w:r>
      <w:r>
        <w:rPr>
          <w:rFonts w:hint="eastAsia" w:cs="仿宋_GB2312"/>
          <w:color w:val="000000" w:themeColor="text1"/>
          <w:szCs w:val="28"/>
          <w14:textFill>
            <w14:solidFill>
              <w14:schemeClr w14:val="tx1"/>
            </w14:solidFill>
          </w14:textFill>
        </w:rPr>
        <w:t>进一步提升县人民医院、县中医医院和县妇幼保健计划生育服务中心服务能力，加快推进卒中、创伤急救、胸痛等中心建设。常住人口超过1万人的乡镇卫生院、常住人口超过800人的行政村卫生室均达到建设标准要求。优先支持中心卫生院医疗服务能力提升，为乡镇卫生院装备或更新DR、B超、全自动生化分析仪、救护车等设备；为产权公有村卫生室配备基本的诊疗设备。扶持乡镇卫生院特色科室建设。力争通过</w:t>
      </w:r>
      <w:r>
        <w:rPr>
          <w:rFonts w:cs="仿宋_GB2312"/>
          <w:color w:val="000000" w:themeColor="text1"/>
          <w:szCs w:val="28"/>
          <w14:textFill>
            <w14:solidFill>
              <w14:schemeClr w14:val="tx1"/>
            </w14:solidFill>
          </w14:textFill>
        </w:rPr>
        <w:t>1-2年的努力，县域内就诊率达到90%以上，县域内基层就诊率达到65%以上</w:t>
      </w:r>
      <w:r>
        <w:rPr>
          <w:rFonts w:hint="eastAsia" w:cs="仿宋_GB2312"/>
          <w:color w:val="000000" w:themeColor="text1"/>
          <w:szCs w:val="28"/>
          <w14:textFill>
            <w14:solidFill>
              <w14:schemeClr w14:val="tx1"/>
            </w14:solidFill>
          </w14:textFill>
        </w:rPr>
        <w:t>。</w:t>
      </w:r>
    </w:p>
    <w:p w14:paraId="79F88727">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完善基本公共卫生管理体制。</w:t>
      </w:r>
      <w:r>
        <w:rPr>
          <w:rFonts w:hint="eastAsia" w:cs="仿宋_GB2312"/>
          <w:color w:val="000000" w:themeColor="text1"/>
          <w:szCs w:val="28"/>
          <w14:textFill>
            <w14:solidFill>
              <w14:schemeClr w14:val="tx1"/>
            </w14:solidFill>
          </w14:textFill>
        </w:rPr>
        <w:t>抢抓“国家紧密型县域医疗卫生共同体建设试点县”、“国家卫生县城”、“国家健康促进县”建设机遇，强化医疗资源整合，方便群众就近快捷、同质就医，着力解决群众“看病贵、看病难、停车难”的问题。努力缩小城乡和地区之间公共卫生服务差距，借助互联网+医疗的应用，促进城乡居民逐步享有均等化的基本公共卫生服务。推进居民电子健康档案务实应用，建立居民疾病谱检测体系，慢性病防控核心信息人群知晓率达70%以上，创建慢性病综合防控示范城市。</w:t>
      </w:r>
    </w:p>
    <w:p w14:paraId="1C51F548">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加强疾病预防控制能力建设。</w:t>
      </w:r>
      <w:r>
        <w:rPr>
          <w:rFonts w:hint="eastAsia" w:cs="仿宋_GB2312"/>
          <w:color w:val="000000" w:themeColor="text1"/>
          <w:szCs w:val="28"/>
          <w14:textFill>
            <w14:solidFill>
              <w14:schemeClr w14:val="tx1"/>
            </w14:solidFill>
          </w14:textFill>
        </w:rPr>
        <w:t>全面落实国家扩大免费免疫计划，加强儿童预防接种工作。继续做好重点传染病的防控工作，进一步加大对人感染高致病性禽流感、霍乱、艾滋病、结核病等重大传染病、地方病的防控力度，建立起政府领导、部门合作、社会参与、职责明确、协同配合的重大传染病、地方病综合防治机制，努力降低重大传染病的发病率，防止或减少传染病暴发流行，确保不出现因控制措施不力而导致的传染病传播和流行，切实保障人民群众的身体健康和生命安全。</w:t>
      </w:r>
    </w:p>
    <w:p w14:paraId="2FB1533F">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打造全民健身新体系。</w:t>
      </w:r>
      <w:r>
        <w:rPr>
          <w:rFonts w:hint="eastAsia" w:cs="仿宋_GB2312"/>
          <w:color w:val="000000" w:themeColor="text1"/>
          <w:szCs w:val="28"/>
          <w14:textFill>
            <w14:solidFill>
              <w14:schemeClr w14:val="tx1"/>
            </w14:solidFill>
          </w14:textFill>
        </w:rPr>
        <w:t>推进建立更多设施完备、体验良好的健身场所，构建“半小时健身圈”。依托县全民健身服务中心，持续开展“全民健身日”活动，不断激发市民参与体育运动的热情，倡导文明健康的生活方式，促进全民健身与全民健康深度融合。</w:t>
      </w:r>
    </w:p>
    <w:p w14:paraId="4C408063">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70" w:name="_Toc88315843"/>
      <w:r>
        <w:rPr>
          <w:rFonts w:hint="eastAsia" w:ascii="黑体" w:hAnsi="黑体" w:eastAsia="黑体" w:cs="黑体"/>
          <w:b w:val="0"/>
          <w:bCs w:val="0"/>
          <w:color w:val="000000" w:themeColor="text1"/>
          <w:szCs w:val="28"/>
          <w14:textFill>
            <w14:solidFill>
              <w14:schemeClr w14:val="tx1"/>
            </w14:solidFill>
          </w14:textFill>
        </w:rPr>
        <w:t>第三节  推进中医药健康服务发展</w:t>
      </w:r>
      <w:bookmarkEnd w:id="170"/>
    </w:p>
    <w:p w14:paraId="5B1C65BC">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加快发展中医药事业。</w:t>
      </w:r>
      <w:r>
        <w:rPr>
          <w:rFonts w:hint="eastAsia" w:cs="仿宋_GB2312"/>
          <w:color w:val="000000" w:themeColor="text1"/>
          <w:szCs w:val="28"/>
          <w14:textFill>
            <w14:solidFill>
              <w14:schemeClr w14:val="tx1"/>
            </w14:solidFill>
          </w14:textFill>
        </w:rPr>
        <w:t>充分发挥中医药在深化医药卫生体制改革中的作用，加强中医药人才队伍建设。发挥中医药的优势特色，逐步</w:t>
      </w:r>
      <w:r>
        <w:rPr>
          <w:rFonts w:hint="eastAsia" w:cs="仿宋_GB2312"/>
          <w:color w:val="000000" w:themeColor="text1"/>
          <w:spacing w:val="-6"/>
          <w:szCs w:val="28"/>
          <w14:textFill>
            <w14:solidFill>
              <w14:schemeClr w14:val="tx1"/>
            </w14:solidFill>
          </w14:textFill>
        </w:rPr>
        <w:t>将中医“治未病”纳入健康医疗服务范围。积极争取国家、省各种中医药工作建设项目，强化中医骨伤、针灸推拿科等中医重点专科</w:t>
      </w:r>
      <w:r>
        <w:rPr>
          <w:rFonts w:hint="eastAsia" w:cs="仿宋_GB2312"/>
          <w:color w:val="000000" w:themeColor="text1"/>
          <w:spacing w:val="-6"/>
          <w:szCs w:val="28"/>
          <w:lang w:eastAsia="zh-CN"/>
          <w14:textFill>
            <w14:solidFill>
              <w14:schemeClr w14:val="tx1"/>
            </w14:solidFill>
          </w14:textFill>
        </w:rPr>
        <w:t>（</w:t>
      </w:r>
      <w:r>
        <w:rPr>
          <w:rFonts w:hint="eastAsia" w:cs="仿宋_GB2312"/>
          <w:color w:val="000000" w:themeColor="text1"/>
          <w:spacing w:val="-6"/>
          <w:szCs w:val="28"/>
          <w14:textFill>
            <w14:solidFill>
              <w14:schemeClr w14:val="tx1"/>
            </w14:solidFill>
          </w14:textFill>
        </w:rPr>
        <w:t>特色专科</w:t>
      </w:r>
      <w:r>
        <w:rPr>
          <w:rFonts w:hint="eastAsia" w:cs="仿宋_GB2312"/>
          <w:color w:val="000000" w:themeColor="text1"/>
          <w:spacing w:val="-6"/>
          <w:szCs w:val="28"/>
          <w:lang w:eastAsia="zh-CN"/>
          <w14:textFill>
            <w14:solidFill>
              <w14:schemeClr w14:val="tx1"/>
            </w14:solidFill>
          </w14:textFill>
        </w:rPr>
        <w:t>）</w:t>
      </w:r>
      <w:r>
        <w:rPr>
          <w:rFonts w:hint="eastAsia" w:cs="仿宋_GB2312"/>
          <w:color w:val="000000" w:themeColor="text1"/>
          <w:spacing w:val="-6"/>
          <w:szCs w:val="28"/>
          <w14:textFill>
            <w14:solidFill>
              <w14:schemeClr w14:val="tx1"/>
            </w14:solidFill>
          </w14:textFill>
        </w:rPr>
        <w:t>建设。推动中医药与养老融合发展，促进中医医疗资源进入养老机构、社区和居民家庭。推动中医药健康服务与旅游产业有机融合。</w:t>
      </w:r>
    </w:p>
    <w:p w14:paraId="1DDC8A8F">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坚持中西医并重。</w:t>
      </w:r>
      <w:r>
        <w:rPr>
          <w:rFonts w:hint="eastAsia" w:cs="仿宋_GB2312"/>
          <w:color w:val="000000" w:themeColor="text1"/>
          <w:szCs w:val="28"/>
          <w14:textFill>
            <w14:solidFill>
              <w14:schemeClr w14:val="tx1"/>
            </w14:solidFill>
          </w14:textFill>
        </w:rPr>
        <w:t>推动中医药和西医药相互补充、协调发展，努力实现中医药健康养生文化的创造性转化、创新性发展。拓展中医药服务领域，提高中医药发展能力和水平。全面建成以县中医医院为主体、综合医院等其他类别医院中医药科室为骨干、基层医疗卫生机构为基础、中医门诊部和诊所为补充、覆盖城乡的中医医疗服务网络。加强基层中医药服务网络建设。</w:t>
      </w:r>
    </w:p>
    <w:p w14:paraId="46AB8C69">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强化中医人才培养。</w:t>
      </w:r>
      <w:r>
        <w:rPr>
          <w:rFonts w:hint="eastAsia" w:cs="仿宋_GB2312"/>
          <w:color w:val="000000" w:themeColor="text1"/>
          <w:szCs w:val="28"/>
          <w14:textFill>
            <w14:solidFill>
              <w14:schemeClr w14:val="tx1"/>
            </w14:solidFill>
          </w14:textFill>
        </w:rPr>
        <w:t>加强优秀中青年中医临床人才培养，组织开展县中医医院中医专科骨干培训和乡镇卫生院中医临床技术骨干培训，培训基层中医临床技术骨干，造就一批县、乡中医药技术骨干和学科带头人。加强中医药和西医之间的互动，开展“西学中”等中医药知识和技能培训，提高医生合理使用传统医学产品和疗法的能力。</w:t>
      </w:r>
    </w:p>
    <w:p w14:paraId="4F00C2B6">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p>
    <w:p w14:paraId="49AB4CFB">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健康临武实施行动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55AC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000" w:type="pct"/>
            <w:shd w:val="clear" w:color="auto" w:fill="auto"/>
          </w:tcPr>
          <w:p w14:paraId="628A71BE">
            <w:pPr>
              <w:pStyle w:val="72"/>
              <w:keepNext w:val="0"/>
              <w:keepLines w:val="0"/>
              <w:pageBreakBefore w:val="0"/>
              <w:widowControl w:val="0"/>
              <w:kinsoku/>
              <w:wordWrap w:val="0"/>
              <w:overflowPunct/>
              <w:topLinePunct/>
              <w:autoSpaceDE/>
              <w:autoSpaceDN/>
              <w:bidi w:val="0"/>
              <w:adjustRightInd/>
              <w:snapToGrid/>
              <w:spacing w:line="500" w:lineRule="exact"/>
              <w:ind w:firstLine="560"/>
              <w:jc w:val="both"/>
              <w:textAlignment w:val="auto"/>
            </w:pPr>
            <w:r>
              <w:rPr>
                <w:rFonts w:hint="eastAsia"/>
                <w:b/>
                <w:bCs/>
              </w:rPr>
              <w:t>医疗卫生基础设施提档升级工程：</w:t>
            </w:r>
            <w:r>
              <w:rPr>
                <w:rFonts w:hint="eastAsia"/>
              </w:rPr>
              <w:t>推动县人民医院传染病区建设项目、县人民医院门急诊大楼建设项目、县中医危重医学科</w:t>
            </w:r>
            <w:r>
              <w:rPr>
                <w:rFonts w:hint="eastAsia"/>
                <w:lang w:eastAsia="zh-CN"/>
              </w:rPr>
              <w:t>（</w:t>
            </w:r>
            <w:r>
              <w:rPr>
                <w:rFonts w:hint="eastAsia"/>
              </w:rPr>
              <w:t>ICU</w:t>
            </w:r>
            <w:r>
              <w:rPr>
                <w:rFonts w:hint="eastAsia"/>
                <w:lang w:eastAsia="zh-CN"/>
              </w:rPr>
              <w:t>）</w:t>
            </w:r>
            <w:r>
              <w:rPr>
                <w:rFonts w:hint="eastAsia"/>
              </w:rPr>
              <w:t>建设项目、县中医康复中心建设项目、县妇幼保健院整体搬迁建设项目、县疾病预防控制中心实验大楼建设项目、县疾病预防控制中心整体搬迁建设项目、金江镇中心卫生院整体搬迁建设项目、麦市镇卫生院整体搬迁建设项目、舜峰镇卫生院改扩建项目、武水镇卫生院改扩建项目建设，康产精神病医院建设项目。</w:t>
            </w:r>
          </w:p>
          <w:p w14:paraId="6C5F90ED">
            <w:pPr>
              <w:pStyle w:val="72"/>
              <w:keepNext w:val="0"/>
              <w:keepLines w:val="0"/>
              <w:pageBreakBefore w:val="0"/>
              <w:widowControl w:val="0"/>
              <w:kinsoku/>
              <w:wordWrap w:val="0"/>
              <w:overflowPunct/>
              <w:topLinePunct/>
              <w:autoSpaceDE/>
              <w:autoSpaceDN/>
              <w:bidi w:val="0"/>
              <w:adjustRightInd/>
              <w:snapToGrid/>
              <w:spacing w:line="500" w:lineRule="exact"/>
              <w:ind w:firstLine="560"/>
              <w:jc w:val="both"/>
              <w:textAlignment w:val="auto"/>
            </w:pPr>
            <w:r>
              <w:rPr>
                <w:rFonts w:hint="eastAsia"/>
                <w:b/>
                <w:bCs/>
              </w:rPr>
              <w:t>“健康临武”公共服务工程：</w:t>
            </w:r>
            <w:r>
              <w:rPr>
                <w:rFonts w:hint="eastAsia"/>
              </w:rPr>
              <w:t>落实居民健康档案、健康教育、预防接种、传染病防治、高血压糖尿病等慢性病管理、结核病管理、重性精神疾病管理、儿童保健、孕产妇保健、老年人保健等12大类45项公共卫生服务项目，大力开展爱国卫生运动。大力实施中医药传承创新工程、基层中医药服务能力提升工程、中医药“五名”</w:t>
            </w:r>
            <w:r>
              <w:rPr>
                <w:rFonts w:hint="eastAsia"/>
                <w:lang w:eastAsia="zh-CN"/>
              </w:rPr>
              <w:t>（</w:t>
            </w:r>
            <w:r>
              <w:rPr>
                <w:rFonts w:hint="eastAsia"/>
              </w:rPr>
              <w:t>名医、名方、名药、名院、名术</w:t>
            </w:r>
            <w:r>
              <w:rPr>
                <w:rFonts w:hint="eastAsia"/>
                <w:lang w:eastAsia="zh-CN"/>
              </w:rPr>
              <w:t>）</w:t>
            </w:r>
            <w:r>
              <w:rPr>
                <w:rFonts w:hint="eastAsia"/>
              </w:rPr>
              <w:t>工程、中医治未病健康工程。</w:t>
            </w:r>
          </w:p>
          <w:p w14:paraId="19A9AE13">
            <w:pPr>
              <w:pStyle w:val="72"/>
              <w:keepNext w:val="0"/>
              <w:keepLines w:val="0"/>
              <w:pageBreakBefore w:val="0"/>
              <w:widowControl w:val="0"/>
              <w:kinsoku/>
              <w:wordWrap w:val="0"/>
              <w:overflowPunct/>
              <w:topLinePunct/>
              <w:autoSpaceDE/>
              <w:autoSpaceDN/>
              <w:bidi w:val="0"/>
              <w:adjustRightInd/>
              <w:snapToGrid/>
              <w:spacing w:line="500" w:lineRule="exact"/>
              <w:ind w:firstLine="560"/>
              <w:jc w:val="both"/>
              <w:textAlignment w:val="auto"/>
            </w:pPr>
            <w:r>
              <w:rPr>
                <w:rFonts w:hint="eastAsia"/>
                <w:b/>
                <w:bCs/>
              </w:rPr>
              <w:t>“健康临武”建设工程：</w:t>
            </w:r>
            <w:r>
              <w:rPr>
                <w:rFonts w:hint="eastAsia"/>
              </w:rPr>
              <w:t>巩固“国家卫生县城”“省级文明卫生县城”成果，全力争创“国家文明卫生县城”；增创省级卫生镇</w:t>
            </w:r>
            <w:r>
              <w:rPr>
                <w:rFonts w:hint="eastAsia"/>
                <w:lang w:eastAsia="zh-CN"/>
              </w:rPr>
              <w:t>（</w:t>
            </w:r>
            <w:r>
              <w:rPr>
                <w:rFonts w:hint="eastAsia"/>
              </w:rPr>
              <w:t>乡</w:t>
            </w:r>
            <w:r>
              <w:rPr>
                <w:rFonts w:hint="eastAsia"/>
                <w:lang w:eastAsia="zh-CN"/>
              </w:rPr>
              <w:t>）</w:t>
            </w:r>
            <w:r>
              <w:rPr>
                <w:rFonts w:hint="eastAsia"/>
              </w:rPr>
              <w:t>2个、市级卫生镇</w:t>
            </w:r>
            <w:r>
              <w:rPr>
                <w:rFonts w:hint="eastAsia"/>
                <w:lang w:eastAsia="zh-CN"/>
              </w:rPr>
              <w:t>（</w:t>
            </w:r>
            <w:r>
              <w:rPr>
                <w:rFonts w:hint="eastAsia"/>
              </w:rPr>
              <w:t>乡</w:t>
            </w:r>
            <w:r>
              <w:rPr>
                <w:rFonts w:hint="eastAsia"/>
                <w:lang w:eastAsia="zh-CN"/>
              </w:rPr>
              <w:t>）</w:t>
            </w:r>
            <w:r>
              <w:rPr>
                <w:rFonts w:hint="eastAsia"/>
              </w:rPr>
              <w:t>2个；增创省级卫生村20个、市级卫生村40个；增创省级文明卫生单位15个、市级文明卫生单位20个；农村自来水普及率达到99%以上，具备水质常规指标检测能力；农村饮用水卫生合格率达85%，农村合格饮用水人口覆盖率达96%。到2025年，力争人均基本公共卫生服务经费标准不低于100元。</w:t>
            </w:r>
          </w:p>
          <w:p w14:paraId="42925314">
            <w:pPr>
              <w:pStyle w:val="72"/>
              <w:keepNext w:val="0"/>
              <w:keepLines w:val="0"/>
              <w:pageBreakBefore w:val="0"/>
              <w:widowControl w:val="0"/>
              <w:kinsoku/>
              <w:wordWrap w:val="0"/>
              <w:overflowPunct/>
              <w:topLinePunct/>
              <w:autoSpaceDE/>
              <w:autoSpaceDN/>
              <w:bidi w:val="0"/>
              <w:adjustRightInd/>
              <w:snapToGrid/>
              <w:spacing w:line="500" w:lineRule="exact"/>
              <w:ind w:firstLine="560"/>
              <w:jc w:val="both"/>
              <w:textAlignment w:val="auto"/>
            </w:pPr>
            <w:r>
              <w:rPr>
                <w:rFonts w:hint="eastAsia"/>
                <w:b/>
                <w:bCs/>
              </w:rPr>
              <w:t>卫生人才培养工程：</w:t>
            </w:r>
            <w:r>
              <w:rPr>
                <w:rFonts w:hint="eastAsia"/>
              </w:rPr>
              <w:t>建立有利于人才培养使用制度，大力培养培训全科、卫生应急、精神卫生、公共卫生、卫生管理、儿科医生等急需紧缺专门人才。每个乡镇卫生院和社区卫生服务中心至少有1名合格的执业</w:t>
            </w:r>
            <w:r>
              <w:rPr>
                <w:rFonts w:hint="eastAsia"/>
                <w:lang w:eastAsia="zh-CN"/>
              </w:rPr>
              <w:t>（</w:t>
            </w:r>
            <w:r>
              <w:rPr>
                <w:rFonts w:hint="eastAsia"/>
              </w:rPr>
              <w:t>助理</w:t>
            </w:r>
            <w:r>
              <w:rPr>
                <w:rFonts w:hint="eastAsia"/>
                <w:lang w:eastAsia="zh-CN"/>
              </w:rPr>
              <w:t>）</w:t>
            </w:r>
            <w:r>
              <w:rPr>
                <w:rFonts w:hint="eastAsia"/>
              </w:rPr>
              <w:t>医师或全科医师。每个村卫生室至少有1名合格的乡村医生或执业</w:t>
            </w:r>
            <w:r>
              <w:rPr>
                <w:rFonts w:hint="eastAsia"/>
                <w:lang w:eastAsia="zh-CN"/>
              </w:rPr>
              <w:t>（</w:t>
            </w:r>
            <w:r>
              <w:rPr>
                <w:rFonts w:hint="eastAsia"/>
              </w:rPr>
              <w:t>助理</w:t>
            </w:r>
            <w:r>
              <w:rPr>
                <w:rFonts w:hint="eastAsia"/>
                <w:lang w:eastAsia="zh-CN"/>
              </w:rPr>
              <w:t>）</w:t>
            </w:r>
            <w:r>
              <w:rPr>
                <w:rFonts w:hint="eastAsia"/>
              </w:rPr>
              <w:t>医师。建立基层人才激励机制。</w:t>
            </w:r>
          </w:p>
        </w:tc>
      </w:tr>
    </w:tbl>
    <w:p w14:paraId="7F42F7E1">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20" w:lineRule="exact"/>
        <w:ind w:left="0" w:firstLine="0"/>
        <w:textAlignment w:val="auto"/>
        <w:rPr>
          <w:rFonts w:hint="eastAsia" w:ascii="方正大标宋简体" w:hAnsi="方正大标宋简体" w:eastAsia="方正大标宋简体" w:cs="方正大标宋简体"/>
          <w:sz w:val="36"/>
          <w:szCs w:val="36"/>
        </w:rPr>
      </w:pPr>
      <w:bookmarkStart w:id="171" w:name="_Toc88315844"/>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不断完善社会保障体系</w:t>
      </w:r>
      <w:bookmarkEnd w:id="171"/>
    </w:p>
    <w:p w14:paraId="48888629">
      <w:pPr>
        <w:pStyle w:val="57"/>
        <w:keepNext w:val="0"/>
        <w:keepLines w:val="0"/>
        <w:pageBreakBefore w:val="0"/>
        <w:widowControl w:val="0"/>
        <w:kinsoku/>
        <w:wordWrap w:val="0"/>
        <w:overflowPunct/>
        <w:topLinePunct/>
        <w:autoSpaceDE/>
        <w:autoSpaceDN/>
        <w:bidi w:val="0"/>
        <w:adjustRightInd/>
        <w:snapToGrid/>
        <w:spacing w:line="62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构建适应经济社会发展的社会保障体系，优化社会救助，强化住房保障，推动住房改革，积极应对人口老龄化，实现业有所就病有所医老有所养。</w:t>
      </w:r>
    </w:p>
    <w:p w14:paraId="0E84E13B">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72" w:name="_Toc88315845"/>
      <w:r>
        <w:rPr>
          <w:rFonts w:hint="eastAsia" w:ascii="黑体" w:hAnsi="黑体" w:eastAsia="黑体" w:cs="黑体"/>
          <w:b w:val="0"/>
          <w:bCs w:val="0"/>
          <w:color w:val="000000" w:themeColor="text1"/>
          <w:szCs w:val="28"/>
          <w14:textFill>
            <w14:solidFill>
              <w14:schemeClr w14:val="tx1"/>
            </w14:solidFill>
          </w14:textFill>
        </w:rPr>
        <w:t>第一节  进一步完善社会保险</w:t>
      </w:r>
      <w:bookmarkEnd w:id="172"/>
    </w:p>
    <w:p w14:paraId="53CE92C7">
      <w:pPr>
        <w:pStyle w:val="57"/>
        <w:keepNext w:val="0"/>
        <w:keepLines w:val="0"/>
        <w:pageBreakBefore w:val="0"/>
        <w:widowControl w:val="0"/>
        <w:kinsoku/>
        <w:wordWrap w:val="0"/>
        <w:overflowPunct/>
        <w:topLinePunct/>
        <w:autoSpaceDE/>
        <w:autoSpaceDN/>
        <w:bidi w:val="0"/>
        <w:adjustRightInd/>
        <w:snapToGrid/>
        <w:spacing w:line="63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扩大社会保障覆盖面</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继续保持城乡居民养老保险参保全覆盖。完善最低生活保障制度，对老弱病残等缺乏劳动能力的贫困人口，持续实现应保尽保。持续做好企业养老保险征缴扩面工作。加大宣传力度，结合时下热点，探寻新的宣传方案，围绕降费政策进行重点宣传，提高企业、灵活就业人员参保率。</w:t>
      </w:r>
    </w:p>
    <w:p w14:paraId="3A912D10">
      <w:pPr>
        <w:pStyle w:val="57"/>
        <w:keepNext w:val="0"/>
        <w:keepLines w:val="0"/>
        <w:pageBreakBefore w:val="0"/>
        <w:widowControl w:val="0"/>
        <w:kinsoku/>
        <w:wordWrap w:val="0"/>
        <w:overflowPunct/>
        <w:topLinePunct/>
        <w:autoSpaceDE/>
        <w:autoSpaceDN/>
        <w:bidi w:val="0"/>
        <w:adjustRightInd/>
        <w:snapToGrid/>
        <w:spacing w:line="63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推进社保制度改革。</w:t>
      </w:r>
      <w:r>
        <w:rPr>
          <w:rFonts w:hint="eastAsia" w:cs="仿宋_GB2312"/>
          <w:color w:val="000000" w:themeColor="text1"/>
          <w:szCs w:val="28"/>
          <w14:textFill>
            <w14:solidFill>
              <w14:schemeClr w14:val="tx1"/>
            </w14:solidFill>
          </w14:textFill>
        </w:rPr>
        <w:t>加强社会保险基金管理，完善社会保险基金监管制度，强化基金征缴、支付、管理和投资运营的监督检查。继续深入推进机关事业单位养老保险制度改革和完善城乡居民养老保险制度。做好城镇职工养老保险与城乡居民养老保险的相互衔接。</w:t>
      </w:r>
    </w:p>
    <w:p w14:paraId="5F8B4747">
      <w:pPr>
        <w:pStyle w:val="57"/>
        <w:keepNext w:val="0"/>
        <w:keepLines w:val="0"/>
        <w:pageBreakBefore w:val="0"/>
        <w:widowControl w:val="0"/>
        <w:kinsoku/>
        <w:wordWrap w:val="0"/>
        <w:overflowPunct/>
        <w:topLinePunct/>
        <w:autoSpaceDE/>
        <w:autoSpaceDN/>
        <w:bidi w:val="0"/>
        <w:adjustRightInd/>
        <w:snapToGrid/>
        <w:spacing w:line="63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构建医疗保障长效机制。</w:t>
      </w:r>
      <w:r>
        <w:rPr>
          <w:rFonts w:hint="eastAsia" w:cs="仿宋_GB2312"/>
          <w:color w:val="000000" w:themeColor="text1"/>
          <w:szCs w:val="28"/>
          <w14:textFill>
            <w14:solidFill>
              <w14:schemeClr w14:val="tx1"/>
            </w14:solidFill>
          </w14:textFill>
        </w:rPr>
        <w:t>完善公平适度的待遇保障机制，推进法定医疗保障制度更加成熟定型，完善基本医疗保险制度。实行医疗保障待遇清单制度，健全稳健可持续的筹资运行机制。建立管用高效的医保支付机制和严密有力的基金监管机制，完善医疗保障信用管理体系，以零容忍的态度严厉打击欺诈骗保行为，确保基金安全高效、合理使用。</w:t>
      </w:r>
    </w:p>
    <w:p w14:paraId="6704AD7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73" w:name="_Toc88315846"/>
      <w:r>
        <w:rPr>
          <w:rFonts w:hint="eastAsia" w:ascii="黑体" w:hAnsi="黑体" w:eastAsia="黑体" w:cs="黑体"/>
          <w:b w:val="0"/>
          <w:bCs w:val="0"/>
          <w:color w:val="000000" w:themeColor="text1"/>
          <w:szCs w:val="28"/>
          <w14:textFill>
            <w14:solidFill>
              <w14:schemeClr w14:val="tx1"/>
            </w14:solidFill>
          </w14:textFill>
        </w:rPr>
        <w:t>第二节  优化社会救助及保障</w:t>
      </w:r>
      <w:bookmarkEnd w:id="173"/>
    </w:p>
    <w:p w14:paraId="6E6B6893">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保障残疾人基本民生。</w:t>
      </w:r>
      <w:r>
        <w:rPr>
          <w:rFonts w:hint="eastAsia" w:cs="仿宋_GB2312"/>
          <w:color w:val="000000" w:themeColor="text1"/>
          <w:szCs w:val="28"/>
          <w14:textFill>
            <w14:solidFill>
              <w14:schemeClr w14:val="tx1"/>
            </w14:solidFill>
          </w14:textFill>
        </w:rPr>
        <w:t>提高残疾人社会救助水平，加强严重精神障碍患者救治救助工作，对生活无着的流浪、乞讨残疾人给予及时救助。建立完善残疾人基本福利补贴制度，确保残疾人享有基本养老和基本医疗。完善残疾人托养服务体系建设，建立健全以家庭为基础、社区为依托、机构为支撑的残疾人托养服务体系。继续实施“阳光家园计划”，加大对贫困残疾人家庭无障碍改造力度。开展“残疾人精准康复服务行动”，加大对残疾儿童康复的救助力度，增强基层残疾人工作力量，设置专人专岗，推动建设残疾人综合设施和康复中心。</w:t>
      </w:r>
    </w:p>
    <w:p w14:paraId="24194853">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不断增强住房保障能力。</w:t>
      </w:r>
      <w:r>
        <w:rPr>
          <w:rFonts w:hint="eastAsia" w:cs="仿宋_GB2312"/>
          <w:color w:val="000000" w:themeColor="text1"/>
          <w:szCs w:val="28"/>
          <w14:textFill>
            <w14:solidFill>
              <w14:schemeClr w14:val="tx1"/>
            </w14:solidFill>
          </w14:textFill>
        </w:rPr>
        <w:t>加大棚改力度，进一步完善配套基础设施建设，继续抓好城镇棚改公寓楼安置项目</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舜逸园</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、城镇棚改一户一宅安置项目</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舜泽园</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和农村危房改造项目建设，以项目为依托，强化居住建筑改造力度，不断增强住房保障能力。全面推进城镇老旧小区改造工作，明确改造任务，探索建立改造资金政府与居民、社会力量合理共担机制。</w:t>
      </w:r>
    </w:p>
    <w:p w14:paraId="700DA514">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着力提升重点群体保障水平。</w:t>
      </w:r>
      <w:r>
        <w:rPr>
          <w:rFonts w:hint="eastAsia" w:cs="仿宋_GB2312"/>
          <w:color w:val="000000" w:themeColor="text1"/>
          <w:szCs w:val="28"/>
          <w14:textFill>
            <w14:solidFill>
              <w14:schemeClr w14:val="tx1"/>
            </w14:solidFill>
          </w14:textFill>
        </w:rPr>
        <w:t>关爱失独家庭、农村留守人员，围绕妇女儿童等重点群体，提升重点群体保障水平。以提升保障水平，缩小差异为重点，依托未成年人保护中心、福利院等重点项目建设，实施妇女儿童发展战略，保障妇女儿童拥有社会保障和良好的发展环境。充分发挥临武县退役军人服务中心作用，全力做好退役军人服务保障，做好退役军人行政关系、组织关系、供给关系转接、档案移交及退役军人就业创业、帮扶解困、来访接待、心理疏导、权益保障、政策解答等工作。</w:t>
      </w:r>
    </w:p>
    <w:p w14:paraId="2F835C0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74" w:name="_Toc88315847"/>
      <w:r>
        <w:rPr>
          <w:rFonts w:hint="eastAsia" w:ascii="黑体" w:hAnsi="黑体" w:eastAsia="黑体" w:cs="黑体"/>
          <w:b w:val="0"/>
          <w:bCs w:val="0"/>
          <w:color w:val="000000" w:themeColor="text1"/>
          <w:szCs w:val="28"/>
          <w14:textFill>
            <w14:solidFill>
              <w14:schemeClr w14:val="tx1"/>
            </w14:solidFill>
          </w14:textFill>
        </w:rPr>
        <w:t>第三节  积极应对人口老龄化</w:t>
      </w:r>
      <w:bookmarkEnd w:id="174"/>
    </w:p>
    <w:p w14:paraId="7FB7FB2E">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提升生育水平。</w:t>
      </w:r>
      <w:r>
        <w:rPr>
          <w:rFonts w:hint="eastAsia" w:cs="仿宋_GB2312"/>
          <w:color w:val="000000" w:themeColor="text1"/>
          <w:szCs w:val="28"/>
          <w14:textFill>
            <w14:solidFill>
              <w14:schemeClr w14:val="tx1"/>
            </w14:solidFill>
          </w14:textFill>
        </w:rPr>
        <w:t>在国家政策范围内，不断完善计划生育家庭奖励扶助政策，积极应对人口老龄化。提高优生优育服务水平，发展普惠托育服务体系，降低生育、养育、教育成本。扎实推进“三孩政策”宣传，扎实做好政策落实。继续做好农村部分计划生育家庭奖励政策、计划生育特殊家庭奖励政策、城镇独生子女父母奖励政策的宣传培训和落实工作。</w:t>
      </w:r>
    </w:p>
    <w:p w14:paraId="220C796B">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落实人口监测统计制度。</w:t>
      </w:r>
      <w:r>
        <w:rPr>
          <w:rFonts w:hint="eastAsia" w:cs="仿宋_GB2312"/>
          <w:color w:val="000000" w:themeColor="text1"/>
          <w:szCs w:val="28"/>
          <w14:textFill>
            <w14:solidFill>
              <w14:schemeClr w14:val="tx1"/>
            </w14:solidFill>
          </w14:textFill>
        </w:rPr>
        <w:t>探索新形势下基层人口监测与家庭发展经常性工作新模式，支持基层计生管理队伍逐步实现向“健康综合管理指导员”转型，主动融入健康郴州建设总体工作，在做好信息采集、人口监测、奖励扶助、生育服务业务办理等工作的基础上，逐步延伸到大健康服务管理工作上来。</w:t>
      </w:r>
    </w:p>
    <w:p w14:paraId="4E80EEE1">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全面提升养老服务水平。</w:t>
      </w:r>
      <w:r>
        <w:rPr>
          <w:rFonts w:hint="eastAsia" w:cs="仿宋_GB2312"/>
          <w:color w:val="000000" w:themeColor="text1"/>
          <w:szCs w:val="28"/>
          <w14:textFill>
            <w14:solidFill>
              <w14:schemeClr w14:val="tx1"/>
            </w14:solidFill>
          </w14:textFill>
        </w:rPr>
        <w:t>依托全省第二批养老服务体系建设试点县建设，加快建设以居家为基础、社区为依托、机构为补充、医养相结合的养老服务体系。充分利用PPP模式，开展养老机构标准化试点工作，实施城企联动普惠养老，提升养老服务质量，推动银发经济发展，实现老有所养。</w:t>
      </w:r>
    </w:p>
    <w:p w14:paraId="54DCBF49">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社会保障重大工程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11B7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76130D6">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b/>
                <w:bCs/>
              </w:rPr>
              <w:t>健康养老提升工程：</w:t>
            </w:r>
            <w:r>
              <w:rPr>
                <w:rFonts w:hint="eastAsia"/>
              </w:rPr>
              <w:t>实施健康养老提升工程，县域范围内养老机构护理床位占比50%以上，不能自理老人特困供养人员集中供养率超过50%，有集中供养意愿的特困人员100%实现集中供养。养老护理员培训达100%。发展城市社区居家养老照料中心、农村社区居家养老照料中心，县域行政村养老服务设施覆盖80%的村庄。五保集中供养率100%，敬老院15座，敬老院入住率达到95%。加快推进全域养老服务PPP项目。</w:t>
            </w:r>
          </w:p>
          <w:p w14:paraId="63B50069">
            <w:pPr>
              <w:pStyle w:val="72"/>
              <w:keepNext w:val="0"/>
              <w:keepLines w:val="0"/>
              <w:pageBreakBefore w:val="0"/>
              <w:widowControl w:val="0"/>
              <w:kinsoku/>
              <w:wordWrap w:val="0"/>
              <w:overflowPunct/>
              <w:topLinePunct/>
              <w:autoSpaceDE/>
              <w:autoSpaceDN/>
              <w:bidi w:val="0"/>
              <w:adjustRightInd/>
              <w:snapToGrid/>
              <w:spacing w:line="560" w:lineRule="exact"/>
              <w:ind w:firstLine="560"/>
              <w:jc w:val="both"/>
              <w:textAlignment w:val="auto"/>
            </w:pPr>
            <w:r>
              <w:rPr>
                <w:rFonts w:hint="eastAsia"/>
                <w:b/>
                <w:bCs/>
              </w:rPr>
              <w:t>退役军人和优抚对象保障工程：</w:t>
            </w:r>
            <w:r>
              <w:rPr>
                <w:rFonts w:hint="eastAsia"/>
              </w:rPr>
              <w:t>建设烈士公园、临武县优抚医院、临武县光荣院，计划投资1.27亿元。</w:t>
            </w:r>
          </w:p>
        </w:tc>
      </w:tr>
    </w:tbl>
    <w:p w14:paraId="0ADDEF96">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p>
    <w:p w14:paraId="20C356D6">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sectPr>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454A0FBA">
      <w:pPr>
        <w:pStyle w:val="3"/>
        <w:keepNext w:val="0"/>
        <w:keepLines w:val="0"/>
        <w:pageBreakBefore w:val="0"/>
        <w:widowControl w:val="0"/>
        <w:numPr>
          <w:ilvl w:val="0"/>
          <w:numId w:val="0"/>
        </w:numPr>
        <w:shd w:val="clear"/>
        <w:kinsoku/>
        <w:wordWrap w:val="0"/>
        <w:overflowPunct/>
        <w:topLinePunct/>
        <w:autoSpaceDE/>
        <w:autoSpaceDN/>
        <w:bidi w:val="0"/>
        <w:adjustRightInd/>
        <w:snapToGrid/>
        <w:spacing w:before="0" w:after="313" w:afterLines="100" w:line="600" w:lineRule="exact"/>
        <w:ind w:leftChars="0"/>
        <w:textAlignment w:val="auto"/>
        <w:rPr>
          <w:shd w:val="clear"/>
        </w:rPr>
      </w:pPr>
      <w:bookmarkStart w:id="175" w:name="_Toc88315848"/>
      <w:r>
        <w:rPr>
          <w:rFonts w:hint="eastAsia"/>
          <w:shd w:val="clear"/>
          <w:lang w:val="en-US" w:eastAsia="zh-CN"/>
        </w:rPr>
        <w:t xml:space="preserve">第十二篇  </w:t>
      </w:r>
      <w:r>
        <w:rPr>
          <w:rFonts w:hint="eastAsia"/>
          <w:shd w:val="clear"/>
        </w:rPr>
        <w:t>高位推进社会治理体系和治理能力现代化</w:t>
      </w:r>
      <w:bookmarkEnd w:id="175"/>
    </w:p>
    <w:p w14:paraId="32039FA3">
      <w:pPr>
        <w:pStyle w:val="57"/>
        <w:keepNext w:val="0"/>
        <w:keepLines w:val="0"/>
        <w:pageBreakBefore w:val="0"/>
        <w:widowControl w:val="0"/>
        <w:kinsoku/>
        <w:wordWrap w:val="0"/>
        <w:overflowPunct/>
        <w:topLinePunct/>
        <w:autoSpaceDE/>
        <w:autoSpaceDN/>
        <w:bidi w:val="0"/>
        <w:adjustRightInd/>
        <w:snapToGrid/>
        <w:spacing w:line="60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严格落实党的十九届五中全会高质量发展要求，按照党中央</w:t>
      </w:r>
      <w:r>
        <w:rPr>
          <w:rFonts w:hint="eastAsia" w:cs="仿宋_GB2312"/>
          <w:color w:val="000000" w:themeColor="text1"/>
          <w:szCs w:val="28"/>
          <w:lang w:eastAsia="zh-CN"/>
          <w14:textFill>
            <w14:solidFill>
              <w14:schemeClr w14:val="tx1"/>
            </w14:solidFill>
          </w14:textFill>
        </w:rPr>
        <w:t>“四个全面”战略布局</w:t>
      </w:r>
      <w:r>
        <w:rPr>
          <w:rFonts w:hint="eastAsia" w:cs="仿宋_GB2312"/>
          <w:color w:val="000000" w:themeColor="text1"/>
          <w:szCs w:val="28"/>
          <w14:textFill>
            <w14:solidFill>
              <w14:schemeClr w14:val="tx1"/>
            </w14:solidFill>
          </w14:textFill>
        </w:rPr>
        <w:t>和“五大发展理念”，以推进县域治理体系和治理能力现代化为目标，实施我县“五个临武”建设战略，落实好国家重大改革措施，充分运用现代科学技术，提升我县法治化水平。</w:t>
      </w:r>
    </w:p>
    <w:p w14:paraId="081F637C">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76" w:name="_Toc88315849"/>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统筹推进全面依法治县</w:t>
      </w:r>
      <w:bookmarkEnd w:id="176"/>
    </w:p>
    <w:p w14:paraId="148BD12B">
      <w:pPr>
        <w:pStyle w:val="57"/>
        <w:keepNext w:val="0"/>
        <w:keepLines w:val="0"/>
        <w:pageBreakBefore w:val="0"/>
        <w:widowControl w:val="0"/>
        <w:kinsoku/>
        <w:wordWrap w:val="0"/>
        <w:overflowPunct/>
        <w:topLinePunct/>
        <w:autoSpaceDE/>
        <w:autoSpaceDN/>
        <w:bidi w:val="0"/>
        <w:adjustRightInd/>
        <w:snapToGrid/>
        <w:spacing w:line="60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认真贯彻全面依法治国方略，以习近平总书记全面依法治国新理念、新战略、新思想为指导，健全社会治理机制，加强社会治理体系和治理能力建设，打造共建共治共享的社会治理格局，努力营造、巩固和发展民主团结、生动活泼、安定和谐的政治局面。</w:t>
      </w:r>
    </w:p>
    <w:p w14:paraId="7D191A56">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77" w:name="_Toc88315850"/>
      <w:r>
        <w:rPr>
          <w:rFonts w:hint="eastAsia" w:ascii="黑体" w:hAnsi="黑体" w:eastAsia="黑体" w:cs="黑体"/>
          <w:b w:val="0"/>
          <w:bCs w:val="0"/>
          <w:color w:val="000000" w:themeColor="text1"/>
          <w:szCs w:val="28"/>
          <w14:textFill>
            <w14:solidFill>
              <w14:schemeClr w14:val="tx1"/>
            </w14:solidFill>
          </w14:textFill>
        </w:rPr>
        <w:t>第一节  推进全面依法治县</w:t>
      </w:r>
      <w:bookmarkEnd w:id="177"/>
    </w:p>
    <w:p w14:paraId="21B08922">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加快法治政府建设</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完善法治政府运行机制，进一步明确县政府工作部门、各乡镇政府的职能职责、机构设置和人员编制，确保政府机构运行法治化、科学化、规范化。健全依法行政决策机制，加强重大行政决策、规范性文件、重大行政执法决定合法性审查。严格规范依法行政决策程序，推行政务信息公开制度，推广“互联网+政务服务”，加强互联网政务信息数据服务平台和便民服务平台建设。办好政府门户网站，提高县长信箱、县长热线办理成效。坚持把公众参与、专家论证、风险评估、合法性审查、集体讨论决定确定为法定程序。健全政府法律顾问制度，充分发挥法律顾问的专业优势，确保重大行政决策和行政决定的科学性、合法性，依法制定和公开政府及部门的权力清单、责任清单和市场准入负面清单。</w:t>
      </w:r>
    </w:p>
    <w:p w14:paraId="2A5F8F00">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推进严格执法。</w:t>
      </w:r>
      <w:r>
        <w:rPr>
          <w:rFonts w:hint="eastAsia" w:cs="仿宋_GB2312"/>
          <w:color w:val="000000" w:themeColor="text1"/>
          <w:szCs w:val="28"/>
          <w14:textFill>
            <w14:solidFill>
              <w14:schemeClr w14:val="tx1"/>
            </w14:solidFill>
          </w14:textFill>
        </w:rPr>
        <w:t>规范行政执法，建立政府权责清单，进一步厘清政府与市场、政府与社会的权责边界，落实重大行政决策制度，建立健全重大行政决策目录管理制度，按照《临武县政府合同管理办法》，加强规范政府合同管理。认真落实“两个责任”，继续压缩“三公经费”，强化底线意识，做到廉洁自律。推进行政执法体制改革，全面落实行政执法“三项制度”，加强行政执法监督。严格监察执法，深化监察体制改革，依法履行监察职能，坚持以人民为中心的执法理念，加强对监察机关执法权力运行的监督制约。</w:t>
      </w:r>
    </w:p>
    <w:p w14:paraId="4E9B9AD8">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推进公正司法。</w:t>
      </w:r>
      <w:r>
        <w:rPr>
          <w:rFonts w:hint="eastAsia" w:cs="仿宋_GB2312"/>
          <w:color w:val="000000" w:themeColor="text1"/>
          <w:szCs w:val="28"/>
          <w14:textFill>
            <w14:solidFill>
              <w14:schemeClr w14:val="tx1"/>
            </w14:solidFill>
          </w14:textFill>
        </w:rPr>
        <w:t>落实司法体制综合配套改革，全面落实司法责任制，深入推进诉讼制度改革，深化网上立案、跨域立案诉讼服务改革，打造“移动微法院”。深入推进司法规范化建设，规范司法执法行为，健全司法衔接机制，健全新型司法权运行监督管理机制，加强和改进县人大及其常委会对法院、检察院工作的监督。扎实推进司法为民便民利民，贯彻落实中央、省市要求，健全完善综合治理工作大格局，加大强制执行力度，切实解决执行难问题，着力提高司法服务质效。</w:t>
      </w:r>
    </w:p>
    <w:p w14:paraId="5C53B344">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推进全民守法。</w:t>
      </w:r>
      <w:r>
        <w:rPr>
          <w:rFonts w:hint="eastAsia" w:cs="仿宋_GB2312"/>
          <w:color w:val="000000" w:themeColor="text1"/>
          <w:szCs w:val="28"/>
          <w14:textFill>
            <w14:solidFill>
              <w14:schemeClr w14:val="tx1"/>
            </w14:solidFill>
          </w14:textFill>
        </w:rPr>
        <w:t>充分发挥领导干部和国家公职人员学法用法守法表率作用，严格落实领导干部年终述职述法制度和年终学法考试制度。加强法治人才培养，认证落实《湖南省公共法律服务发展指标</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2019—2022年</w:t>
      </w:r>
      <w:r>
        <w:rPr>
          <w:rFonts w:hint="eastAsia" w:cs="仿宋_GB2312"/>
          <w:color w:val="000000" w:themeColor="text1"/>
          <w:szCs w:val="28"/>
          <w:lang w:val="en-US" w:eastAsia="zh-CN"/>
          <w14:textFill>
            <w14:solidFill>
              <w14:schemeClr w14:val="tx1"/>
            </w14:solidFill>
          </w14:textFill>
        </w:rPr>
        <w:t>）</w:t>
      </w:r>
      <w:r>
        <w:rPr>
          <w:rFonts w:hint="eastAsia" w:cs="仿宋_GB2312"/>
          <w:color w:val="000000" w:themeColor="text1"/>
          <w:szCs w:val="28"/>
          <w14:textFill>
            <w14:solidFill>
              <w14:schemeClr w14:val="tx1"/>
            </w14:solidFill>
          </w14:textFill>
        </w:rPr>
        <w:t>。加强社会主义法治文化建设，实施乡村法治文化建设三年行动计划，推动法治文化阵地建设向乡镇、村</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社区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延伸。深入推进法治创建活动，大力培养“农村法律明白人”等各类基层法律人才。全面落实法律顾问制度和公职律师制度，加强和规范法律顾问工作和“一村</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社区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一法律顾问”制度。</w:t>
      </w:r>
    </w:p>
    <w:p w14:paraId="5C3E55F0">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加强公民普法。</w:t>
      </w:r>
      <w:r>
        <w:rPr>
          <w:rFonts w:hint="eastAsia" w:cs="仿宋_GB2312"/>
          <w:color w:val="000000" w:themeColor="text1"/>
          <w:szCs w:val="28"/>
          <w14:textFill>
            <w14:solidFill>
              <w14:schemeClr w14:val="tx1"/>
            </w14:solidFill>
          </w14:textFill>
        </w:rPr>
        <w:t>深入推动宪法学习宣传和贯彻实施，开展“宪法宣传周”和“国家宪法日”活动。全面落实“谁执法谁普法”责任制，推动落实媒体公益普法制度。加强重点对象普法，深入推进法律进机关、进乡村、进社区、进学校、进企业、进单位，深入开展基层法治宣传教育工作，动员社会各界力量，通过电视、网络、平面媒体、社区宣传栏等多种渠道进行法治宣传。利用条幅、公益广告、培训、律师讲法等多种方式传播法律知识、普及法制教育。联合学校以及相关公益机构举办法治文明宣传活动。有针对性、生动性、现实性地开展法制宣传教育活动，加大对村居法律顾问工作的宣传力度，不断提高群众的法律意识，引导公民知法守法，依法维护好自身权利、履行好应尽义务。</w:t>
      </w:r>
    </w:p>
    <w:p w14:paraId="50C2F369">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78" w:name="_Toc88315851"/>
      <w:r>
        <w:rPr>
          <w:rFonts w:hint="eastAsia" w:ascii="黑体" w:hAnsi="黑体" w:eastAsia="黑体" w:cs="黑体"/>
          <w:b w:val="0"/>
          <w:bCs w:val="0"/>
          <w:color w:val="000000" w:themeColor="text1"/>
          <w:szCs w:val="28"/>
          <w14:textFill>
            <w14:solidFill>
              <w14:schemeClr w14:val="tx1"/>
            </w14:solidFill>
          </w14:textFill>
        </w:rPr>
        <w:t>第二节  推进基层治理法治化</w:t>
      </w:r>
      <w:bookmarkEnd w:id="178"/>
    </w:p>
    <w:p w14:paraId="092EA249">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城镇化法治化深度融合</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规范乡镇行政执法，全面深化乡镇基层行政执法体制改革，加强基层行政执法人员队伍建设，全面清理、优化和精简执法事项，实行执法事项清单管理制度。全面落实行政执法公示制度、执法全过程记录制度、重大执法决定法制审核制度。建立健全乡镇执法领域举报投诉处理机制和执法责任追究机制。严格落实行政执法人员持证上岗和资格管理制度。强化司法保障，完善司法为民便民利民措施，畅通司法便民“最后一公里”。充分发挥人民法庭、人民调解在法治乡镇建设中的职能作用，推广巡回审判和流动调解庭等方式。</w:t>
      </w:r>
    </w:p>
    <w:p w14:paraId="194DCDF6">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不断夯实乡村治理法治基础。</w:t>
      </w:r>
      <w:r>
        <w:rPr>
          <w:rFonts w:hint="eastAsia" w:cs="仿宋_GB2312"/>
          <w:color w:val="000000" w:themeColor="text1"/>
          <w:szCs w:val="28"/>
          <w14:textFill>
            <w14:solidFill>
              <w14:schemeClr w14:val="tx1"/>
            </w14:solidFill>
          </w14:textFill>
        </w:rPr>
        <w:t>落实“从优待警”待遇，加强司法所阵地建设，稳定基层司法队伍，提升司法人员工作积极性。大力开展农村普法，组织实施“宪法进万家”活动，认真组织开展好元旦春节“送法下乡”、“农村法治宣传月”、禁毒宣传月、青少年法治宣传教育周、“12·4”国家宪法日暨宪法宣传周等专题普法宣传活动。创新乡村法治文化传播方式，完善法治宣传栏、村民法治学校、法律图书室</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角</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等法治宣传载体，充分利用微信、手机APP、12348公共法律服务热线、湖南如法网、公共法律服务工作站</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点</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等网上平台。依托新时代文明实践中心，建立健全农村普法讲师团制度，发展壮大农村普法志愿者队伍。</w:t>
      </w:r>
    </w:p>
    <w:p w14:paraId="0D3C162E">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切实提升乡村社会治理效能。</w:t>
      </w:r>
      <w:r>
        <w:rPr>
          <w:rFonts w:hint="eastAsia" w:cs="仿宋_GB2312"/>
          <w:color w:val="000000" w:themeColor="text1"/>
          <w:szCs w:val="28"/>
          <w14:textFill>
            <w14:solidFill>
              <w14:schemeClr w14:val="tx1"/>
            </w14:solidFill>
          </w14:textFill>
        </w:rPr>
        <w:t>建立健全农村社会治安防控体系、公共安全体系，推进乡村“雪亮工程”，探索建立“互联网＋网格管理”服务管理模式，提升乡村治理智能化、精细化水平。深化城乡社区警务战略，加强社区和农村警务建设，大力推行“一村一辅警”机制。加强村</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社区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人民调解队伍建设。落实乡村两级宗教工作责任制，加大对农村非法宗教活动、邪教活动打击力度。开展农村突出治安问题专项整治。加强对社区矫正对象、严重精神障碍患者、刑满释放人员、社区戒毒人员、社区康复人员等特殊人群的教育监督和服务管理。健全完善村级心理咨询室，建立经常性社会心理服务机制。加强对留守儿童的教育、管理，推进“青少年零犯罪零受害村</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社区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”创建。加快“数字法治·智慧司法”建设。</w:t>
      </w:r>
    </w:p>
    <w:p w14:paraId="5E4F624B">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szCs w:val="28"/>
          <w14:textFill>
            <w14:solidFill>
              <w14:schemeClr w14:val="tx1"/>
            </w14:solidFill>
          </w14:textFill>
        </w:rPr>
      </w:pPr>
      <w:bookmarkStart w:id="179" w:name="_Toc88315852"/>
      <w:r>
        <w:rPr>
          <w:rFonts w:hint="eastAsia" w:ascii="黑体" w:hAnsi="黑体" w:eastAsia="黑体" w:cs="黑体"/>
          <w:b w:val="0"/>
          <w:bCs w:val="0"/>
          <w:color w:val="000000" w:themeColor="text1"/>
          <w:szCs w:val="28"/>
          <w14:textFill>
            <w14:solidFill>
              <w14:schemeClr w14:val="tx1"/>
            </w14:solidFill>
          </w14:textFill>
        </w:rPr>
        <w:t>第三节  深入推进信访制度改革</w:t>
      </w:r>
      <w:bookmarkEnd w:id="179"/>
    </w:p>
    <w:p w14:paraId="763A1A50">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提升信访工作效能。</w:t>
      </w:r>
      <w:r>
        <w:rPr>
          <w:rFonts w:hint="eastAsia" w:cs="仿宋_GB2312"/>
          <w:color w:val="000000" w:themeColor="text1"/>
          <w:szCs w:val="28"/>
          <w14:textFill>
            <w14:solidFill>
              <w14:schemeClr w14:val="tx1"/>
            </w14:solidFill>
          </w14:textFill>
        </w:rPr>
        <w:t>全力化解社会矛盾，解决信访问题，做好综治维稳工作，把发现信访苗头、解决信访问题作为安民心、促发展的关键一环来抓，主动与群众接触，畅通群众诉求渠道，实打实帮助解决实际困难和问题。坚持目标导向和问题导向，着力打造“阳光信访、法治信访、责任信访”，进一步健全完善长效机制，规范信访事项办理流程和质量要求，推进诉访分离，推动中央、省市有关健全和完善长效机制的精神落地见效，全面规范信访秩序。</w:t>
      </w:r>
    </w:p>
    <w:p w14:paraId="64373CAD">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强化信访工作保障。</w:t>
      </w:r>
      <w:r>
        <w:rPr>
          <w:rFonts w:hint="eastAsia" w:cs="仿宋_GB2312"/>
          <w:color w:val="000000" w:themeColor="text1"/>
          <w:szCs w:val="28"/>
          <w14:textFill>
            <w14:solidFill>
              <w14:schemeClr w14:val="tx1"/>
            </w14:solidFill>
          </w14:textFill>
        </w:rPr>
        <w:t>夯实责任，强化督查督办力度。紧紧围绕群众信访事项“件件有着落、事事有回音”和“事要解决”、“案结事了”的要求，坚持以“三到位一处理”为工作原则，督促责任单位限期妥善解决群众反映的信访事项。积极开展“信访入户”活动，为民做实事好事，解决基层信访矛盾，化解信访积案。加强信访工作规范化建设，继续推进“三无”“六有”创建活动，全力推动“四个信访”建设。</w:t>
      </w:r>
    </w:p>
    <w:p w14:paraId="2B256150">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法制建设工程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2B88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8" w:hRule="atLeast"/>
          <w:jc w:val="center"/>
        </w:trPr>
        <w:tc>
          <w:tcPr>
            <w:tcW w:w="5000" w:type="pct"/>
            <w:shd w:val="clear" w:color="auto" w:fill="auto"/>
          </w:tcPr>
          <w:p w14:paraId="72E185F6">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县、乡、村三级综治中心阵地建设及实战化功能建设工程：</w:t>
            </w:r>
            <w:r>
              <w:rPr>
                <w:rFonts w:hint="eastAsia"/>
              </w:rPr>
              <w:t>积极创建县综治中心、乡镇综治中心、村</w:t>
            </w:r>
            <w:r>
              <w:rPr>
                <w:rFonts w:hint="eastAsia"/>
                <w:lang w:eastAsia="zh-CN"/>
              </w:rPr>
              <w:t>（</w:t>
            </w:r>
            <w:r>
              <w:rPr>
                <w:rFonts w:hint="eastAsia"/>
              </w:rPr>
              <w:t>社区</w:t>
            </w:r>
            <w:r>
              <w:rPr>
                <w:rFonts w:hint="eastAsia"/>
                <w:lang w:eastAsia="zh-CN"/>
              </w:rPr>
              <w:t>）</w:t>
            </w:r>
            <w:r>
              <w:rPr>
                <w:rFonts w:hint="eastAsia"/>
              </w:rPr>
              <w:t>综治中心，加强系统维护以及实战化运行，力争投入资金1500万元。</w:t>
            </w:r>
          </w:p>
          <w:p w14:paraId="18638DC0">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乡村“雪亮工程”：</w:t>
            </w:r>
            <w:r>
              <w:rPr>
                <w:rFonts w:hint="eastAsia"/>
              </w:rPr>
              <w:t>在乡、村两级建设智能化电子防控系统，乡级投入50万元/个，村</w:t>
            </w:r>
            <w:r>
              <w:rPr>
                <w:rFonts w:hint="eastAsia"/>
                <w:lang w:eastAsia="zh-CN"/>
              </w:rPr>
              <w:t>（</w:t>
            </w:r>
            <w:r>
              <w:rPr>
                <w:rFonts w:hint="eastAsia"/>
              </w:rPr>
              <w:t>社区</w:t>
            </w:r>
            <w:r>
              <w:rPr>
                <w:rFonts w:hint="eastAsia"/>
                <w:lang w:eastAsia="zh-CN"/>
              </w:rPr>
              <w:t>）</w:t>
            </w:r>
            <w:r>
              <w:rPr>
                <w:rFonts w:hint="eastAsia"/>
              </w:rPr>
              <w:t>高端系统投入40万元/个，无抓拍功能系统投入20万元/个。</w:t>
            </w:r>
          </w:p>
          <w:p w14:paraId="68A1E6E9">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关爱之家工程：</w:t>
            </w:r>
            <w:r>
              <w:rPr>
                <w:rFonts w:hint="eastAsia"/>
              </w:rPr>
              <w:t>建设标准关爱之家，建设县、乡级关爱之家。</w:t>
            </w:r>
          </w:p>
          <w:p w14:paraId="5046F92B">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教育基地：</w:t>
            </w:r>
            <w:r>
              <w:rPr>
                <w:rFonts w:hint="eastAsia"/>
              </w:rPr>
              <w:t>规划建设1个国家安全教育基地，拟投资40万元；在新增学校建设高标准禁毒教育基地。</w:t>
            </w:r>
          </w:p>
          <w:p w14:paraId="6A433E42">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县司法调解中心：</w:t>
            </w:r>
            <w:r>
              <w:rPr>
                <w:rFonts w:hint="eastAsia"/>
              </w:rPr>
              <w:t>建成1个司法调解中心，投入30万元。</w:t>
            </w:r>
          </w:p>
          <w:p w14:paraId="4D2033D5">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信访接待所：</w:t>
            </w:r>
            <w:r>
              <w:rPr>
                <w:rFonts w:hint="eastAsia"/>
              </w:rPr>
              <w:t>新建信访接待场所1座，改善完善乡、村两级信访接待场所。</w:t>
            </w:r>
          </w:p>
        </w:tc>
      </w:tr>
    </w:tbl>
    <w:p w14:paraId="198F8827">
      <w:pPr>
        <w:rPr>
          <w:rFonts w:hint="eastAsia"/>
          <w:b/>
          <w:bCs/>
        </w:rPr>
      </w:pPr>
      <w:r>
        <w:rPr>
          <w:rFonts w:hint="eastAsia"/>
          <w:b/>
          <w:bCs/>
        </w:rPr>
        <w:br w:type="page"/>
      </w:r>
    </w:p>
    <w:p w14:paraId="4BA780E9">
      <w:pPr>
        <w:pStyle w:val="4"/>
        <w:keepNext w:val="0"/>
        <w:keepLines w:val="0"/>
        <w:pageBreakBefore w:val="0"/>
        <w:widowControl w:val="0"/>
        <w:kinsoku/>
        <w:wordWrap w:val="0"/>
        <w:overflowPunct/>
        <w:topLinePunct/>
        <w:autoSpaceDE/>
        <w:autoSpaceDN/>
        <w:bidi w:val="0"/>
        <w:adjustRightInd/>
        <w:snapToGrid/>
        <w:spacing w:before="0" w:after="313" w:afterLines="100" w:line="60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80" w:name="_Toc88315853"/>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着力防范化解社会风险</w:t>
      </w:r>
      <w:bookmarkEnd w:id="180"/>
    </w:p>
    <w:p w14:paraId="5061009E">
      <w:pPr>
        <w:pStyle w:val="5"/>
        <w:keepNext w:val="0"/>
        <w:keepLines w:val="0"/>
        <w:pageBreakBefore w:val="0"/>
        <w:widowControl w:val="0"/>
        <w:kinsoku/>
        <w:wordWrap w:val="0"/>
        <w:overflowPunct/>
        <w:topLinePunct/>
        <w:autoSpaceDE/>
        <w:autoSpaceDN/>
        <w:bidi w:val="0"/>
        <w:adjustRightInd/>
        <w:snapToGrid/>
        <w:spacing w:beforeLines="0" w:after="313" w:afterLines="100" w:line="600" w:lineRule="exact"/>
        <w:ind w:firstLine="0" w:firstLineChars="0"/>
        <w:jc w:val="center"/>
        <w:textAlignment w:val="auto"/>
        <w:rPr>
          <w:rFonts w:hint="eastAsia" w:ascii="黑体" w:hAnsi="黑体" w:eastAsia="黑体" w:cs="黑体"/>
          <w:b w:val="0"/>
          <w:bCs w:val="0"/>
          <w:szCs w:val="28"/>
        </w:rPr>
      </w:pPr>
      <w:bookmarkStart w:id="181" w:name="_Toc88315854"/>
      <w:r>
        <w:rPr>
          <w:rFonts w:hint="eastAsia" w:ascii="黑体" w:hAnsi="黑体" w:eastAsia="黑体" w:cs="黑体"/>
          <w:b w:val="0"/>
          <w:bCs w:val="0"/>
          <w:szCs w:val="28"/>
        </w:rPr>
        <w:t>第一节  提高社会治理效率</w:t>
      </w:r>
      <w:bookmarkEnd w:id="181"/>
    </w:p>
    <w:p w14:paraId="6B350619">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提升社会治理综合效能</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坚持以“人民满意的政府”为目标，在优服务提效能上力求更大突破，形成尊重民意、汇集民智、凝聚民力、改善民生的社会治理理念，提高社会治理社会化、现代化、智能化水平，加强数字政府建设，整合教育、医疗、就业、社保、养老和民政等社会公共资源，把社会治理服务全面延伸到社会末梢，全力推动信息化建设，推动社会治理要素数据化、治理数据标准化，推进社会治理多网融合，实现大数据技术与网格化管理有机融合，加强数据有序共享。加快推行服务满意度评价标准化，强化“双随机、一公开”监管，构建公平公正、规范有效的联合执法机制，构建公平公正、规范有效的综合监管体系。</w:t>
      </w:r>
    </w:p>
    <w:p w14:paraId="4DD56731">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创建市域社会治理现代化试点。</w:t>
      </w:r>
      <w:r>
        <w:rPr>
          <w:rFonts w:hint="eastAsia" w:cs="仿宋_GB2312"/>
          <w:color w:val="000000" w:themeColor="text1"/>
          <w:szCs w:val="28"/>
          <w14:textFill>
            <w14:solidFill>
              <w14:schemeClr w14:val="tx1"/>
            </w14:solidFill>
          </w14:textFill>
        </w:rPr>
        <w:t>借鉴“湖南省全国市域社会治理现代化第1期试点地区”建设经验，创建“全省市域社会治理现代化试点合格县”，打造具有临武特色的社会治理新模式，整体提升临武县社会治理现代化水平和能力。围绕构建“人人有责、人人尽责、人人享有”的社会治理</w:t>
      </w:r>
      <w:r>
        <w:rPr>
          <w:rFonts w:hint="eastAsia" w:cs="仿宋_GB2312"/>
          <w:color w:val="000000" w:themeColor="text1"/>
          <w:szCs w:val="28"/>
          <w:lang w:eastAsia="zh-CN"/>
          <w14:textFill>
            <w14:solidFill>
              <w14:schemeClr w14:val="tx1"/>
            </w14:solidFill>
          </w14:textFill>
        </w:rPr>
        <w:t>创新</w:t>
      </w:r>
      <w:r>
        <w:rPr>
          <w:rFonts w:hint="eastAsia" w:cs="仿宋_GB2312"/>
          <w:color w:val="000000" w:themeColor="text1"/>
          <w:szCs w:val="28"/>
          <w14:textFill>
            <w14:solidFill>
              <w14:schemeClr w14:val="tx1"/>
            </w14:solidFill>
          </w14:textFill>
        </w:rPr>
        <w:t>共同体为目标，持续巩固基层治理基础、着力破解基层治理难点。要紧扣城乡融合发展、乡村振兴、扫黑除恶等中心工作，主动破解社会矛盾外溢难题和治安问题复杂多变挑战，整合社会力量，统筹配置资源，推动关口前移、重心下移，让基层成为社会矛盾的“终点站”，不断提升市域社会治理效能和社会稳定风险防范化解水平。积极争取市域社会治理重点项目纳入</w:t>
      </w:r>
      <w:r>
        <w:rPr>
          <w:rFonts w:hint="eastAsia" w:cs="仿宋_GB2312"/>
          <w:color w:val="000000" w:themeColor="text1"/>
          <w:szCs w:val="28"/>
          <w:lang w:eastAsia="zh-CN"/>
          <w14:textFill>
            <w14:solidFill>
              <w14:schemeClr w14:val="tx1"/>
            </w14:solidFill>
          </w14:textFill>
        </w:rPr>
        <w:t>国家、</w:t>
      </w:r>
      <w:r>
        <w:rPr>
          <w:rFonts w:hint="eastAsia" w:cs="仿宋_GB2312"/>
          <w:color w:val="000000" w:themeColor="text1"/>
          <w:szCs w:val="28"/>
          <w14:textFill>
            <w14:solidFill>
              <w14:schemeClr w14:val="tx1"/>
            </w14:solidFill>
          </w14:textFill>
        </w:rPr>
        <w:t>省</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市支持项目库。</w:t>
      </w:r>
    </w:p>
    <w:p w14:paraId="4BD42814">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提高全面从严治党质量。</w:t>
      </w:r>
      <w:r>
        <w:rPr>
          <w:rFonts w:hint="eastAsia" w:cs="仿宋_GB2312"/>
          <w:color w:val="000000" w:themeColor="text1"/>
          <w:szCs w:val="28"/>
          <w14:textFill>
            <w14:solidFill>
              <w14:schemeClr w14:val="tx1"/>
            </w14:solidFill>
          </w14:textFill>
        </w:rPr>
        <w:t>深入贯彻落实党的理论和路线方针政策以及中央、省委、市委、县委重大决策部署，贯彻落实新时代党的组织路线，认真落实“两个责任”，锤炼政治品格。</w:t>
      </w:r>
      <w:r>
        <w:rPr>
          <w:rFonts w:hint="eastAsia" w:cs="仿宋_GB2312"/>
          <w:szCs w:val="28"/>
        </w:rPr>
        <w:t>强化</w:t>
      </w:r>
      <w:r>
        <w:rPr>
          <w:rFonts w:hint="eastAsia" w:cs="仿宋_GB2312"/>
          <w:color w:val="000000" w:themeColor="text1"/>
          <w:szCs w:val="28"/>
          <w14:textFill>
            <w14:solidFill>
              <w14:schemeClr w14:val="tx1"/>
            </w14:solidFill>
          </w14:textFill>
        </w:rPr>
        <w:t>纪律意识，牢固树立不越红线、不违法违纪意识，严格遵守工作纪律，严格执行党风廉政建设各项规定，避免“四风问题”反弹回潮，营造清正廉洁的工作氛围。进一步增强政治敏锐性和政治鉴别力，加强廉洁从政、作风建设、基层党建等中心工作建设，把临武县全面从严治党引向深入，切实维护好、巩固好临武县风清气正的政治生态。</w:t>
      </w:r>
    </w:p>
    <w:p w14:paraId="1F9EA3C0">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rPr>
      </w:pPr>
      <w:bookmarkStart w:id="182" w:name="_Toc88315855"/>
      <w:r>
        <w:rPr>
          <w:rFonts w:hint="eastAsia" w:ascii="黑体" w:hAnsi="黑体" w:eastAsia="黑体" w:cs="黑体"/>
          <w:b w:val="0"/>
          <w:bCs w:val="0"/>
        </w:rPr>
        <w:t>第二节  强化社会风险防范</w:t>
      </w:r>
      <w:bookmarkEnd w:id="182"/>
    </w:p>
    <w:p w14:paraId="2F65F3F0">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强化安全底线。</w:t>
      </w:r>
      <w:r>
        <w:rPr>
          <w:rFonts w:hint="eastAsia" w:cs="仿宋_GB2312"/>
          <w:color w:val="000000" w:themeColor="text1"/>
          <w:szCs w:val="28"/>
          <w14:textFill>
            <w14:solidFill>
              <w14:schemeClr w14:val="tx1"/>
            </w14:solidFill>
          </w14:textFill>
        </w:rPr>
        <w:t>深化对重点领域、重点行业、重点企业的监管，落实各行业领域实名制管理，坚决遏制较大以上食品药品、特种设备安全事故发生。协调推进食品安全源头治理和社会共治，强化药械安全监管。进一步压实安全生产责任，建立安全生产责任落实机制、压力传导机制，推动安全生产系统治理、终端治理和常态治理，坚决防范化解重大安全风险。强化联防联控联处机制，成立多灾种专家应对小组；加强应急指挥体系建设，超前做好应急队伍、应急物资等各方面准备。</w:t>
      </w:r>
    </w:p>
    <w:p w14:paraId="14474031">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实施安全风险防范专项工程。</w:t>
      </w:r>
      <w:r>
        <w:rPr>
          <w:rFonts w:hint="eastAsia" w:cs="仿宋_GB2312"/>
          <w:color w:val="000000" w:themeColor="text1"/>
          <w:szCs w:val="28"/>
          <w14:textFill>
            <w14:solidFill>
              <w14:schemeClr w14:val="tx1"/>
            </w14:solidFill>
          </w14:textFill>
        </w:rPr>
        <w:t>以创建省级食品安全示范县为契机和抓手，着力推进食品药品“放心工程”。深化放心药店、放心药房、放心餐馆、食品安全管理示范店工程建设。推动社区综治中心建设，将社区公安、司法、信访、调解、反邪教、法律服务等工作力量整合到综治中心开展工作。</w:t>
      </w:r>
    </w:p>
    <w:p w14:paraId="157F8D8F">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83" w:name="_Toc88315856"/>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深入推进平安临武建设</w:t>
      </w:r>
      <w:bookmarkEnd w:id="183"/>
    </w:p>
    <w:p w14:paraId="309E6026">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加强重点地区、重点场所的社会治安综合治理，对各种违法犯罪活动进行依法严密防控和惩治，完善立体化社会治安防控体系，建设“平安临武”。</w:t>
      </w:r>
    </w:p>
    <w:p w14:paraId="6964E51F">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84" w:name="_Toc88315857"/>
      <w:r>
        <w:rPr>
          <w:rFonts w:hint="eastAsia" w:ascii="黑体" w:hAnsi="黑体" w:eastAsia="黑体" w:cs="黑体"/>
          <w:b w:val="0"/>
          <w:bCs w:val="0"/>
          <w:color w:val="000000" w:themeColor="text1"/>
          <w14:textFill>
            <w14:solidFill>
              <w14:schemeClr w14:val="tx1"/>
            </w14:solidFill>
          </w14:textFill>
        </w:rPr>
        <w:t>第一节  提升人民群众安全感</w:t>
      </w:r>
      <w:bookmarkEnd w:id="184"/>
    </w:p>
    <w:p w14:paraId="77BE0D5E">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打击黑恶违法犯罪</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纵深推进扫黑除恶专项斗争，对黑恶违法犯罪活动始终保持高压态势，对黑恶违法犯罪分子从快、从重处罚，扩大扫黑除恶打击战果。精准发力、重拳出击、久久为功，坚持打击、宣传、普法同频共振，进一步弘扬主旋律、凝聚正能量，实现扫黑除恶政治效果、法纪效果、社会效果相统一。要坚持办案力量向一线倾斜，进一步统一政法机关执法办案思想，提高办案能力水平，切实保证扫黑除恶各项工作取得新进展、新成效。</w:t>
      </w:r>
    </w:p>
    <w:p w14:paraId="097D0DE4">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依法有效化解社会矛盾。</w:t>
      </w:r>
      <w:r>
        <w:rPr>
          <w:rFonts w:hint="eastAsia" w:cs="仿宋_GB2312"/>
          <w:color w:val="000000" w:themeColor="text1"/>
          <w:szCs w:val="28"/>
          <w14:textFill>
            <w14:solidFill>
              <w14:schemeClr w14:val="tx1"/>
            </w14:solidFill>
          </w14:textFill>
        </w:rPr>
        <w:t>不断加强医调、交调、婚调、水调等专业调解小组，健全乡村矛盾纠纷化解机制。坚持和发展新时代“枫桥经验”，畅通和规范群众诉求表达、利益协调、权益保障通道，完善社会矛盾多元预防调处化解综合机制，努力将矛盾化解在基层和萌芽状态，做到“小事不出村、大事不出镇”。强化诉源治理，加强基层司法所对人民调解委员会调解民间纠纷的业务指导，完善基层人民调解组织网络，加强乡村人民调解组织规范化建设，落实人民调解“以奖代补”制度。</w:t>
      </w:r>
    </w:p>
    <w:p w14:paraId="0E4A6084">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2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85" w:name="_Toc88315858"/>
      <w:r>
        <w:rPr>
          <w:rFonts w:hint="eastAsia" w:ascii="黑体" w:hAnsi="黑体" w:eastAsia="黑体" w:cs="黑体"/>
          <w:b w:val="0"/>
          <w:bCs w:val="0"/>
          <w:color w:val="000000" w:themeColor="text1"/>
          <w14:textFill>
            <w14:solidFill>
              <w14:schemeClr w14:val="tx1"/>
            </w14:solidFill>
          </w14:textFill>
        </w:rPr>
        <w:t>第二节  推进高质量公安建设</w:t>
      </w:r>
      <w:bookmarkEnd w:id="185"/>
    </w:p>
    <w:p w14:paraId="15F8E9D3">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创建立体化社会治安防控体系。</w:t>
      </w:r>
      <w:r>
        <w:rPr>
          <w:rFonts w:hint="eastAsia" w:cs="仿宋_GB2312"/>
          <w:color w:val="000000" w:themeColor="text1"/>
          <w:szCs w:val="28"/>
          <w14:textFill>
            <w14:solidFill>
              <w14:schemeClr w14:val="tx1"/>
            </w14:solidFill>
          </w14:textFill>
        </w:rPr>
        <w:t>稳步推进公安信息化建设，充分利用“平安临武”手机终端APP、“综治中心+网格化”服务管理平台。创建专群结合、群防群治新局面。运用微信、互联网等新的载体和手段，组织各行各业，发动各类群体及时发布治安信息和防范知识。持续开展“义务巡逻一夜、群众平安一年”等群防群治活动。强化社会面巡逻防控机制，推广城乡居民家用技防设施。</w:t>
      </w:r>
    </w:p>
    <w:p w14:paraId="281A26C6">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进一步强化禁毒工作。</w:t>
      </w:r>
      <w:r>
        <w:rPr>
          <w:rFonts w:hint="eastAsia" w:cs="仿宋_GB2312"/>
          <w:color w:val="000000" w:themeColor="text1"/>
          <w:szCs w:val="28"/>
          <w14:textFill>
            <w14:solidFill>
              <w14:schemeClr w14:val="tx1"/>
            </w14:solidFill>
          </w14:textFill>
        </w:rPr>
        <w:t>纵深推进人民禁毒战争，强化源头管理，按照《易制毒化学品管理条例》等法规要求，对相关物品严格进行备案。开展日常监督检查，重点检查摸清企业负责人、生产经营品种、产量、购销渠道等基本情况，确保非药类易制化学品不流入非法渠道。强化外流贩毒整治力度，加大禁毒宣传教育力度，切实提高全民禁毒意识，为禁毒人民战争营造良好的社会舆论氛围。</w:t>
      </w:r>
    </w:p>
    <w:p w14:paraId="5237857E">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强化公安基础设施建设。</w:t>
      </w:r>
      <w:r>
        <w:rPr>
          <w:rFonts w:hint="eastAsia" w:cs="仿宋_GB2312"/>
          <w:color w:val="000000" w:themeColor="text1"/>
          <w:szCs w:val="28"/>
          <w14:textFill>
            <w14:solidFill>
              <w14:schemeClr w14:val="tx1"/>
            </w14:solidFill>
          </w14:textFill>
        </w:rPr>
        <w:t>推进雪亮工程建设，建设一批公安项目，有效改善公安基础设施条件。推动建设临武县公安局业务技术用房项目、临武县公安局警务技能训练基地项目、临武县“雪亮工程”项目、临武县公安局城关派出所项目、临武县公安局楚江派出所项目、临武县公安局镇南派出所项目、临武县公安局西瑶派出所项目、临武县公安局工业园区派出所项目、临武县公安局强制隔离戒毒所项目。</w:t>
      </w:r>
    </w:p>
    <w:p w14:paraId="7151A7B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86" w:name="_Toc88315859"/>
      <w:r>
        <w:rPr>
          <w:rFonts w:hint="eastAsia" w:ascii="黑体" w:hAnsi="黑体" w:eastAsia="黑体" w:cs="黑体"/>
          <w:b w:val="0"/>
          <w:bCs w:val="0"/>
          <w:color w:val="000000" w:themeColor="text1"/>
          <w14:textFill>
            <w14:solidFill>
              <w14:schemeClr w14:val="tx1"/>
            </w14:solidFill>
          </w14:textFill>
        </w:rPr>
        <w:t>第三节  实施平安建设工程</w:t>
      </w:r>
      <w:bookmarkEnd w:id="186"/>
    </w:p>
    <w:p w14:paraId="2BE880A4">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建设平安景区。</w:t>
      </w:r>
      <w:r>
        <w:rPr>
          <w:rFonts w:hint="eastAsia" w:cs="仿宋_GB2312"/>
          <w:color w:val="000000" w:themeColor="text1"/>
          <w:szCs w:val="28"/>
          <w14:textFill>
            <w14:solidFill>
              <w14:schemeClr w14:val="tx1"/>
            </w14:solidFill>
          </w14:textFill>
        </w:rPr>
        <w:t>坚持做到创建组织健全、安全制度完善、安全措施到位、安全培训经常、安全设施完备、安全目标明确。创建单位达到“六个不发生”：不发生重大治安案件、经济犯罪及重大刑事案件；不发生死亡安全生产事故；不发生集体上访事件；不发生有重大影响的火灾、燃气爆炸、旅游交通、食品中毒等重大事故；不发生本单位职工参与组织黄、赌、毒等案件；不发生有重大影响的游客投诉事件。</w:t>
      </w:r>
    </w:p>
    <w:p w14:paraId="1EEAE6B3">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建设平安园区。</w:t>
      </w:r>
      <w:r>
        <w:rPr>
          <w:rFonts w:hint="eastAsia" w:cs="仿宋_GB2312"/>
          <w:color w:val="000000" w:themeColor="text1"/>
          <w:szCs w:val="28"/>
          <w14:textFill>
            <w14:solidFill>
              <w14:schemeClr w14:val="tx1"/>
            </w14:solidFill>
          </w14:textFill>
        </w:rPr>
        <w:t>在企业中开展“平安园区”创建活动，引导园区企业参与共治共建。严格落实企业法人安全责任制，建立健全治安保卫、消防组织、安全监管、安全生产诚信机制，落实单位内部防范措施，严防重大刑事案件、治安案件和安全生产事故的发生；加强对职工的法制宣传教育，推进民主管理，实施依法治理；定期排查、及时化解矛盾纠纷，确保企业不发生重大劳资纠纷，不发生越级上访和群体性事件。</w:t>
      </w:r>
    </w:p>
    <w:p w14:paraId="2BC6E3A3">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建设平安乡镇。</w:t>
      </w:r>
      <w:r>
        <w:rPr>
          <w:rFonts w:hint="eastAsia" w:cs="仿宋_GB2312"/>
          <w:color w:val="000000" w:themeColor="text1"/>
          <w:szCs w:val="28"/>
          <w14:textFill>
            <w14:solidFill>
              <w14:schemeClr w14:val="tx1"/>
            </w14:solidFill>
          </w14:textFill>
        </w:rPr>
        <w:t>充分利用平安建设巡逻队、建设镇级综治信访接待中心，持续提升基层社会治理水平。强化治安巡逻，对重点路段、重点区域、村界处以及治安复杂区域开展全方位巡逻。完善矛盾纠纷多元化解机制，解决综治信访突出问题，积极开展信访事项调处、治安纠纷调解、法律咨询与法律援助，助推矛盾纠纷化解“最多跑一次</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一地</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”。对于信访积案，推动实行专案专办，严格落实主要领导包案、息诉息访制等。</w:t>
      </w:r>
    </w:p>
    <w:p w14:paraId="13927452">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平安临武重大工程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7E9A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shd w:val="clear" w:color="auto" w:fill="auto"/>
            <w:vAlign w:val="center"/>
          </w:tcPr>
          <w:p w14:paraId="40F993FF">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公安设施重大工程：</w:t>
            </w:r>
            <w:r>
              <w:rPr>
                <w:rFonts w:hint="eastAsia"/>
              </w:rPr>
              <w:t>推动建设临武县公安局业务技术用房项目、临武县公安局警务技能训练基地项目、临武县“雪亮工程”项目、临武县公安局城关派出所项目、临武县公安局楚江派出所项目、临武县公安局镇南派出所项目、临武县公安局西瑶派出所项目、临武县公安局工业园区派出所项目、临武县公安局强制隔离戒毒所项目，预计投入约2亿元左右。</w:t>
            </w:r>
          </w:p>
        </w:tc>
      </w:tr>
    </w:tbl>
    <w:p w14:paraId="6B4FAF87">
      <w:pPr>
        <w:pStyle w:val="4"/>
        <w:keepNext w:val="0"/>
        <w:keepLines w:val="0"/>
        <w:pageBreakBefore w:val="0"/>
        <w:widowControl w:val="0"/>
        <w:kinsoku/>
        <w:wordWrap w:val="0"/>
        <w:overflowPunct/>
        <w:topLinePunct/>
        <w:autoSpaceDE/>
        <w:autoSpaceDN/>
        <w:bidi w:val="0"/>
        <w:adjustRightInd/>
        <w:snapToGrid/>
        <w:spacing w:before="0" w:after="313" w:afterLines="100" w:line="60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87" w:name="_Toc88315860"/>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加强应急管理能力建设</w:t>
      </w:r>
      <w:bookmarkEnd w:id="187"/>
    </w:p>
    <w:p w14:paraId="42BE698F">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健全应急管理体系，坚持以防为主、防抗救相结合、常态减灾和非常态救灾相统一，加强应急队伍建设，优化完善信息公开与监测预警机制，不断提升临武应急管理水平。</w:t>
      </w:r>
    </w:p>
    <w:p w14:paraId="0926AB1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88" w:name="_Toc88315861"/>
      <w:r>
        <w:rPr>
          <w:rFonts w:hint="eastAsia" w:ascii="黑体" w:hAnsi="黑体" w:eastAsia="黑体" w:cs="黑体"/>
          <w:b w:val="0"/>
          <w:bCs w:val="0"/>
          <w:color w:val="000000" w:themeColor="text1"/>
          <w14:textFill>
            <w14:solidFill>
              <w14:schemeClr w14:val="tx1"/>
            </w14:solidFill>
          </w14:textFill>
        </w:rPr>
        <w:t>第一节  提升水旱、地质灾害防御水平</w:t>
      </w:r>
      <w:bookmarkEnd w:id="188"/>
    </w:p>
    <w:p w14:paraId="0268C013">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全力推进配套工程建设</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完善水旱、地质灾害防御预案、方案，加强部门间信息沟通，实现资源共享，建立协调配合机制，共同做好地质灾害防治防范应对工作，努力提高防御保障能力。完善灾害应急管理专家库，开展灾害防治知识宣传培训和演练，确保相关人员培训到位。</w:t>
      </w:r>
    </w:p>
    <w:p w14:paraId="6228C376">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提高预测预报预警能力。</w:t>
      </w:r>
      <w:r>
        <w:rPr>
          <w:rFonts w:hint="eastAsia" w:cs="仿宋_GB2312"/>
          <w:color w:val="000000" w:themeColor="text1"/>
          <w:szCs w:val="28"/>
          <w14:textFill>
            <w14:solidFill>
              <w14:schemeClr w14:val="tx1"/>
            </w14:solidFill>
          </w14:textFill>
        </w:rPr>
        <w:t>进一步完善自动监测站点、监测预警平台、预警设施设备、群防群策体系等建设，以软件设施系统为主，配备部分配套设施，突出抓好雨情、水情、汛情、旱情、工情、地质灾害的监测预报预警工作，加强综合会商和分析研判，着力延长预测预见期，不断提高预测精准度，及早提出预测预报意见，及时发布预警信息，争取水旱、地质灾害防御工作主动权。</w:t>
      </w:r>
    </w:p>
    <w:p w14:paraId="7AD46326">
      <w:pPr>
        <w:pStyle w:val="57"/>
        <w:keepNext w:val="0"/>
        <w:keepLines w:val="0"/>
        <w:pageBreakBefore w:val="0"/>
        <w:widowControl w:val="0"/>
        <w:kinsoku/>
        <w:wordWrap w:val="0"/>
        <w:overflowPunct/>
        <w:topLinePunct/>
        <w:autoSpaceDE/>
        <w:autoSpaceDN/>
        <w:bidi w:val="0"/>
        <w:spacing w:line="600" w:lineRule="exact"/>
        <w:ind w:firstLine="643"/>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强化监督管理。</w:t>
      </w:r>
      <w:r>
        <w:rPr>
          <w:rFonts w:hint="eastAsia" w:cs="仿宋_GB2312"/>
          <w:color w:val="000000" w:themeColor="text1"/>
          <w:szCs w:val="28"/>
          <w14:textFill>
            <w14:solidFill>
              <w14:schemeClr w14:val="tx1"/>
            </w14:solidFill>
          </w14:textFill>
        </w:rPr>
        <w:t>突出水库度汛安全，做好病险水库排查，紧盯堤防险工险段，强化巡堤查险，发现问题及时报告并妥善处置，加强水利工程安全运行管理，坚决杜绝出现运行管理空白。围绕地质灾害年度防灾方案、突发地质灾害应急预案、群测群防责任制落实、隐患排查结果等，实施专项考核，继续不定期检查和抽查、专项检查。</w:t>
      </w:r>
    </w:p>
    <w:p w14:paraId="1059FCF5">
      <w:pPr>
        <w:keepNext w:val="0"/>
        <w:keepLines w:val="0"/>
        <w:pageBreakBefore w:val="0"/>
        <w:widowControl w:val="0"/>
        <w:kinsoku/>
        <w:wordWrap w:val="0"/>
        <w:overflowPunct/>
        <w:topLinePunct/>
        <w:autoSpaceDE/>
        <w:autoSpaceDN/>
        <w:bidi w:val="0"/>
        <w:spacing w:line="600" w:lineRule="exact"/>
        <w:jc w:val="center"/>
        <w:rPr>
          <w:rFonts w:hint="eastAsia" w:ascii="黑体" w:hAnsi="黑体" w:eastAsia="黑体" w:cs="黑体"/>
        </w:rPr>
      </w:pPr>
      <w:r>
        <w:rPr>
          <w:rFonts w:hint="eastAsia" w:ascii="黑体" w:hAnsi="黑体" w:eastAsia="黑体" w:cs="黑体"/>
        </w:rPr>
        <w:t>专栏</w:t>
      </w:r>
      <w:r>
        <w:rPr>
          <w:rFonts w:hint="eastAsia" w:ascii="黑体" w:hAnsi="黑体" w:eastAsia="黑体" w:cs="黑体"/>
        </w:rPr>
        <w:fldChar w:fldCharType="begin"/>
      </w:r>
      <w:r>
        <w:rPr>
          <w:rFonts w:hint="eastAsia" w:ascii="黑体" w:hAnsi="黑体" w:eastAsia="黑体" w:cs="黑体"/>
        </w:rPr>
        <w:instrText xml:space="preserve"> SEQ 专栏 \* ARABIC </w:instrText>
      </w:r>
      <w:r>
        <w:rPr>
          <w:rFonts w:hint="eastAsia" w:ascii="黑体" w:hAnsi="黑体" w:eastAsia="黑体" w:cs="黑体"/>
        </w:rPr>
        <w:fldChar w:fldCharType="separate"/>
      </w:r>
      <w:r>
        <w:rPr>
          <w:rFonts w:hint="eastAsia" w:ascii="黑体" w:hAnsi="黑体" w:eastAsia="黑体" w:cs="黑体"/>
        </w:rPr>
        <w:t>20</w:t>
      </w:r>
      <w:r>
        <w:rPr>
          <w:rFonts w:hint="eastAsia" w:ascii="黑体" w:hAnsi="黑体" w:eastAsia="黑体" w:cs="黑体"/>
        </w:rPr>
        <w:fldChar w:fldCharType="end"/>
      </w:r>
      <w:r>
        <w:rPr>
          <w:rFonts w:hint="eastAsia" w:ascii="黑体" w:hAnsi="黑体" w:eastAsia="黑体" w:cs="黑体"/>
          <w:lang w:val="en-US" w:eastAsia="zh-CN"/>
        </w:rPr>
        <w:t xml:space="preserve">  </w:t>
      </w:r>
      <w:r>
        <w:rPr>
          <w:rFonts w:hint="eastAsia" w:ascii="黑体" w:hAnsi="黑体" w:eastAsia="黑体" w:cs="黑体"/>
        </w:rPr>
        <w:t>应急管理专项工程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1466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shd w:val="clear" w:color="auto" w:fill="auto"/>
          </w:tcPr>
          <w:p w14:paraId="1FC15485">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山洪灾害防治非工程措施项目：</w:t>
            </w:r>
            <w:r>
              <w:rPr>
                <w:rFonts w:hint="eastAsia"/>
              </w:rPr>
              <w:t>开展山洪危险区和中小型水库应急演练，完善方案预案、实时雨水情监测预警设施及山洪灾害防御预警平台建设等，提升预警能力。</w:t>
            </w:r>
          </w:p>
          <w:p w14:paraId="21F43C47">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水库雨水情监测及视频监控设施项目：</w:t>
            </w:r>
            <w:r>
              <w:rPr>
                <w:rFonts w:hint="eastAsia"/>
              </w:rPr>
              <w:t>完善水库水雨情监测及视频监控设施，实现雨量、水位和水库大坝外观的在线观测与智能监测，同时进一步完善人工观测水位尺和雨量计，提升监测能力和监测手段，补齐水库“三个责任人和三个重点环节”管理短板。</w:t>
            </w:r>
          </w:p>
          <w:p w14:paraId="618A38AD">
            <w:pPr>
              <w:pStyle w:val="72"/>
              <w:keepNext w:val="0"/>
              <w:keepLines w:val="0"/>
              <w:pageBreakBefore w:val="0"/>
              <w:widowControl w:val="0"/>
              <w:kinsoku/>
              <w:wordWrap w:val="0"/>
              <w:overflowPunct/>
              <w:topLinePunct/>
              <w:autoSpaceDE/>
              <w:autoSpaceDN/>
              <w:bidi w:val="0"/>
              <w:spacing w:line="600" w:lineRule="exact"/>
              <w:ind w:firstLine="560"/>
              <w:jc w:val="both"/>
            </w:pPr>
            <w:r>
              <w:rPr>
                <w:rFonts w:hint="eastAsia"/>
                <w:b/>
                <w:bCs/>
              </w:rPr>
              <w:t>重点山沟防洪治理项目：</w:t>
            </w:r>
            <w:r>
              <w:rPr>
                <w:rFonts w:hint="eastAsia"/>
              </w:rPr>
              <w:t>积极推进山洪沟防洪治理项目前期工作及落地，从源头堵塞漏洞，提高山洪沟两岸村庄、集中居民点和重要设施的防洪标准，提升山洪灾害防御能力。</w:t>
            </w:r>
          </w:p>
        </w:tc>
      </w:tr>
    </w:tbl>
    <w:p w14:paraId="145D5612">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89" w:name="_Toc88315862"/>
      <w:r>
        <w:rPr>
          <w:rFonts w:hint="eastAsia" w:ascii="黑体" w:hAnsi="黑体" w:eastAsia="黑体" w:cs="黑体"/>
          <w:b w:val="0"/>
          <w:bCs w:val="0"/>
          <w:color w:val="000000" w:themeColor="text1"/>
          <w14:textFill>
            <w14:solidFill>
              <w14:schemeClr w14:val="tx1"/>
            </w14:solidFill>
          </w14:textFill>
        </w:rPr>
        <w:t>第二节  提高消防能力建设</w:t>
      </w:r>
      <w:bookmarkEnd w:id="189"/>
    </w:p>
    <w:p w14:paraId="7F973816">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加强消防能力建设</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增设消防站，督促企业建立企业专职消防队。采取提高路网密度，合理布置主、次干路，分流过境交通等一系列工程措施，提高消防通道通行能力。修建消防取水平台，多渠道保障消防用水。加强人防工程建设，以中小型为主，尽量分散配置，并且与城市地下交通等设施相连通，加强生命线工程的防护建设，保证生命线工程安全运行。</w:t>
      </w:r>
    </w:p>
    <w:p w14:paraId="27C0C1DB">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森林防火常态化。</w:t>
      </w:r>
      <w:r>
        <w:rPr>
          <w:rFonts w:hint="eastAsia" w:cs="仿宋_GB2312"/>
          <w:color w:val="000000" w:themeColor="text1"/>
          <w:szCs w:val="28"/>
          <w14:textFill>
            <w14:solidFill>
              <w14:schemeClr w14:val="tx1"/>
            </w14:solidFill>
          </w14:textFill>
        </w:rPr>
        <w:t>依托县专业扑火队、森林扑火救援队、半专业扑火队，强化队伍组建。建立乡村护林员队伍，加大巡逻、巡查力度，不间断开展森林防火宣传、巡逻、巡查。发展“智慧林业”，推行科技防火，进一步加大森林防火视频监控摄像头安装力度，推进以“数字林业”“智慧林业”为重点的林火监测与指挥平台以及12119森林火灾报警电话建设。以乡镇</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组建护林员微信工作群，加强林区防火通道建设。</w:t>
      </w:r>
    </w:p>
    <w:p w14:paraId="65B4611E">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加大防火宣传力度。</w:t>
      </w:r>
      <w:r>
        <w:rPr>
          <w:rFonts w:hint="eastAsia" w:cs="仿宋_GB2312"/>
          <w:color w:val="000000" w:themeColor="text1"/>
          <w:szCs w:val="28"/>
          <w14:textFill>
            <w14:solidFill>
              <w14:schemeClr w14:val="tx1"/>
            </w14:solidFill>
          </w14:textFill>
        </w:rPr>
        <w:t>坚持森林防火“大宣传、大培训、大排查、</w:t>
      </w:r>
      <w:r>
        <w:rPr>
          <w:rFonts w:hint="eastAsia" w:cs="仿宋_GB2312"/>
          <w:color w:val="000000" w:themeColor="text1"/>
          <w:spacing w:val="-6"/>
          <w:szCs w:val="28"/>
          <w14:textFill>
            <w14:solidFill>
              <w14:schemeClr w14:val="tx1"/>
            </w14:solidFill>
          </w14:textFill>
        </w:rPr>
        <w:t>严打击”的工作方针，着力提高县乡村干部和广大人民群众森林防火意识，在思想上筑牢森林防火屏障。特别是在春节、清明节等重点时期，各地护林防火责任人在责任区坚守岗位，巡查到责任区的所有山头、地块，严防进山人员带火种上山。严厉打击各种涉火违法犯罪行为。</w:t>
      </w:r>
    </w:p>
    <w:p w14:paraId="1D2C153E">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90" w:name="_Toc88315863"/>
      <w:r>
        <w:rPr>
          <w:rFonts w:hint="eastAsia" w:ascii="黑体" w:hAnsi="黑体" w:eastAsia="黑体" w:cs="黑体"/>
          <w:b w:val="0"/>
          <w:bCs w:val="0"/>
          <w:color w:val="000000" w:themeColor="text1"/>
          <w14:textFill>
            <w14:solidFill>
              <w14:schemeClr w14:val="tx1"/>
            </w14:solidFill>
          </w14:textFill>
        </w:rPr>
        <w:t>第三节  加强应急管理基础基层建设</w:t>
      </w:r>
      <w:bookmarkEnd w:id="190"/>
    </w:p>
    <w:p w14:paraId="5F37DEA1">
      <w:pPr>
        <w:pStyle w:val="57"/>
        <w:keepNext w:val="0"/>
        <w:keepLines w:val="0"/>
        <w:pageBreakBefore w:val="0"/>
        <w:widowControl w:val="0"/>
        <w:kinsoku/>
        <w:wordWrap w:val="0"/>
        <w:overflowPunct/>
        <w:topLinePunct/>
        <w:autoSpaceDE/>
        <w:autoSpaceDN/>
        <w:bidi w:val="0"/>
        <w:adjustRightInd/>
        <w:snapToGrid/>
        <w:spacing w:line="61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强化应急管理教育培训。</w:t>
      </w:r>
      <w:r>
        <w:rPr>
          <w:rFonts w:hint="eastAsia" w:cs="仿宋_GB2312"/>
          <w:color w:val="000000" w:themeColor="text1"/>
          <w:szCs w:val="28"/>
          <w14:textFill>
            <w14:solidFill>
              <w14:schemeClr w14:val="tx1"/>
            </w14:solidFill>
          </w14:textFill>
        </w:rPr>
        <w:t>开展“大学习、大调研、大比武”活动，举办应急管理大讲堂，积极开展对外交流与合作，全面提升应急管理干部队伍政治业务素质。加强应急管理文化建设，组织开展各种群众性主题宣传教育活动，推动应急管理进教材、进学校、进企事业单位、进社区、进农村、进家庭、进公共场所。加强企业安全生产培训考核体系建设，规范生产经营单位主要负责人、安全生产管理人员和特种作业人员培训考核。</w:t>
      </w:r>
    </w:p>
    <w:p w14:paraId="0EEB9943">
      <w:pPr>
        <w:pStyle w:val="57"/>
        <w:keepNext w:val="0"/>
        <w:keepLines w:val="0"/>
        <w:pageBreakBefore w:val="0"/>
        <w:widowControl w:val="0"/>
        <w:kinsoku/>
        <w:wordWrap w:val="0"/>
        <w:overflowPunct/>
        <w:topLinePunct/>
        <w:autoSpaceDE/>
        <w:autoSpaceDN/>
        <w:bidi w:val="0"/>
        <w:adjustRightInd/>
        <w:snapToGrid/>
        <w:spacing w:line="63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提升应急管理信息化水平。</w:t>
      </w:r>
      <w:r>
        <w:rPr>
          <w:rFonts w:hint="eastAsia" w:cs="仿宋_GB2312"/>
          <w:color w:val="000000" w:themeColor="text1"/>
          <w:szCs w:val="28"/>
          <w14:textFill>
            <w14:solidFill>
              <w14:schemeClr w14:val="tx1"/>
            </w14:solidFill>
          </w14:textFill>
        </w:rPr>
        <w:t>强化大数据、人工智能、移动互联网等先进技术与应急管理业务的深度融合，推进应急管理信息化跨越式发展。</w:t>
      </w:r>
    </w:p>
    <w:p w14:paraId="74936090">
      <w:pPr>
        <w:pStyle w:val="57"/>
        <w:keepNext w:val="0"/>
        <w:keepLines w:val="0"/>
        <w:pageBreakBefore w:val="0"/>
        <w:widowControl w:val="0"/>
        <w:kinsoku/>
        <w:wordWrap w:val="0"/>
        <w:overflowPunct/>
        <w:topLinePunct/>
        <w:autoSpaceDE/>
        <w:autoSpaceDN/>
        <w:bidi w:val="0"/>
        <w:adjustRightInd/>
        <w:snapToGrid/>
        <w:spacing w:line="63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szCs w:val="28"/>
        </w:rPr>
        <w:t>加强应急管理标准化建设。</w:t>
      </w:r>
      <w:r>
        <w:rPr>
          <w:rFonts w:hint="eastAsia" w:cs="仿宋_GB2312"/>
          <w:color w:val="000000" w:themeColor="text1"/>
          <w:szCs w:val="28"/>
          <w14:textFill>
            <w14:solidFill>
              <w14:schemeClr w14:val="tx1"/>
            </w14:solidFill>
          </w14:textFill>
        </w:rPr>
        <w:t>开展以有班子、有机制、有预案、有队伍、有物资、有培训演练为主要内容的乡镇、园区应急管理能力“六有”标准化建设，开展以有场地设施、有装备物资、有工作制度为主要内容的行政村</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社区</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应急服务站“三有”标准化建设。加强基层灾害信息员队伍建设，提高灾害灾情报告的时效性、准确性。深入开展“综合减灾示范社区”创建活动。</w:t>
      </w:r>
    </w:p>
    <w:p w14:paraId="0C178355">
      <w:pPr>
        <w:pStyle w:val="57"/>
        <w:keepNext w:val="0"/>
        <w:keepLines w:val="0"/>
        <w:pageBreakBefore w:val="0"/>
        <w:widowControl w:val="0"/>
        <w:kinsoku/>
        <w:wordWrap w:val="0"/>
        <w:overflowPunct/>
        <w:topLinePunct/>
        <w:autoSpaceDE/>
        <w:autoSpaceDN/>
        <w:bidi w:val="0"/>
        <w:adjustRightInd/>
        <w:snapToGrid/>
        <w:spacing w:line="630" w:lineRule="exact"/>
        <w:ind w:firstLine="643"/>
        <w:textAlignment w:val="auto"/>
        <w:rPr>
          <w:rFonts w:cs="仿宋_GB2312"/>
          <w:szCs w:val="28"/>
        </w:rPr>
      </w:pPr>
      <w:r>
        <w:rPr>
          <w:rFonts w:hint="eastAsia" w:ascii="楷体_GB2312" w:hAnsi="楷体_GB2312" w:eastAsia="楷体_GB2312" w:cs="楷体_GB2312"/>
          <w:b/>
          <w:bCs/>
          <w:szCs w:val="28"/>
        </w:rPr>
        <w:t>加强安全生产监管执法。</w:t>
      </w:r>
      <w:r>
        <w:rPr>
          <w:rFonts w:hint="eastAsia" w:cs="仿宋_GB2312"/>
          <w:szCs w:val="28"/>
        </w:rPr>
        <w:t>通过公开招聘等方式大力选拔安全生产监督管理和行政执法专业人才；加强安全生产监管执法基础设施建设，在监管执法、规范执法、科技手段、物资保障方面加大财政投入，进一步提升安全生产监管和行政执法水平，确保全县安全生产持续稳定向好。</w:t>
      </w:r>
    </w:p>
    <w:p w14:paraId="6FD07866">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420" w:hanging="42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91" w:name="_Toc88315864"/>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推动军民融合发展</w:t>
      </w:r>
      <w:bookmarkEnd w:id="191"/>
    </w:p>
    <w:p w14:paraId="74755A6F">
      <w:pPr>
        <w:pStyle w:val="57"/>
        <w:keepNext w:val="0"/>
        <w:keepLines w:val="0"/>
        <w:pageBreakBefore w:val="0"/>
        <w:widowControl w:val="0"/>
        <w:kinsoku/>
        <w:wordWrap w:val="0"/>
        <w:overflowPunct/>
        <w:topLinePunct/>
        <w:autoSpaceDE/>
        <w:autoSpaceDN/>
        <w:bidi w:val="0"/>
        <w:adjustRightInd/>
        <w:snapToGrid/>
        <w:spacing w:line="60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深入贯彻习近平强军思想，深化军民融合发展，将国防动员和后备力量建设融入经济社会发展体系，不断提高我县党管武装工作水平。</w:t>
      </w:r>
    </w:p>
    <w:p w14:paraId="26F47F5F">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92" w:name="_Toc88315865"/>
      <w:r>
        <w:rPr>
          <w:rFonts w:hint="eastAsia" w:ascii="黑体" w:hAnsi="黑体" w:eastAsia="黑体" w:cs="黑体"/>
          <w:b w:val="0"/>
          <w:bCs w:val="0"/>
          <w:color w:val="000000" w:themeColor="text1"/>
          <w14:textFill>
            <w14:solidFill>
              <w14:schemeClr w14:val="tx1"/>
            </w14:solidFill>
          </w14:textFill>
        </w:rPr>
        <w:t>第一节  强化我县党管武装工作水平</w:t>
      </w:r>
      <w:bookmarkEnd w:id="192"/>
    </w:p>
    <w:p w14:paraId="6082F21F">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传承红色基因，秉承党管武装优良传统，认真贯彻落实《关于加强和改进新形势下民兵预备役政治工作的意见》、《民兵政治工作规定》《预备役部队政治工作规定》，不断健全我县党管武装的基本制度；突出抓好整治建设，教育引导民兵、预备役人员增强“四个意</w:t>
      </w:r>
      <w:r>
        <w:rPr>
          <w:rFonts w:hint="eastAsia" w:cs="仿宋_GB2312"/>
          <w:color w:val="000000" w:themeColor="text1"/>
          <w:szCs w:val="28"/>
          <w:lang w:eastAsia="zh-CN"/>
          <w14:textFill>
            <w14:solidFill>
              <w14:schemeClr w14:val="tx1"/>
            </w14:solidFill>
          </w14:textFill>
        </w:rPr>
        <w:t>识</w:t>
      </w:r>
      <w:r>
        <w:rPr>
          <w:rFonts w:hint="eastAsia" w:cs="仿宋_GB2312"/>
          <w:color w:val="000000" w:themeColor="text1"/>
          <w:szCs w:val="28"/>
          <w14:textFill>
            <w14:solidFill>
              <w14:schemeClr w14:val="tx1"/>
            </w14:solidFill>
          </w14:textFill>
        </w:rPr>
        <w:t>”，做到“两个维护”；深入开展人民战争思想和民兵光荣传统、职能使命和形势战备、战斗精神、履行国防义务等教育，不断增强建设祖国、保卫祖国的光荣感使命感责任感；加强组织队伍建设，积极研究加强基干民兵预建党组织建设的措施办法，切实把组织队伍搞坚强；坚持把战斗力标准作为党管武装工作的根本指向，充分发挥民兵、预备役人员在抢险救灾、维稳等任务中的生力军和突击队作用。</w:t>
      </w:r>
    </w:p>
    <w:p w14:paraId="3F344053">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93" w:name="_Toc88315866"/>
      <w:r>
        <w:rPr>
          <w:rFonts w:hint="eastAsia" w:ascii="黑体" w:hAnsi="黑体" w:eastAsia="黑体" w:cs="黑体"/>
          <w:b w:val="0"/>
          <w:bCs w:val="0"/>
          <w:color w:val="000000" w:themeColor="text1"/>
          <w14:textFill>
            <w14:solidFill>
              <w14:schemeClr w14:val="tx1"/>
            </w14:solidFill>
          </w14:textFill>
        </w:rPr>
        <w:t>第二节  加强国防动员和后备力量建设</w:t>
      </w:r>
      <w:bookmarkEnd w:id="193"/>
    </w:p>
    <w:p w14:paraId="73A598C2">
      <w:pPr>
        <w:keepNext w:val="0"/>
        <w:keepLines w:val="0"/>
        <w:pageBreakBefore w:val="0"/>
        <w:widowControl w:val="0"/>
        <w:kinsoku/>
        <w:wordWrap w:val="0"/>
        <w:overflowPunct/>
        <w:topLinePunct/>
        <w:autoSpaceDE/>
        <w:autoSpaceDN/>
        <w:bidi w:val="0"/>
        <w:adjustRightInd/>
        <w:snapToGrid/>
        <w:spacing w:line="610" w:lineRule="exact"/>
        <w:ind w:firstLine="643" w:firstLineChars="200"/>
        <w:textAlignment w:val="auto"/>
        <w:rPr>
          <w:rFonts w:ascii="Times New Roman" w:hAnsi="Times New Roman" w:cs="仿宋_GB2312"/>
          <w:color w:val="000000" w:themeColor="text1"/>
          <w:szCs w:val="32"/>
          <w14:textFill>
            <w14:solidFill>
              <w14:schemeClr w14:val="tx1"/>
            </w14:solidFill>
          </w14:textFill>
        </w:rPr>
      </w:pPr>
      <w:r>
        <w:rPr>
          <w:rFonts w:hint="eastAsia" w:ascii="楷体_GB2312" w:hAnsi="楷体_GB2312" w:eastAsia="楷体_GB2312" w:cs="楷体_GB2312"/>
          <w:b/>
          <w:bCs/>
          <w:color w:val="000000"/>
          <w:szCs w:val="32"/>
        </w:rPr>
        <w:t>完善“军民融式”国防动员体制机制。</w:t>
      </w:r>
      <w:r>
        <w:rPr>
          <w:rFonts w:hint="eastAsia" w:ascii="Times New Roman" w:hAnsi="Times New Roman" w:cs="仿宋_GB2312"/>
          <w:color w:val="000000" w:themeColor="text1"/>
          <w:szCs w:val="32"/>
          <w14:textFill>
            <w14:solidFill>
              <w14:schemeClr w14:val="tx1"/>
            </w14:solidFill>
          </w14:textFill>
        </w:rPr>
        <w:t>强化县、乡</w:t>
      </w:r>
      <w:r>
        <w:rPr>
          <w:rFonts w:hint="eastAsia" w:ascii="Times New Roman" w:hAnsi="Times New Roman" w:cs="仿宋_GB2312"/>
          <w:color w:val="000000" w:themeColor="text1"/>
          <w:szCs w:val="32"/>
          <w:lang w:eastAsia="zh-CN"/>
          <w14:textFill>
            <w14:solidFill>
              <w14:schemeClr w14:val="tx1"/>
            </w14:solidFill>
          </w14:textFill>
        </w:rPr>
        <w:t>（</w:t>
      </w:r>
      <w:r>
        <w:rPr>
          <w:rFonts w:hint="eastAsia" w:ascii="Times New Roman" w:hAnsi="Times New Roman" w:cs="仿宋_GB2312"/>
          <w:color w:val="000000" w:themeColor="text1"/>
          <w:szCs w:val="32"/>
          <w14:textFill>
            <w14:solidFill>
              <w14:schemeClr w14:val="tx1"/>
            </w14:solidFill>
          </w14:textFill>
        </w:rPr>
        <w:t>镇</w:t>
      </w:r>
      <w:r>
        <w:rPr>
          <w:rFonts w:hint="eastAsia" w:ascii="Times New Roman" w:hAnsi="Times New Roman" w:cs="仿宋_GB2312"/>
          <w:color w:val="000000" w:themeColor="text1"/>
          <w:szCs w:val="32"/>
          <w:lang w:eastAsia="zh-CN"/>
          <w14:textFill>
            <w14:solidFill>
              <w14:schemeClr w14:val="tx1"/>
            </w14:solidFill>
          </w14:textFill>
        </w:rPr>
        <w:t>）</w:t>
      </w:r>
      <w:r>
        <w:rPr>
          <w:rFonts w:hint="eastAsia" w:ascii="Times New Roman" w:hAnsi="Times New Roman" w:cs="仿宋_GB2312"/>
          <w:color w:val="000000" w:themeColor="text1"/>
          <w:szCs w:val="32"/>
          <w14:textFill>
            <w14:solidFill>
              <w14:schemeClr w14:val="tx1"/>
            </w14:solidFill>
          </w14:textFill>
        </w:rPr>
        <w:t>政府部门动员职责，将政府由经济建设的领导者转变为实现国防建设与经济建设互动发展的组织者，由国防建设的参与者转变为进行国防和军队现代化建设的推动者，使政府系统成为动员工作的主体；通过召开会议和综合演练等方式，促使政府部门、经济部门和军事部门实现联系常态化、磋商及时化、协作广泛化；利用军民融合国家战略实施时机，同步落实国防动员工作，以增加动员途径和工作机会，形成国防动员机制动态化；完善“动员主管部门组织—军民融合区域合作—动员对象、动员计划对接—联合动员实施”流程，定期组织国防动员综合演练，不断提高军民融合动员水平。</w:t>
      </w:r>
    </w:p>
    <w:p w14:paraId="22A2336F">
      <w:pPr>
        <w:keepNext w:val="0"/>
        <w:keepLines w:val="0"/>
        <w:pageBreakBefore w:val="0"/>
        <w:widowControl w:val="0"/>
        <w:kinsoku/>
        <w:wordWrap w:val="0"/>
        <w:overflowPunct/>
        <w:topLinePunct/>
        <w:autoSpaceDE/>
        <w:autoSpaceDN/>
        <w:bidi w:val="0"/>
        <w:adjustRightInd/>
        <w:snapToGrid/>
        <w:spacing w:line="610" w:lineRule="exact"/>
        <w:ind w:firstLine="643" w:firstLineChars="200"/>
        <w:textAlignment w:val="auto"/>
        <w:rPr>
          <w:rFonts w:ascii="Times New Roman" w:hAnsi="Times New Roman" w:cs="仿宋_GB2312"/>
          <w:color w:val="000000" w:themeColor="text1"/>
          <w:szCs w:val="32"/>
          <w14:textFill>
            <w14:solidFill>
              <w14:schemeClr w14:val="tx1"/>
            </w14:solidFill>
          </w14:textFill>
        </w:rPr>
      </w:pPr>
      <w:r>
        <w:rPr>
          <w:rFonts w:hint="eastAsia" w:ascii="楷体_GB2312" w:hAnsi="楷体_GB2312" w:eastAsia="楷体_GB2312" w:cs="楷体_GB2312"/>
          <w:b/>
          <w:bCs/>
          <w:color w:val="000000"/>
          <w:szCs w:val="32"/>
        </w:rPr>
        <w:t>加强综合保障水平。</w:t>
      </w:r>
      <w:r>
        <w:rPr>
          <w:rFonts w:hint="eastAsia" w:ascii="Times New Roman" w:hAnsi="Times New Roman" w:cs="仿宋_GB2312"/>
          <w:color w:val="000000" w:themeColor="text1"/>
          <w:szCs w:val="32"/>
          <w14:textFill>
            <w14:solidFill>
              <w14:schemeClr w14:val="tx1"/>
            </w14:solidFill>
          </w14:textFill>
        </w:rPr>
        <w:t>协调将基础设施建设的军事需求纳入发展规划，跟踪督导落实到位；建立基础设施建设会商机制，定期组织军地有关部门对地方新增重大基础项目或因部队作战、训练产生的新型军事需求进行协商，推动基础设施建设平战结合、军地共用。积极发挥平台作用，协调配合驻军认真搞好应急应战装备物资需求论证，按照急需先储、调用方便的原则，抓好军民通用装备物资器材实案化预储预征工作；根据战时需求与生产能力，确定军民通用物资生产、储备定点单位，明确日常储备规模和战时扩容能力。探索军队后勤保障服务向社会购买服务转变，融入地方服务保障体系，提升后勤保障效率和水平。</w:t>
      </w:r>
    </w:p>
    <w:p w14:paraId="374E8B0D">
      <w:pPr>
        <w:keepNext w:val="0"/>
        <w:keepLines w:val="0"/>
        <w:pageBreakBefore w:val="0"/>
        <w:widowControl w:val="0"/>
        <w:kinsoku/>
        <w:wordWrap w:val="0"/>
        <w:overflowPunct/>
        <w:topLinePunct/>
        <w:autoSpaceDE/>
        <w:autoSpaceDN/>
        <w:bidi w:val="0"/>
        <w:adjustRightInd/>
        <w:snapToGrid/>
        <w:spacing w:line="610" w:lineRule="exact"/>
        <w:ind w:firstLine="643" w:firstLineChars="200"/>
        <w:textAlignment w:val="auto"/>
        <w:rPr>
          <w:rFonts w:ascii="Times New Roman" w:hAnsi="Times New Roman" w:cs="仿宋_GB2312"/>
          <w:color w:val="000000" w:themeColor="text1"/>
          <w:szCs w:val="32"/>
          <w14:textFill>
            <w14:solidFill>
              <w14:schemeClr w14:val="tx1"/>
            </w14:solidFill>
          </w14:textFill>
        </w:rPr>
      </w:pPr>
      <w:r>
        <w:rPr>
          <w:rFonts w:hint="eastAsia" w:ascii="楷体_GB2312" w:hAnsi="楷体_GB2312" w:eastAsia="楷体_GB2312" w:cs="楷体_GB2312"/>
          <w:b/>
          <w:bCs/>
          <w:color w:val="000000"/>
          <w:szCs w:val="32"/>
        </w:rPr>
        <w:t>推进人才建设融合。</w:t>
      </w:r>
      <w:r>
        <w:rPr>
          <w:rFonts w:hint="eastAsia" w:ascii="Times New Roman" w:hAnsi="Times New Roman" w:cs="仿宋_GB2312"/>
          <w:color w:val="000000" w:themeColor="text1"/>
          <w:szCs w:val="32"/>
          <w14:textFill>
            <w14:solidFill>
              <w14:schemeClr w14:val="tx1"/>
            </w14:solidFill>
          </w14:textFill>
        </w:rPr>
        <w:t>结合年度民兵整组工作，深挖人才资源，把热爱国防事业、专业技术过硬、综合素质较高的军民两用人才，特别是科技型专家技术人才吸纳到民兵组织，抓好高素质兵员储备工作；探索推动人才储备中心建设，建立人才储备中心，根据战时技术保障需求，编制专家信息库，及时吸纳各专业领域尖端人才，提高人才技术保障能力；不断完善军地之间人才信息共享渠道，采取人员双向兼职、项目联合攻关等多种形式，促进军地人才的协作交流；借助地方人才培训机构，采取委托培养、联合培养、对口培养和岗位培养等办法，拓宽人才培养军民融合道路。</w:t>
      </w:r>
    </w:p>
    <w:p w14:paraId="0162C9BC">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94" w:name="_Toc88315867"/>
      <w:r>
        <w:rPr>
          <w:rFonts w:hint="eastAsia" w:ascii="黑体" w:hAnsi="黑体" w:eastAsia="黑体" w:cs="黑体"/>
          <w:b w:val="0"/>
          <w:bCs w:val="0"/>
          <w:color w:val="000000" w:themeColor="text1"/>
          <w14:textFill>
            <w14:solidFill>
              <w14:schemeClr w14:val="tx1"/>
            </w14:solidFill>
          </w14:textFill>
        </w:rPr>
        <w:t>第三节  强化民兵队伍常态化运用</w:t>
      </w:r>
      <w:bookmarkEnd w:id="194"/>
    </w:p>
    <w:p w14:paraId="1778673A">
      <w:pPr>
        <w:keepNext w:val="0"/>
        <w:keepLines w:val="0"/>
        <w:pageBreakBefore w:val="0"/>
        <w:widowControl w:val="0"/>
        <w:kinsoku/>
        <w:wordWrap w:val="0"/>
        <w:overflowPunct/>
        <w:topLinePunct/>
        <w:autoSpaceDE/>
        <w:autoSpaceDN/>
        <w:bidi w:val="0"/>
        <w:adjustRightInd/>
        <w:snapToGrid/>
        <w:spacing w:line="610" w:lineRule="exact"/>
        <w:ind w:firstLine="643" w:firstLineChars="200"/>
        <w:textAlignment w:val="auto"/>
        <w:rPr>
          <w:rFonts w:ascii="Times New Roman" w:hAnsi="Times New Roman" w:cs="仿宋_GB2312"/>
          <w:color w:val="000000" w:themeColor="text1"/>
          <w:szCs w:val="32"/>
          <w14:textFill>
            <w14:solidFill>
              <w14:schemeClr w14:val="tx1"/>
            </w14:solidFill>
          </w14:textFill>
        </w:rPr>
      </w:pPr>
      <w:r>
        <w:rPr>
          <w:rFonts w:hint="eastAsia" w:ascii="楷体_GB2312" w:hAnsi="楷体_GB2312" w:eastAsia="楷体_GB2312" w:cs="楷体_GB2312"/>
          <w:b/>
          <w:bCs/>
          <w:color w:val="000000"/>
          <w:szCs w:val="32"/>
        </w:rPr>
        <w:t>建立协调对接机制。</w:t>
      </w:r>
      <w:r>
        <w:rPr>
          <w:rFonts w:hint="eastAsia" w:ascii="Times New Roman" w:hAnsi="Times New Roman" w:cs="仿宋_GB2312"/>
          <w:color w:val="000000" w:themeColor="text1"/>
          <w:szCs w:val="32"/>
          <w14:textFill>
            <w14:solidFill>
              <w14:schemeClr w14:val="tx1"/>
            </w14:solidFill>
          </w14:textFill>
        </w:rPr>
        <w:t>着眼满足多样化军事任务需要，推动国防动员机制与政府应急机制有效衔接；以地方党委、政府和军事机关为基础，依托国防动员机构，组建党政军合成、分工协作的联合指挥部；利用地方政务网和国防动员信息网，探索建立军地兼容、信息互通的合成指挥控制平台；统筹地方应急管理力量，以人武、专武干部为核心，以公安、农业、林业、水利、防疫等部门为业务指导，以退伍军人、党</w:t>
      </w:r>
      <w:r>
        <w:rPr>
          <w:rFonts w:hint="eastAsia" w:ascii="Times New Roman" w:hAnsi="Times New Roman" w:cs="仿宋_GB2312"/>
          <w:color w:val="000000" w:themeColor="text1"/>
          <w:szCs w:val="32"/>
          <w:lang w:eastAsia="zh-CN"/>
          <w14:textFill>
            <w14:solidFill>
              <w14:schemeClr w14:val="tx1"/>
            </w14:solidFill>
          </w14:textFill>
        </w:rPr>
        <w:t>（</w:t>
      </w:r>
      <w:r>
        <w:rPr>
          <w:rFonts w:hint="eastAsia" w:ascii="Times New Roman" w:hAnsi="Times New Roman" w:cs="仿宋_GB2312"/>
          <w:color w:val="000000" w:themeColor="text1"/>
          <w:szCs w:val="32"/>
          <w14:textFill>
            <w14:solidFill>
              <w14:schemeClr w14:val="tx1"/>
            </w14:solidFill>
          </w14:textFill>
        </w:rPr>
        <w:t>团</w:t>
      </w:r>
      <w:r>
        <w:rPr>
          <w:rFonts w:hint="eastAsia" w:ascii="Times New Roman" w:hAnsi="Times New Roman" w:cs="仿宋_GB2312"/>
          <w:color w:val="000000" w:themeColor="text1"/>
          <w:szCs w:val="32"/>
          <w:lang w:eastAsia="zh-CN"/>
          <w14:textFill>
            <w14:solidFill>
              <w14:schemeClr w14:val="tx1"/>
            </w14:solidFill>
          </w14:textFill>
        </w:rPr>
        <w:t>）</w:t>
      </w:r>
      <w:r>
        <w:rPr>
          <w:rFonts w:hint="eastAsia" w:ascii="Times New Roman" w:hAnsi="Times New Roman" w:cs="仿宋_GB2312"/>
          <w:color w:val="000000" w:themeColor="text1"/>
          <w:szCs w:val="32"/>
          <w14:textFill>
            <w14:solidFill>
              <w14:schemeClr w14:val="tx1"/>
            </w14:solidFill>
          </w14:textFill>
        </w:rPr>
        <w:t>员为骨干，探索整合现有各应急执法队伍资源，建立民兵应急管理相关分队。</w:t>
      </w:r>
    </w:p>
    <w:p w14:paraId="0913912B">
      <w:pPr>
        <w:keepNext w:val="0"/>
        <w:keepLines w:val="0"/>
        <w:pageBreakBefore w:val="0"/>
        <w:widowControl w:val="0"/>
        <w:kinsoku/>
        <w:wordWrap w:val="0"/>
        <w:overflowPunct/>
        <w:topLinePunct/>
        <w:autoSpaceDE/>
        <w:autoSpaceDN/>
        <w:bidi w:val="0"/>
        <w:adjustRightInd/>
        <w:snapToGrid/>
        <w:spacing w:line="610" w:lineRule="exact"/>
        <w:ind w:firstLine="643" w:firstLineChars="200"/>
        <w:textAlignment w:val="auto"/>
        <w:rPr>
          <w:rFonts w:ascii="Times New Roman" w:hAnsi="Times New Roman" w:cs="仿宋_GB2312"/>
          <w:color w:val="000000" w:themeColor="text1"/>
          <w:szCs w:val="32"/>
          <w14:textFill>
            <w14:solidFill>
              <w14:schemeClr w14:val="tx1"/>
            </w14:solidFill>
          </w14:textFill>
        </w:rPr>
      </w:pPr>
      <w:r>
        <w:rPr>
          <w:rFonts w:hint="eastAsia" w:ascii="楷体_GB2312" w:hAnsi="楷体_GB2312" w:eastAsia="楷体_GB2312" w:cs="楷体_GB2312"/>
          <w:b/>
          <w:bCs/>
          <w:color w:val="000000"/>
          <w:szCs w:val="32"/>
        </w:rPr>
        <w:t>规范民兵管理机制。</w:t>
      </w:r>
      <w:r>
        <w:rPr>
          <w:rFonts w:hint="eastAsia" w:ascii="Times New Roman" w:hAnsi="Times New Roman" w:cs="仿宋_GB2312"/>
          <w:color w:val="000000" w:themeColor="text1"/>
          <w:szCs w:val="32"/>
          <w14:textFill>
            <w14:solidFill>
              <w14:schemeClr w14:val="tx1"/>
            </w14:solidFill>
          </w14:textFill>
        </w:rPr>
        <w:t>以相对集中、标准统一、程序规范的要求，通过实践，逐步形成一整套比较系统的管理办法与细则，规范“从组建</w:t>
      </w:r>
      <w:r>
        <w:rPr>
          <w:rFonts w:hint="eastAsia" w:ascii="Times New Roman" w:hAnsi="Times New Roman" w:cs="仿宋_GB2312"/>
          <w:color w:val="000000" w:themeColor="text1"/>
          <w:szCs w:val="32"/>
          <w:lang w:eastAsia="zh-CN"/>
          <w14:textFill>
            <w14:solidFill>
              <w14:schemeClr w14:val="tx1"/>
            </w14:solidFill>
          </w14:textFill>
        </w:rPr>
        <w:t>—</w:t>
      </w:r>
      <w:r>
        <w:rPr>
          <w:rFonts w:hint="eastAsia" w:ascii="Times New Roman" w:hAnsi="Times New Roman" w:cs="仿宋_GB2312"/>
          <w:color w:val="000000" w:themeColor="text1"/>
          <w:szCs w:val="32"/>
          <w14:textFill>
            <w14:solidFill>
              <w14:schemeClr w14:val="tx1"/>
            </w14:solidFill>
          </w14:textFill>
        </w:rPr>
        <w:t>训练</w:t>
      </w:r>
      <w:r>
        <w:rPr>
          <w:rFonts w:hint="eastAsia" w:ascii="Times New Roman" w:hAnsi="Times New Roman" w:cs="仿宋_GB2312"/>
          <w:color w:val="000000" w:themeColor="text1"/>
          <w:szCs w:val="32"/>
          <w:lang w:eastAsia="zh-CN"/>
          <w14:textFill>
            <w14:solidFill>
              <w14:schemeClr w14:val="tx1"/>
            </w14:solidFill>
          </w14:textFill>
        </w:rPr>
        <w:t>—</w:t>
      </w:r>
      <w:r>
        <w:rPr>
          <w:rFonts w:hint="eastAsia" w:ascii="Times New Roman" w:hAnsi="Times New Roman" w:cs="仿宋_GB2312"/>
          <w:color w:val="000000" w:themeColor="text1"/>
          <w:szCs w:val="32"/>
          <w14:textFill>
            <w14:solidFill>
              <w14:schemeClr w14:val="tx1"/>
            </w14:solidFill>
          </w14:textFill>
        </w:rPr>
        <w:t>日常管理</w:t>
      </w:r>
      <w:r>
        <w:rPr>
          <w:rFonts w:hint="eastAsia" w:ascii="Times New Roman" w:hAnsi="Times New Roman" w:cs="仿宋_GB2312"/>
          <w:color w:val="000000" w:themeColor="text1"/>
          <w:szCs w:val="32"/>
          <w:lang w:eastAsia="zh-CN"/>
          <w14:textFill>
            <w14:solidFill>
              <w14:schemeClr w14:val="tx1"/>
            </w14:solidFill>
          </w14:textFill>
        </w:rPr>
        <w:t>—</w:t>
      </w:r>
      <w:r>
        <w:rPr>
          <w:rFonts w:hint="eastAsia" w:ascii="Times New Roman" w:hAnsi="Times New Roman" w:cs="仿宋_GB2312"/>
          <w:color w:val="000000" w:themeColor="text1"/>
          <w:szCs w:val="32"/>
          <w14:textFill>
            <w14:solidFill>
              <w14:schemeClr w14:val="tx1"/>
            </w14:solidFill>
          </w14:textFill>
        </w:rPr>
        <w:t>执行任务”程序；做到把民兵“建设”纳入党委、政府工作总体规划，把“经费”纳入本级财政预算，把“管理”纳入本级党务、行政工作内容，把“训练”纳入民兵军事训练范畴，把“装备”纳入民兵装备器材列装计划，把“使用”纳入指挥部统一指挥等“六个纳入”。加强动态管理，日常管理由乡镇、县直单位武装部负责；训练期间管理由县人武部负责；执行平时任务期间管理由县人武部、县综治办负责；在执行抗洪抢险、扑火救灾、防疫抢险任务时，由县人武部与有关部门负责。</w:t>
      </w:r>
    </w:p>
    <w:p w14:paraId="6ADBA820">
      <w:pPr>
        <w:keepNext w:val="0"/>
        <w:keepLines w:val="0"/>
        <w:pageBreakBefore w:val="0"/>
        <w:widowControl w:val="0"/>
        <w:kinsoku/>
        <w:wordWrap w:val="0"/>
        <w:overflowPunct/>
        <w:topLinePunct/>
        <w:autoSpaceDE/>
        <w:autoSpaceDN/>
        <w:bidi w:val="0"/>
        <w:spacing w:line="600" w:lineRule="exact"/>
        <w:ind w:firstLine="643" w:firstLineChars="200"/>
        <w:rPr>
          <w:rFonts w:cs="仿宋_GB2312"/>
          <w:color w:val="000000" w:themeColor="text1"/>
          <w:szCs w:val="28"/>
          <w14:textFill>
            <w14:solidFill>
              <w14:schemeClr w14:val="tx1"/>
            </w14:solidFill>
          </w14:textFill>
        </w:rPr>
        <w:sectPr>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楷体_GB2312" w:hAnsi="楷体_GB2312" w:eastAsia="楷体_GB2312" w:cs="楷体_GB2312"/>
          <w:b/>
          <w:bCs/>
          <w:color w:val="000000"/>
          <w:szCs w:val="32"/>
        </w:rPr>
        <w:t>发挥民兵队伍“突击队”作用。</w:t>
      </w:r>
      <w:r>
        <w:rPr>
          <w:rFonts w:hint="eastAsia" w:ascii="Times New Roman" w:hAnsi="Times New Roman" w:cs="仿宋_GB2312"/>
          <w:color w:val="000000" w:themeColor="text1"/>
          <w:szCs w:val="32"/>
          <w14:textFill>
            <w14:solidFill>
              <w14:schemeClr w14:val="tx1"/>
            </w14:solidFill>
          </w14:textFill>
        </w:rPr>
        <w:t>将应急队伍训练纳入年度民兵训练计划范畴，统一规划筹划，定期组织实施；按照“平时服务、急时应急、战时应战”的要求，把分队平时所担负的任务和遂行急难险重任务结合起来，组织带领分队在经济建设中发挥骨干作用，在精神文明建设中发挥示范作用，在完成急难险重任务中发挥突击作用，在维护社会稳定中发挥卫士作用；勇于承担急难险重任务，做到有灾有乱主动请战、第一时间到达第一现场、掌握第一手情况、第一个处置、第一时间救援，确保关键时刻发挥突击队作用，当好保卫群众生命财产安全的护民之盾。</w:t>
      </w:r>
    </w:p>
    <w:bookmarkEnd w:id="5"/>
    <w:p w14:paraId="629A79B1">
      <w:pPr>
        <w:pStyle w:val="3"/>
        <w:keepNext w:val="0"/>
        <w:keepLines w:val="0"/>
        <w:pageBreakBefore w:val="0"/>
        <w:widowControl w:val="0"/>
        <w:numPr>
          <w:ilvl w:val="0"/>
          <w:numId w:val="0"/>
        </w:numPr>
        <w:kinsoku/>
        <w:wordWrap w:val="0"/>
        <w:overflowPunct/>
        <w:topLinePunct/>
        <w:autoSpaceDE/>
        <w:autoSpaceDN/>
        <w:bidi w:val="0"/>
        <w:adjustRightInd/>
        <w:snapToGrid/>
        <w:spacing w:before="0" w:after="313" w:afterLines="100" w:line="600" w:lineRule="exact"/>
        <w:ind w:leftChars="0"/>
        <w:textAlignment w:val="auto"/>
        <w:rPr>
          <w:shd w:val="clear"/>
        </w:rPr>
      </w:pPr>
      <w:bookmarkStart w:id="195" w:name="_Toc88315868"/>
      <w:bookmarkStart w:id="196" w:name="_Hlk55312055"/>
      <w:r>
        <w:rPr>
          <w:rFonts w:hint="eastAsia"/>
          <w:shd w:val="clear"/>
          <w:lang w:val="en-US" w:eastAsia="zh-CN"/>
        </w:rPr>
        <w:t xml:space="preserve">第十三篇  </w:t>
      </w:r>
      <w:r>
        <w:rPr>
          <w:rFonts w:hint="eastAsia"/>
          <w:shd w:val="clear"/>
        </w:rPr>
        <w:t>持续强化规划实施保障</w:t>
      </w:r>
      <w:bookmarkEnd w:id="195"/>
    </w:p>
    <w:bookmarkEnd w:id="196"/>
    <w:p w14:paraId="1CD20C75">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十四五”规划是开启社会主义现代化新征程的第一个五年规划，是各项事业的行动纲领。规划的有效实施，必须坚持党的领导，在市委市政府、县委县政府的领导下，严格履行职责，激发各类主体的活力和创造力，合力抓落实。必须不断完善规划实施机制和保障体系，加强考核监督，激励全社会共同实现五年发展蓝图。</w:t>
      </w:r>
    </w:p>
    <w:p w14:paraId="50518B25">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firstLine="0"/>
        <w:textAlignment w:val="auto"/>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 </w:t>
      </w:r>
      <w:bookmarkStart w:id="197" w:name="_Toc88315869"/>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加强党的领导</w:t>
      </w:r>
      <w:bookmarkEnd w:id="197"/>
    </w:p>
    <w:p w14:paraId="2A2DD20A">
      <w:pPr>
        <w:pStyle w:val="57"/>
        <w:keepNext w:val="0"/>
        <w:keepLines w:val="0"/>
        <w:pageBreakBefore w:val="0"/>
        <w:widowControl w:val="0"/>
        <w:kinsoku/>
        <w:wordWrap w:val="0"/>
        <w:overflowPunct/>
        <w:topLinePunct/>
        <w:autoSpaceDE/>
        <w:autoSpaceDN/>
        <w:bidi w:val="0"/>
        <w:adjustRightInd/>
        <w:snapToGrid/>
        <w:spacing w:line="61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坚持党总揽全局、协调各方，发挥各级党委</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党组</w:t>
      </w:r>
      <w:r>
        <w:rPr>
          <w:rFonts w:hint="eastAsia" w:cs="仿宋_GB2312"/>
          <w:color w:val="000000" w:themeColor="text1"/>
          <w:szCs w:val="28"/>
          <w:lang w:eastAsia="zh-CN"/>
          <w14:textFill>
            <w14:solidFill>
              <w14:schemeClr w14:val="tx1"/>
            </w14:solidFill>
          </w14:textFill>
        </w:rPr>
        <w:t>）</w:t>
      </w:r>
      <w:r>
        <w:rPr>
          <w:rFonts w:hint="eastAsia" w:cs="仿宋_GB2312"/>
          <w:color w:val="000000" w:themeColor="text1"/>
          <w:szCs w:val="28"/>
          <w14:textFill>
            <w14:solidFill>
              <w14:schemeClr w14:val="tx1"/>
            </w14:solidFill>
          </w14:textFill>
        </w:rPr>
        <w:t>领导核心作用。提高决策科学化水平，完善县委研究经济社会发展战略、定期分析经济和区域发展形势、研究重大方针政策的工作机制，健全决策咨询机制。加强各级党组织建设，强化基层党组织整体功能，发挥战斗堡垒作用和党员先锋模范作用。优化各级领导班子知识结构、提升专业能力、提高解决实际问题能力，注重培养选拔政治强、懂专业、善治理、敢担当、作风正的领导干部，着力选拔一批想干事、能干事、干成事的年轻干部。完善政绩考核评价和奖惩机制，调动各级干部工作积极性、主动性和创造性。落实全面从严治党要求，加强党风廉政建设和反腐败工作，为经济社会发展营造良好的政治生态。加强党的理论教育和党性教育，培养造就高质素干部队伍。贯彻党的群众路线，创新群众工作方法，注重发挥工会、共青团、妇联等群团组织的作用，巩固和发展最广泛的爱国统一战线，全面落实党的知识分子、民族、宗教、侨务等政策，充分发挥民主党派、工商联和无党派人士作用，最大限度凝聚全社会共识和力量，全力配合国防和军队改革，在双拥共建中宣扬英雄模范、弘扬清风正气，凝聚起推动国防动员建设、创新</w:t>
      </w:r>
      <w:r>
        <w:rPr>
          <w:rFonts w:hint="eastAsia" w:cs="仿宋_GB2312"/>
          <w:color w:val="000000" w:themeColor="text1"/>
          <w:szCs w:val="28"/>
          <w:lang w:eastAsia="zh-CN"/>
          <w14:textFill>
            <w14:solidFill>
              <w14:schemeClr w14:val="tx1"/>
            </w14:solidFill>
          </w14:textFill>
        </w:rPr>
        <w:t>发展的</w:t>
      </w:r>
      <w:r>
        <w:rPr>
          <w:rFonts w:hint="eastAsia" w:cs="仿宋_GB2312"/>
          <w:color w:val="000000" w:themeColor="text1"/>
          <w:szCs w:val="28"/>
          <w14:textFill>
            <w14:solidFill>
              <w14:schemeClr w14:val="tx1"/>
            </w14:solidFill>
          </w14:textFill>
        </w:rPr>
        <w:t>磅礴力量，推进新时代临武建设。</w:t>
      </w:r>
    </w:p>
    <w:p w14:paraId="3FF756FD">
      <w:pPr>
        <w:pStyle w:val="4"/>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left="0" w:firstLine="0"/>
        <w:textAlignment w:val="auto"/>
        <w:rPr>
          <w:rFonts w:hint="eastAsia" w:ascii="方正大标宋简体" w:hAnsi="方正大标宋简体" w:eastAsia="方正大标宋简体" w:cs="方正大标宋简体"/>
          <w:color w:val="000000" w:themeColor="text1"/>
          <w:sz w:val="36"/>
          <w:szCs w:val="36"/>
          <w14:textFill>
            <w14:solidFill>
              <w14:schemeClr w14:val="tx1"/>
            </w14:solidFill>
          </w14:textFill>
        </w:rPr>
      </w:pPr>
      <w:r>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t xml:space="preserve"> </w:t>
      </w:r>
      <w:r>
        <w:rPr>
          <w:rFonts w:hint="eastAsia" w:ascii="方正大标宋简体" w:hAnsi="方正大标宋简体" w:eastAsia="方正大标宋简体" w:cs="方正大标宋简体"/>
          <w:color w:val="000000" w:themeColor="text1"/>
          <w:sz w:val="36"/>
          <w:szCs w:val="36"/>
          <w14:textFill>
            <w14:solidFill>
              <w14:schemeClr w14:val="tx1"/>
            </w14:solidFill>
          </w14:textFill>
        </w:rPr>
        <w:t xml:space="preserve"> </w:t>
      </w:r>
      <w:bookmarkStart w:id="198" w:name="_Toc88315870"/>
      <w:r>
        <w:rPr>
          <w:rFonts w:hint="eastAsia" w:ascii="方正大标宋简体" w:hAnsi="方正大标宋简体" w:eastAsia="方正大标宋简体" w:cs="方正大标宋简体"/>
          <w:color w:val="000000" w:themeColor="text1"/>
          <w:sz w:val="36"/>
          <w:szCs w:val="36"/>
          <w14:textFill>
            <w14:solidFill>
              <w14:schemeClr w14:val="tx1"/>
            </w14:solidFill>
          </w14:textFill>
        </w:rPr>
        <w:t>强力推动规划实施</w:t>
      </w:r>
      <w:bookmarkEnd w:id="198"/>
    </w:p>
    <w:p w14:paraId="51BE852F">
      <w:pPr>
        <w:pStyle w:val="57"/>
        <w:keepNext w:val="0"/>
        <w:keepLines w:val="0"/>
        <w:pageBreakBefore w:val="0"/>
        <w:widowControl w:val="0"/>
        <w:kinsoku/>
        <w:wordWrap w:val="0"/>
        <w:overflowPunct/>
        <w:topLinePunct/>
        <w:autoSpaceDE/>
        <w:autoSpaceDN/>
        <w:bidi w:val="0"/>
        <w:spacing w:line="600" w:lineRule="exact"/>
        <w:ind w:firstLine="640"/>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明确政府主体责任，科学制定政策、配置公共资源，广泛动员社会力量，共同推动规划顺利实施。</w:t>
      </w:r>
    </w:p>
    <w:p w14:paraId="5CF64C7D">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199" w:name="_Toc88315871"/>
      <w:r>
        <w:rPr>
          <w:rFonts w:hint="eastAsia" w:ascii="黑体" w:hAnsi="黑体" w:eastAsia="黑体" w:cs="黑体"/>
          <w:b w:val="0"/>
          <w:bCs w:val="0"/>
          <w:color w:val="000000" w:themeColor="text1"/>
          <w14:textFill>
            <w14:solidFill>
              <w14:schemeClr w14:val="tx1"/>
            </w14:solidFill>
          </w14:textFill>
        </w:rPr>
        <w:t>第一节  强化规划实施保障机制</w:t>
      </w:r>
      <w:bookmarkEnd w:id="199"/>
    </w:p>
    <w:p w14:paraId="41385B9D">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加强规划协调管理</w:t>
      </w:r>
      <w:r>
        <w:rPr>
          <w:rFonts w:hint="eastAsia" w:ascii="楷体_GB2312" w:hAnsi="楷体_GB2312" w:eastAsia="楷体_GB2312" w:cs="楷体_GB2312"/>
          <w:color w:val="000000" w:themeColor="text1"/>
          <w:szCs w:val="28"/>
          <w14:textFill>
            <w14:solidFill>
              <w14:schemeClr w14:val="tx1"/>
            </w14:solidFill>
          </w14:textFill>
        </w:rPr>
        <w:t>。</w:t>
      </w:r>
      <w:r>
        <w:rPr>
          <w:rFonts w:hint="eastAsia" w:cs="仿宋_GB2312"/>
          <w:color w:val="000000" w:themeColor="text1"/>
          <w:szCs w:val="28"/>
          <w14:textFill>
            <w14:solidFill>
              <w14:schemeClr w14:val="tx1"/>
            </w14:solidFill>
          </w14:textFill>
        </w:rPr>
        <w:t>加强统筹管理和衔接协调，形成以国民经济和社会发展总体规划为统领，专项规划、年度计划等为支撑的发展规划体系。加强与省、市发展规划衔接，落实好发展战略。各职能部门、乡镇要组织实施专项规划特别是重点专项规划，细化落实本规划提出的主要目标任务。</w:t>
      </w:r>
    </w:p>
    <w:p w14:paraId="2BC45BC5">
      <w:pPr>
        <w:pStyle w:val="57"/>
        <w:keepNext w:val="0"/>
        <w:keepLines w:val="0"/>
        <w:pageBreakBefore w:val="0"/>
        <w:widowControl w:val="0"/>
        <w:kinsoku/>
        <w:wordWrap w:val="0"/>
        <w:overflowPunct/>
        <w:topLinePunct/>
        <w:autoSpaceDE/>
        <w:autoSpaceDN/>
        <w:bidi w:val="0"/>
        <w:adjustRightInd/>
        <w:snapToGrid/>
        <w:spacing w:line="62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提升政府管理素质。</w:t>
      </w:r>
      <w:r>
        <w:rPr>
          <w:rFonts w:hint="eastAsia" w:cs="仿宋_GB2312"/>
          <w:color w:val="000000" w:themeColor="text1"/>
          <w:szCs w:val="28"/>
          <w14:textFill>
            <w14:solidFill>
              <w14:schemeClr w14:val="tx1"/>
            </w14:solidFill>
          </w14:textFill>
        </w:rPr>
        <w:t>创新管理理念和方式，增强执行力和公信力，着力提高治理能力和政府效能。推进决策科学化、民主化，充分发挥智库作用，加强重大决策听证和风险评估。健全执行和监督机制，明确工作责任，形成狠抓落实的工作氛围。全面推行政务公开和各领域办事公开，自觉接受群众监督和舆论监督，及时回应社会关切。</w:t>
      </w:r>
    </w:p>
    <w:p w14:paraId="016A249D">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加强干部队伍建设。</w:t>
      </w:r>
      <w:r>
        <w:rPr>
          <w:rFonts w:hint="eastAsia" w:cs="仿宋_GB2312"/>
          <w:color w:val="000000" w:themeColor="text1"/>
          <w:szCs w:val="28"/>
          <w14:textFill>
            <w14:solidFill>
              <w14:schemeClr w14:val="tx1"/>
            </w14:solidFill>
          </w14:textFill>
        </w:rPr>
        <w:t>引导广大干部适应新常态、学习新知识、增长新本领，在实践中开阔眼界、</w:t>
      </w:r>
      <w:r>
        <w:rPr>
          <w:rFonts w:hint="eastAsia" w:cs="仿宋_GB2312"/>
          <w:color w:val="000000" w:themeColor="text1"/>
          <w:szCs w:val="28"/>
          <w:lang w:eastAsia="zh-CN"/>
          <w14:textFill>
            <w14:solidFill>
              <w14:schemeClr w14:val="tx1"/>
            </w14:solidFill>
          </w14:textFill>
        </w:rPr>
        <w:t>拓宽视野</w:t>
      </w:r>
      <w:r>
        <w:rPr>
          <w:rFonts w:hint="eastAsia" w:cs="仿宋_GB2312"/>
          <w:color w:val="000000" w:themeColor="text1"/>
          <w:szCs w:val="28"/>
          <w14:textFill>
            <w14:solidFill>
              <w14:schemeClr w14:val="tx1"/>
            </w14:solidFill>
          </w14:textFill>
        </w:rPr>
        <w:t>、增长才干、不断提升履职尽责、依法办事的素质和能力。各级领导干部要加强学习，加强调研思考，加强实践历练，要用专业思维、专业素养、专业方法，研判形势、破解难题、解决矛盾、科学决策。加大干部教育培训力度，发挥好党校作用。深化人事制度改革，形成敢为、会为、善为、有为的激励约束机和良好工作氛围。</w:t>
      </w:r>
    </w:p>
    <w:p w14:paraId="64816C0E">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强化政策引导。</w:t>
      </w:r>
      <w:r>
        <w:rPr>
          <w:rFonts w:hint="eastAsia" w:cs="仿宋_GB2312"/>
          <w:color w:val="000000" w:themeColor="text1"/>
          <w:szCs w:val="28"/>
          <w14:textFill>
            <w14:solidFill>
              <w14:schemeClr w14:val="tx1"/>
            </w14:solidFill>
          </w14:textFill>
        </w:rPr>
        <w:t>针对重点领域和关键环节，研究制定和深化落实有关配套政策，制定进一步完善金融税收、投资建设、产业发展、自主创新、土地利用、环境保护、新型城镇化、社会民生、改革开放等方面的政策措施，引导市场行为与政府目标相结合，共同推进规划纲要的有效实施。加强各项政策的衔接协调，形成政策体系合力，提高实施效果。</w:t>
      </w:r>
    </w:p>
    <w:p w14:paraId="39234CB8">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强化法制保障。</w:t>
      </w:r>
      <w:r>
        <w:rPr>
          <w:rFonts w:hint="eastAsia" w:cs="仿宋_GB2312"/>
          <w:color w:val="000000" w:themeColor="text1"/>
          <w:szCs w:val="28"/>
          <w14:textFill>
            <w14:solidFill>
              <w14:schemeClr w14:val="tx1"/>
            </w14:solidFill>
          </w14:textFill>
        </w:rPr>
        <w:t>健全依法治理体系，推进多层次多领域依法治理，提高社会治理法治化水平，形成办事依法、遇事找法、解决问题用法、化解矛盾靠法的</w:t>
      </w:r>
      <w:r>
        <w:rPr>
          <w:rFonts w:hint="eastAsia" w:cs="仿宋_GB2312"/>
          <w:color w:val="000000" w:themeColor="text1"/>
          <w:szCs w:val="28"/>
          <w:lang w:eastAsia="zh-CN"/>
          <w14:textFill>
            <w14:solidFill>
              <w14:schemeClr w14:val="tx1"/>
            </w14:solidFill>
          </w14:textFill>
        </w:rPr>
        <w:t>法治环境</w:t>
      </w:r>
      <w:r>
        <w:rPr>
          <w:rFonts w:hint="eastAsia" w:cs="仿宋_GB2312"/>
          <w:color w:val="000000" w:themeColor="text1"/>
          <w:szCs w:val="28"/>
          <w14:textFill>
            <w14:solidFill>
              <w14:schemeClr w14:val="tx1"/>
            </w14:solidFill>
          </w14:textFill>
        </w:rPr>
        <w:t>。完善行政执法程序，重点规范行政许可、行政处罚、行政强制、行政征收、行政收费、行政检查等执法行为。健全公民和组织守法信用记录。严格规范公正文明执法。全面实行行政执法人员持证上岗和资格管理制度，加强执法监督。依法惩处各类违法行为，加大食品药品、公共卫生、安全生产、文化旅游、资源环境、交通运输、城乡建设、社会治安等关系群众切身利益的重点领域执法力度，维护群众合法权益和法律尊严。</w:t>
      </w:r>
    </w:p>
    <w:p w14:paraId="49BFCB9F">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200" w:name="_Toc88315872"/>
      <w:r>
        <w:rPr>
          <w:rFonts w:hint="eastAsia" w:ascii="黑体" w:hAnsi="黑体" w:eastAsia="黑体" w:cs="黑体"/>
          <w:b w:val="0"/>
          <w:bCs w:val="0"/>
          <w:color w:val="000000" w:themeColor="text1"/>
          <w14:textFill>
            <w14:solidFill>
              <w14:schemeClr w14:val="tx1"/>
            </w14:solidFill>
          </w14:textFill>
        </w:rPr>
        <w:t>第二节  完善规划实施管理体系</w:t>
      </w:r>
      <w:bookmarkEnd w:id="200"/>
    </w:p>
    <w:p w14:paraId="71117F36">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强化“十四五”规划对经济社会发展的引领作用，调控引导社会资源，合理配置公共资源，充分调动一切积极因素，形成规划实施的强大合力。</w:t>
      </w:r>
    </w:p>
    <w:p w14:paraId="159C11DE">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完善规划管理体制。</w:t>
      </w:r>
      <w:r>
        <w:rPr>
          <w:rFonts w:hint="eastAsia" w:cs="仿宋_GB2312"/>
          <w:color w:val="000000" w:themeColor="text1"/>
          <w:szCs w:val="28"/>
          <w14:textFill>
            <w14:solidFill>
              <w14:schemeClr w14:val="tx1"/>
            </w14:solidFill>
          </w14:textFill>
        </w:rPr>
        <w:t>推进规划体制改革，加快规划法制建设，健全遵循发展规律、体现改革开放要求、反映群众意愿的规划体系。明确经济社会发展规划的主导地位，专项规划和区域规划要符合本级和上级总体规划，下级规划要服从上级规划，空间布局要服从主体功能区规划，确保在总体要求上方向一致，在空间配置上相互协调，在时序安排上科学有序。完善动态落实机制，通过年度计划分解主要目标和重点任务，提高规划管理水平和实施效率。科学开展中期评估和实施后评估，依法进行规划调整。</w:t>
      </w:r>
    </w:p>
    <w:p w14:paraId="59E06C16">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强化规划落实机制。</w:t>
      </w:r>
      <w:r>
        <w:rPr>
          <w:rFonts w:hint="eastAsia" w:cs="仿宋_GB2312"/>
          <w:color w:val="000000" w:themeColor="text1"/>
          <w:szCs w:val="28"/>
          <w14:textFill>
            <w14:solidFill>
              <w14:schemeClr w14:val="tx1"/>
            </w14:solidFill>
          </w14:textFill>
        </w:rPr>
        <w:t xml:space="preserve">各部门要按照职责，与经济社会发展规划纲要相衔接，编制专项规划，明确目标任务，制定政策措施，落实分工责任，对规划确定的重大目标任务实行责任考核，确保规划顺利实施。利用各种新闻媒体，采取多种形式，加强对规划的宣传解读，进一步统一思想、形成共识，使实施规划成为全社会的自觉行动。 </w:t>
      </w:r>
    </w:p>
    <w:p w14:paraId="0AF7DEBA">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强化跟踪分析机制。</w:t>
      </w:r>
      <w:r>
        <w:rPr>
          <w:rFonts w:hint="eastAsia" w:cs="仿宋_GB2312"/>
          <w:color w:val="000000" w:themeColor="text1"/>
          <w:szCs w:val="28"/>
          <w14:textFill>
            <w14:solidFill>
              <w14:schemeClr w14:val="tx1"/>
            </w14:solidFill>
          </w14:textFill>
        </w:rPr>
        <w:t>加强对规划实施的监测、跟踪与分析，建立健全发展规划指标体系的评价和统计制度。加强对重大战略问题的跟进研究，针对经济社会发展过程中出现的新问题，不断探索解决问题的新思路、新机制、新办法，为规划的动态调整和修订提供依据。</w:t>
      </w:r>
    </w:p>
    <w:p w14:paraId="36725CF5">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完善评估机制。</w:t>
      </w:r>
      <w:r>
        <w:rPr>
          <w:rFonts w:hint="eastAsia" w:cs="仿宋_GB2312"/>
          <w:color w:val="000000" w:themeColor="text1"/>
          <w:szCs w:val="28"/>
          <w14:textFill>
            <w14:solidFill>
              <w14:schemeClr w14:val="tx1"/>
            </w14:solidFill>
          </w14:textFill>
        </w:rPr>
        <w:t>组织开展规划实施的中期评估，根据中期评估的结果，及时总结经验，发现问题。组织开展规划实施的总结评估，分析总体执行情况及存在的问题，为编制下一个五年规划奠定基础。引入社会机构评估等第三方评估制度，扩大民意测评范围，增强规划的准确性和广泛性。</w:t>
      </w:r>
    </w:p>
    <w:p w14:paraId="62AD9985">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健全考核监督机制。</w:t>
      </w:r>
      <w:r>
        <w:rPr>
          <w:rFonts w:hint="eastAsia" w:cs="仿宋_GB2312"/>
          <w:color w:val="000000" w:themeColor="text1"/>
          <w:szCs w:val="28"/>
          <w14:textFill>
            <w14:solidFill>
              <w14:schemeClr w14:val="tx1"/>
            </w14:solidFill>
          </w14:textFill>
        </w:rPr>
        <w:t>进一步完善考核和激励制度，将规划纲要确定的目标任务和约束性指标分解落实到相关部门、乡镇、园区，纳入经济社会综合发展评价和年度绩效考核体系，根据目标任务完成情况进行相应奖励或通报，提高纲要实施的主动性、积极性。加强规划纲要实施情况督查工作，开展重点行业、重点任务、重大建设项目和重大政策措施等督察行动。</w:t>
      </w:r>
    </w:p>
    <w:p w14:paraId="1EC22037">
      <w:pPr>
        <w:pStyle w:val="57"/>
        <w:keepNext w:val="0"/>
        <w:keepLines w:val="0"/>
        <w:pageBreakBefore w:val="0"/>
        <w:widowControl w:val="0"/>
        <w:kinsoku/>
        <w:wordWrap w:val="0"/>
        <w:overflowPunct/>
        <w:topLinePunct/>
        <w:autoSpaceDE/>
        <w:autoSpaceDN/>
        <w:bidi w:val="0"/>
        <w:adjustRightInd/>
        <w:snapToGrid/>
        <w:spacing w:line="59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完善公众参与机制。</w:t>
      </w:r>
      <w:r>
        <w:rPr>
          <w:rFonts w:hint="eastAsia" w:cs="仿宋_GB2312"/>
          <w:color w:val="000000" w:themeColor="text1"/>
          <w:szCs w:val="28"/>
          <w14:textFill>
            <w14:solidFill>
              <w14:schemeClr w14:val="tx1"/>
            </w14:solidFill>
          </w14:textFill>
        </w:rPr>
        <w:t>充分发挥新闻媒体和群众社团作用，通过多种形式、多种途径，广泛进行规划宣传，适当开展主题活动，鼓励社会各界参与规划实施过程，使全社会了解规划、关心规划、自觉地参与及监督规划实施。广泛征求人大、政协、民主人士、社会团体、企业、科研机构等社会各界对规划实施的意见建议，健全信息沟通和交流机制，提高规划实施的民主化和透明度。</w:t>
      </w:r>
    </w:p>
    <w:p w14:paraId="1147CAA9">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推动科技协同创新。</w:t>
      </w:r>
      <w:r>
        <w:rPr>
          <w:rFonts w:hint="eastAsia" w:cs="仿宋_GB2312"/>
          <w:color w:val="000000" w:themeColor="text1"/>
          <w:szCs w:val="28"/>
          <w14:textFill>
            <w14:solidFill>
              <w14:schemeClr w14:val="tx1"/>
            </w14:solidFill>
          </w14:textFill>
        </w:rPr>
        <w:t>对接国防建设发展战略，促进军地科技资源共享、优势互补。利用地方资源推动军队保障社会化，增强国民经济军民结合、平战转换能力，为提升国防动员建设质量提供智力支持。</w:t>
      </w:r>
    </w:p>
    <w:p w14:paraId="61ED998A">
      <w:pPr>
        <w:pStyle w:val="5"/>
        <w:keepNext w:val="0"/>
        <w:keepLines w:val="0"/>
        <w:pageBreakBefore w:val="0"/>
        <w:widowControl w:val="0"/>
        <w:kinsoku/>
        <w:wordWrap w:val="0"/>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黑体" w:hAnsi="黑体" w:eastAsia="黑体" w:cs="黑体"/>
          <w:b w:val="0"/>
          <w:bCs w:val="0"/>
          <w:color w:val="000000" w:themeColor="text1"/>
          <w14:textFill>
            <w14:solidFill>
              <w14:schemeClr w14:val="tx1"/>
            </w14:solidFill>
          </w14:textFill>
        </w:rPr>
      </w:pPr>
      <w:bookmarkStart w:id="201" w:name="_Toc88315873"/>
      <w:r>
        <w:rPr>
          <w:rFonts w:hint="eastAsia" w:ascii="黑体" w:hAnsi="黑体" w:eastAsia="黑体" w:cs="黑体"/>
          <w:b w:val="0"/>
          <w:bCs w:val="0"/>
          <w:color w:val="000000" w:themeColor="text1"/>
          <w14:textFill>
            <w14:solidFill>
              <w14:schemeClr w14:val="tx1"/>
            </w14:solidFill>
          </w14:textFill>
        </w:rPr>
        <w:t>第三节  全面推进重大项目建设</w:t>
      </w:r>
      <w:bookmarkEnd w:id="201"/>
    </w:p>
    <w:p w14:paraId="37AAD882">
      <w:pPr>
        <w:pStyle w:val="57"/>
        <w:keepNext w:val="0"/>
        <w:keepLines w:val="0"/>
        <w:pageBreakBefore w:val="0"/>
        <w:widowControl w:val="0"/>
        <w:kinsoku/>
        <w:wordWrap w:val="0"/>
        <w:overflowPunct/>
        <w:topLinePunct/>
        <w:autoSpaceDE/>
        <w:autoSpaceDN/>
        <w:bidi w:val="0"/>
        <w:adjustRightInd/>
        <w:snapToGrid/>
        <w:spacing w:line="600" w:lineRule="exact"/>
        <w:ind w:firstLine="640"/>
        <w:textAlignment w:val="auto"/>
        <w:rPr>
          <w:rFonts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发挥重大建设项目对经济增长的引领拉动作用，聚焦产业体系建设和民生、基础设施补短板，规划一批“十四五”时期对发展全局具有显著带动作用的重大标性工程项目，建立重大工程项目库，保障“十四五”规划中重大战略举措落地落实，为实现新突破提供有力支撑。</w:t>
      </w:r>
    </w:p>
    <w:p w14:paraId="5EF7299E">
      <w:pPr>
        <w:pStyle w:val="57"/>
        <w:keepNext w:val="0"/>
        <w:keepLines w:val="0"/>
        <w:pageBreakBefore w:val="0"/>
        <w:widowControl w:val="0"/>
        <w:kinsoku/>
        <w:wordWrap w:val="0"/>
        <w:overflowPunct/>
        <w:topLinePunct/>
        <w:autoSpaceDE/>
        <w:autoSpaceDN/>
        <w:bidi w:val="0"/>
        <w:adjustRightInd/>
        <w:snapToGrid/>
        <w:spacing w:line="60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构建项目库机制。</w:t>
      </w:r>
      <w:r>
        <w:rPr>
          <w:rFonts w:hint="eastAsia" w:cs="仿宋_GB2312"/>
          <w:color w:val="000000" w:themeColor="text1"/>
          <w:szCs w:val="28"/>
          <w14:textFill>
            <w14:solidFill>
              <w14:schemeClr w14:val="tx1"/>
            </w14:solidFill>
          </w14:textFill>
        </w:rPr>
        <w:t>按照“发改统筹、条块结合、上下联动、一盘棋”的工作机制，结合“十四五”规划编制工作时间节点安排，各职能部门、乡镇、园区条块并行、同步开展本领域、本地区重大工程项目研究谋划。由发改结合规划目标要求进行一致性衔接，统筹县域战略需求和区域发展诉求，提出拟列入“十四五”规划纲要重大工程项目备选清单，并动态调整、补充完善。</w:t>
      </w:r>
    </w:p>
    <w:p w14:paraId="101EF38A">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明确责任统筹</w:t>
      </w:r>
      <w:r>
        <w:rPr>
          <w:rFonts w:hint="eastAsia" w:ascii="楷体_GB2312" w:hAnsi="楷体_GB2312" w:eastAsia="楷体_GB2312" w:cs="楷体_GB2312"/>
          <w:b/>
          <w:bCs/>
          <w:color w:val="000000" w:themeColor="text1"/>
          <w:spacing w:val="-6"/>
          <w:szCs w:val="28"/>
          <w14:textFill>
            <w14:solidFill>
              <w14:schemeClr w14:val="tx1"/>
            </w14:solidFill>
          </w14:textFill>
        </w:rPr>
        <w:t>协调。</w:t>
      </w:r>
      <w:r>
        <w:rPr>
          <w:rFonts w:hint="eastAsia" w:cs="仿宋_GB2312"/>
          <w:color w:val="000000" w:themeColor="text1"/>
          <w:spacing w:val="-6"/>
          <w:szCs w:val="28"/>
          <w14:textFill>
            <w14:solidFill>
              <w14:schemeClr w14:val="tx1"/>
            </w14:solidFill>
          </w14:textFill>
        </w:rPr>
        <w:t>建立逐年落实、动态实施的重大项目工作机制，逐年分解落实规划目标和工作任务；明确工作任务的责任主体，各职能部门、乡镇、园区加强与项目业主的沟通和协调，优化服务，形成合力，共同促进重大建设项目顺利实施。</w:t>
      </w:r>
    </w:p>
    <w:p w14:paraId="5DCB374A">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落实资金保障用地。</w:t>
      </w:r>
      <w:r>
        <w:rPr>
          <w:rFonts w:hint="eastAsia" w:cs="仿宋_GB2312"/>
          <w:color w:val="000000" w:themeColor="text1"/>
          <w:szCs w:val="28"/>
          <w14:textFill>
            <w14:solidFill>
              <w14:schemeClr w14:val="tx1"/>
            </w14:solidFill>
          </w14:textFill>
        </w:rPr>
        <w:t>对纳入规划的重大项目加大财政支持力度，加强与银行的战略合作，构筑政银企合作平台，探索发展建立股权和创业投资基金，积极协助企业通过上市、发行债券等方式多渠道筹措资金。完善重大项目土地供应制度，编制用地计划，对列入规划的重大项目优先安排土地利用指标、保障项目用地。</w:t>
      </w:r>
    </w:p>
    <w:p w14:paraId="390F5A8A">
      <w:pPr>
        <w:pStyle w:val="57"/>
        <w:keepNext w:val="0"/>
        <w:keepLines w:val="0"/>
        <w:pageBreakBefore w:val="0"/>
        <w:widowControl w:val="0"/>
        <w:kinsoku/>
        <w:wordWrap w:val="0"/>
        <w:overflowPunct/>
        <w:topLinePunct/>
        <w:autoSpaceDE/>
        <w:autoSpaceDN/>
        <w:bidi w:val="0"/>
        <w:adjustRightInd/>
        <w:snapToGrid/>
        <w:spacing w:line="580" w:lineRule="exact"/>
        <w:ind w:firstLine="643"/>
        <w:textAlignment w:val="auto"/>
        <w:rPr>
          <w:rFonts w:cs="仿宋_GB2312"/>
          <w:color w:val="000000" w:themeColor="text1"/>
          <w:szCs w:val="28"/>
          <w14:textFill>
            <w14:solidFill>
              <w14:schemeClr w14:val="tx1"/>
            </w14:solidFill>
          </w14:textFill>
        </w:rPr>
      </w:pPr>
      <w:r>
        <w:rPr>
          <w:rFonts w:hint="eastAsia" w:ascii="楷体_GB2312" w:hAnsi="楷体_GB2312" w:eastAsia="楷体_GB2312" w:cs="楷体_GB2312"/>
          <w:b/>
          <w:bCs/>
          <w:color w:val="000000" w:themeColor="text1"/>
          <w:szCs w:val="28"/>
          <w14:textFill>
            <w14:solidFill>
              <w14:schemeClr w14:val="tx1"/>
            </w14:solidFill>
          </w14:textFill>
        </w:rPr>
        <w:t>加强储备强化管理。</w:t>
      </w:r>
      <w:r>
        <w:rPr>
          <w:rFonts w:hint="eastAsia" w:cs="仿宋_GB2312"/>
          <w:color w:val="000000" w:themeColor="text1"/>
          <w:szCs w:val="28"/>
          <w14:textFill>
            <w14:solidFill>
              <w14:schemeClr w14:val="tx1"/>
            </w14:solidFill>
          </w14:textFill>
        </w:rPr>
        <w:t>突出项目前期工作的刚性，对规划提出的项目加快前期工作，有重点开展前瞻性研究和项目策划，不断扩充项目储备库。加强重大项目管理，严格执行项目法人责任制、项目资本金制、项目招投标制、工程建设监理制、项目环境监督制等项目建设管理制度。加强重大项目督查力度，建立重大项目督办和落实检查制度，确保项目的规范推进和资金的有效使用。</w:t>
      </w:r>
    </w:p>
    <w:p w14:paraId="4E96A40D">
      <w:pPr>
        <w:pStyle w:val="57"/>
        <w:keepNext w:val="0"/>
        <w:keepLines w:val="0"/>
        <w:pageBreakBefore w:val="0"/>
        <w:widowControl w:val="0"/>
        <w:kinsoku/>
        <w:wordWrap w:val="0"/>
        <w:overflowPunct/>
        <w:topLinePunct/>
        <w:autoSpaceDE/>
        <w:autoSpaceDN/>
        <w:bidi w:val="0"/>
        <w:adjustRightInd/>
        <w:snapToGrid/>
        <w:spacing w:line="580" w:lineRule="exact"/>
        <w:ind w:firstLine="640"/>
        <w:textAlignment w:val="auto"/>
        <w:rPr>
          <w:rFonts w:hint="eastAsia" w:cs="仿宋_GB2312"/>
          <w:color w:val="000000" w:themeColor="text1"/>
          <w:szCs w:val="28"/>
          <w14:textFill>
            <w14:solidFill>
              <w14:schemeClr w14:val="tx1"/>
            </w14:solidFill>
          </w14:textFill>
        </w:rPr>
      </w:pPr>
      <w:r>
        <w:rPr>
          <w:rFonts w:hint="eastAsia" w:cs="仿宋_GB2312"/>
          <w:color w:val="000000" w:themeColor="text1"/>
          <w:szCs w:val="28"/>
          <w14:textFill>
            <w14:solidFill>
              <w14:schemeClr w14:val="tx1"/>
            </w14:solidFill>
          </w14:textFill>
        </w:rPr>
        <w:t>临武要高举习近平新时代中国特色社会主义思想伟大旗帜，不忘初心、牢记使命，改革创新、锐意进取，团结一致、砥砺前行，为全面实现社会主义现代化而努力奋斗！</w:t>
      </w:r>
    </w:p>
    <w:p w14:paraId="72AE9A16">
      <w:pPr>
        <w:tabs>
          <w:tab w:val="left" w:pos="7840"/>
        </w:tabs>
        <w:suppressAutoHyphens/>
        <w:spacing w:line="640" w:lineRule="exact"/>
        <w:ind w:firstLine="16" w:firstLineChars="5"/>
        <w:jc w:val="center"/>
        <w:rPr>
          <w:rFonts w:hint="eastAsia" w:cs="仿宋_GB2312"/>
          <w:color w:val="000000" w:themeColor="text1"/>
          <w:szCs w:val="28"/>
          <w14:textFill>
            <w14:solidFill>
              <w14:schemeClr w14:val="tx1"/>
            </w14:solidFill>
          </w14:textFill>
        </w:rPr>
      </w:pPr>
    </w:p>
    <w:sectPr>
      <w:pgSz w:w="11906" w:h="16838"/>
      <w:pgMar w:top="1701" w:right="1701" w:bottom="1701" w:left="1701" w:header="851" w:footer="1701"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永中宋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03CE">
    <w:pPr>
      <w:pStyle w:val="18"/>
      <w:keepNext w:val="0"/>
      <w:keepLines w:val="0"/>
      <w:pageBreakBefore w:val="0"/>
      <w:widowControl w:val="0"/>
      <w:kinsoku/>
      <w:wordWrap/>
      <w:overflowPunct/>
      <w:topLinePunct w:val="0"/>
      <w:autoSpaceDE/>
      <w:autoSpaceDN/>
      <w:bidi w:val="0"/>
      <w:adjustRightInd/>
      <w:snapToGrid w:val="0"/>
      <w:spacing w:line="240" w:lineRule="auto"/>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0C06262">
                          <w:pPr>
                            <w:pStyle w:val="1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- 1 -</w:t>
                          </w:r>
                          <w:r>
                            <w:rPr>
                              <w:rFonts w:hint="eastAsia" w:ascii="宋体" w:hAnsi="宋体" w:eastAsia="宋体" w:cs="宋体"/>
                              <w:sz w:val="24"/>
                              <w:szCs w:val="24"/>
                              <w:lang w:eastAsia="zh-CN"/>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tgC3f4QEAALkDAAAOAAAA&#10;AAAAAAEAIAAAAB4BAABkcnMvZTJvRG9jLnhtbFBLBQYAAAAABgAGAFkBAABxBQAAAAA=&#10;">
              <v:fill on="f" focussize="0,0"/>
              <v:stroke on="f"/>
              <v:imagedata o:title=""/>
              <o:lock v:ext="edit" aspectratio="f"/>
              <v:textbox inset="0mm,0mm,0mm,0mm" style="mso-fit-shape-to-text:t;">
                <w:txbxContent>
                  <w:p w14:paraId="70C06262">
                    <w:pPr>
                      <w:pStyle w:val="1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- 1 -</w:t>
                    </w:r>
                    <w:r>
                      <w:rPr>
                        <w:rFonts w:hint="eastAsia" w:ascii="宋体" w:hAnsi="宋体" w:eastAsia="宋体" w:cs="宋体"/>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701EE">
    <w:pPr>
      <w:pStyle w:val="1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86A84">
                          <w:pPr>
                            <w:pStyle w:val="1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- 3 -</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786A84">
                    <w:pPr>
                      <w:pStyle w:val="1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- 3 -</w:t>
                    </w:r>
                    <w:r>
                      <w:rPr>
                        <w:rFonts w:hint="eastAsia" w:ascii="宋体" w:hAnsi="宋体" w:eastAsia="宋体" w:cs="宋体"/>
                        <w:sz w:val="24"/>
                        <w:szCs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4DF78"/>
    <w:multiLevelType w:val="singleLevel"/>
    <w:tmpl w:val="9E44DF78"/>
    <w:lvl w:ilvl="0" w:tentative="0">
      <w:start w:val="1"/>
      <w:numFmt w:val="chineseCounting"/>
      <w:suff w:val="space"/>
      <w:lvlText w:val="第%1节"/>
      <w:lvlJc w:val="left"/>
      <w:rPr>
        <w:rFonts w:hint="eastAsia"/>
      </w:rPr>
    </w:lvl>
  </w:abstractNum>
  <w:abstractNum w:abstractNumId="1">
    <w:nsid w:val="256A0869"/>
    <w:multiLevelType w:val="multilevel"/>
    <w:tmpl w:val="256A08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004E39"/>
    <w:multiLevelType w:val="multilevel"/>
    <w:tmpl w:val="42004E39"/>
    <w:lvl w:ilvl="0" w:tentative="0">
      <w:start w:val="1"/>
      <w:numFmt w:val="chineseCountingThousand"/>
      <w:pStyle w:val="4"/>
      <w:lvlText w:val="第%1章"/>
      <w:lvlJc w:val="left"/>
      <w:pPr>
        <w:ind w:left="3823"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
    <w:nsid w:val="63B87F42"/>
    <w:multiLevelType w:val="singleLevel"/>
    <w:tmpl w:val="63B87F42"/>
    <w:lvl w:ilvl="0" w:tentative="0">
      <w:start w:val="1"/>
      <w:numFmt w:val="decimal"/>
      <w:lvlText w:val="%1."/>
      <w:lvlJc w:val="left"/>
      <w:pPr>
        <w:ind w:left="425" w:hanging="425"/>
      </w:pPr>
      <w:rPr>
        <w:rFonts w:hint="default"/>
      </w:rPr>
    </w:lvl>
  </w:abstractNum>
  <w:abstractNum w:abstractNumId="4">
    <w:nsid w:val="6EF209A1"/>
    <w:multiLevelType w:val="multilevel"/>
    <w:tmpl w:val="6EF209A1"/>
    <w:lvl w:ilvl="0" w:tentative="0">
      <w:start w:val="1"/>
      <w:numFmt w:val="decimal"/>
      <w:pStyle w:val="60"/>
      <w:lvlText w:val="第%1条 "/>
      <w:lvlJc w:val="left"/>
      <w:pPr>
        <w:ind w:left="562" w:hanging="420"/>
      </w:pPr>
      <w:rPr>
        <w:rFonts w:hint="eastAsia" w:ascii="黑体" w:hAnsi="Cambria" w:eastAsia="黑体"/>
        <w:b/>
        <w:i w:val="0"/>
        <w:sz w:val="28"/>
        <w:lang w:val="en-US"/>
      </w:rPr>
    </w:lvl>
    <w:lvl w:ilvl="1" w:tentative="0">
      <w:start w:val="1"/>
      <w:numFmt w:val="lowerLetter"/>
      <w:lvlText w:val="%2)"/>
      <w:lvlJc w:val="left"/>
      <w:pPr>
        <w:ind w:left="840" w:hanging="420"/>
      </w:pPr>
    </w:lvl>
    <w:lvl w:ilvl="2" w:tentative="0">
      <w:start w:val="1"/>
      <w:numFmt w:val="decimal"/>
      <w:lvlText w:val="（%3）"/>
      <w:lvlJc w:val="left"/>
      <w:pPr>
        <w:tabs>
          <w:tab w:val="left" w:pos="1430"/>
        </w:tabs>
        <w:ind w:left="1430" w:hanging="720"/>
      </w:pPr>
      <w:rPr>
        <w:b w:val="0"/>
        <w:sz w:val="22"/>
        <w:szCs w:val="22"/>
        <w:lang w:val="en-US"/>
      </w:rPr>
    </w:lvl>
    <w:lvl w:ilvl="3" w:tentative="0">
      <w:start w:val="1"/>
      <w:numFmt w:val="decimal"/>
      <w:lvlText w:val="%4."/>
      <w:lvlJc w:val="left"/>
      <w:pPr>
        <w:ind w:left="1680" w:hanging="42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5482790"/>
    <w:multiLevelType w:val="multilevel"/>
    <w:tmpl w:val="75482790"/>
    <w:lvl w:ilvl="0" w:tentative="0">
      <w:start w:val="1"/>
      <w:numFmt w:val="chineseCountingThousand"/>
      <w:pStyle w:val="3"/>
      <w:lvlText w:val="第%1篇"/>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0"/>
  <w:drawingGridHorizontalSpacing w:val="105"/>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NWU5NDEyMjIzZDYyZDVhYjc4NTU4MjE4ZGIxZGMifQ=="/>
  </w:docVars>
  <w:rsids>
    <w:rsidRoot w:val="005B0AC0"/>
    <w:rsid w:val="000000AD"/>
    <w:rsid w:val="000001E3"/>
    <w:rsid w:val="000014A4"/>
    <w:rsid w:val="00002679"/>
    <w:rsid w:val="00002943"/>
    <w:rsid w:val="000034EE"/>
    <w:rsid w:val="00003651"/>
    <w:rsid w:val="00004151"/>
    <w:rsid w:val="0000578F"/>
    <w:rsid w:val="00007EEF"/>
    <w:rsid w:val="00010FB3"/>
    <w:rsid w:val="00011CF8"/>
    <w:rsid w:val="000122D7"/>
    <w:rsid w:val="00012563"/>
    <w:rsid w:val="00012ADB"/>
    <w:rsid w:val="00012C68"/>
    <w:rsid w:val="00012E91"/>
    <w:rsid w:val="00012F54"/>
    <w:rsid w:val="000131A2"/>
    <w:rsid w:val="00015565"/>
    <w:rsid w:val="00015D3D"/>
    <w:rsid w:val="00016056"/>
    <w:rsid w:val="00016745"/>
    <w:rsid w:val="00016A87"/>
    <w:rsid w:val="00017E87"/>
    <w:rsid w:val="000205E8"/>
    <w:rsid w:val="0002155A"/>
    <w:rsid w:val="0002180E"/>
    <w:rsid w:val="000219CF"/>
    <w:rsid w:val="00021D36"/>
    <w:rsid w:val="00022706"/>
    <w:rsid w:val="00023705"/>
    <w:rsid w:val="00023B04"/>
    <w:rsid w:val="00023B4F"/>
    <w:rsid w:val="0002493F"/>
    <w:rsid w:val="00024DF0"/>
    <w:rsid w:val="000250F3"/>
    <w:rsid w:val="00025F5C"/>
    <w:rsid w:val="00031054"/>
    <w:rsid w:val="0003180F"/>
    <w:rsid w:val="000319E6"/>
    <w:rsid w:val="00031B22"/>
    <w:rsid w:val="00032EEB"/>
    <w:rsid w:val="00033872"/>
    <w:rsid w:val="00033D01"/>
    <w:rsid w:val="000346E9"/>
    <w:rsid w:val="00034B1E"/>
    <w:rsid w:val="00034F6D"/>
    <w:rsid w:val="00034F95"/>
    <w:rsid w:val="000350D2"/>
    <w:rsid w:val="00035312"/>
    <w:rsid w:val="00035C46"/>
    <w:rsid w:val="00037CC9"/>
    <w:rsid w:val="0004000A"/>
    <w:rsid w:val="00040022"/>
    <w:rsid w:val="00040C1C"/>
    <w:rsid w:val="00042313"/>
    <w:rsid w:val="00042547"/>
    <w:rsid w:val="00042BCC"/>
    <w:rsid w:val="00043861"/>
    <w:rsid w:val="00044039"/>
    <w:rsid w:val="000445C3"/>
    <w:rsid w:val="00044A3F"/>
    <w:rsid w:val="00044E7F"/>
    <w:rsid w:val="00045D38"/>
    <w:rsid w:val="00045EF2"/>
    <w:rsid w:val="00046AA9"/>
    <w:rsid w:val="00046AEA"/>
    <w:rsid w:val="00047466"/>
    <w:rsid w:val="00047770"/>
    <w:rsid w:val="000477F3"/>
    <w:rsid w:val="00047C96"/>
    <w:rsid w:val="000500AA"/>
    <w:rsid w:val="000503F7"/>
    <w:rsid w:val="00050ADF"/>
    <w:rsid w:val="00051063"/>
    <w:rsid w:val="000512D3"/>
    <w:rsid w:val="0005174D"/>
    <w:rsid w:val="000518EC"/>
    <w:rsid w:val="00051B42"/>
    <w:rsid w:val="00051C96"/>
    <w:rsid w:val="00051DE7"/>
    <w:rsid w:val="0005215A"/>
    <w:rsid w:val="00052AA4"/>
    <w:rsid w:val="00052B16"/>
    <w:rsid w:val="00052FAF"/>
    <w:rsid w:val="000532BE"/>
    <w:rsid w:val="000533DE"/>
    <w:rsid w:val="00053899"/>
    <w:rsid w:val="00053F98"/>
    <w:rsid w:val="000540E8"/>
    <w:rsid w:val="00054386"/>
    <w:rsid w:val="00054DD4"/>
    <w:rsid w:val="00054FBD"/>
    <w:rsid w:val="000559DE"/>
    <w:rsid w:val="00056BB9"/>
    <w:rsid w:val="00056C87"/>
    <w:rsid w:val="000572F4"/>
    <w:rsid w:val="00057783"/>
    <w:rsid w:val="00057E3F"/>
    <w:rsid w:val="00060CDA"/>
    <w:rsid w:val="00060F98"/>
    <w:rsid w:val="00061EB8"/>
    <w:rsid w:val="000637E4"/>
    <w:rsid w:val="0006383D"/>
    <w:rsid w:val="000650DB"/>
    <w:rsid w:val="000654C0"/>
    <w:rsid w:val="00066D3E"/>
    <w:rsid w:val="000670BB"/>
    <w:rsid w:val="0007198B"/>
    <w:rsid w:val="00071E86"/>
    <w:rsid w:val="00072294"/>
    <w:rsid w:val="000722CC"/>
    <w:rsid w:val="00074156"/>
    <w:rsid w:val="0007477B"/>
    <w:rsid w:val="00075C04"/>
    <w:rsid w:val="000764E9"/>
    <w:rsid w:val="00077D65"/>
    <w:rsid w:val="00077DCA"/>
    <w:rsid w:val="00080B0D"/>
    <w:rsid w:val="00080B71"/>
    <w:rsid w:val="00081770"/>
    <w:rsid w:val="000818DD"/>
    <w:rsid w:val="00081DD8"/>
    <w:rsid w:val="00082C71"/>
    <w:rsid w:val="00083DF6"/>
    <w:rsid w:val="00084517"/>
    <w:rsid w:val="00085470"/>
    <w:rsid w:val="0008568E"/>
    <w:rsid w:val="00085C5F"/>
    <w:rsid w:val="00085C9B"/>
    <w:rsid w:val="00085E1C"/>
    <w:rsid w:val="00086C3C"/>
    <w:rsid w:val="00087A27"/>
    <w:rsid w:val="000901A8"/>
    <w:rsid w:val="0009048D"/>
    <w:rsid w:val="0009069E"/>
    <w:rsid w:val="00090895"/>
    <w:rsid w:val="000909BD"/>
    <w:rsid w:val="000922E8"/>
    <w:rsid w:val="00095040"/>
    <w:rsid w:val="00095B30"/>
    <w:rsid w:val="00095BBF"/>
    <w:rsid w:val="000960AF"/>
    <w:rsid w:val="000960CB"/>
    <w:rsid w:val="000961BC"/>
    <w:rsid w:val="00096222"/>
    <w:rsid w:val="00096DC3"/>
    <w:rsid w:val="00096F74"/>
    <w:rsid w:val="000A1899"/>
    <w:rsid w:val="000A29D6"/>
    <w:rsid w:val="000A2A73"/>
    <w:rsid w:val="000A4C2C"/>
    <w:rsid w:val="000A5965"/>
    <w:rsid w:val="000A5AE5"/>
    <w:rsid w:val="000A6477"/>
    <w:rsid w:val="000A64A2"/>
    <w:rsid w:val="000A6981"/>
    <w:rsid w:val="000A6EF6"/>
    <w:rsid w:val="000A6FBF"/>
    <w:rsid w:val="000A76F7"/>
    <w:rsid w:val="000A7861"/>
    <w:rsid w:val="000A7917"/>
    <w:rsid w:val="000A7B1A"/>
    <w:rsid w:val="000A7BD5"/>
    <w:rsid w:val="000A7CD5"/>
    <w:rsid w:val="000B0738"/>
    <w:rsid w:val="000B09F5"/>
    <w:rsid w:val="000B147D"/>
    <w:rsid w:val="000B1556"/>
    <w:rsid w:val="000B178C"/>
    <w:rsid w:val="000B2B4B"/>
    <w:rsid w:val="000B2C62"/>
    <w:rsid w:val="000B414F"/>
    <w:rsid w:val="000B4197"/>
    <w:rsid w:val="000B419B"/>
    <w:rsid w:val="000B4513"/>
    <w:rsid w:val="000B45FE"/>
    <w:rsid w:val="000B4FEB"/>
    <w:rsid w:val="000B5300"/>
    <w:rsid w:val="000B5B77"/>
    <w:rsid w:val="000B616B"/>
    <w:rsid w:val="000B62C0"/>
    <w:rsid w:val="000B63F0"/>
    <w:rsid w:val="000B6CA9"/>
    <w:rsid w:val="000B6D60"/>
    <w:rsid w:val="000B719E"/>
    <w:rsid w:val="000B7322"/>
    <w:rsid w:val="000B795A"/>
    <w:rsid w:val="000C0345"/>
    <w:rsid w:val="000C060E"/>
    <w:rsid w:val="000C112B"/>
    <w:rsid w:val="000C1D27"/>
    <w:rsid w:val="000C22CB"/>
    <w:rsid w:val="000C2547"/>
    <w:rsid w:val="000C2CFD"/>
    <w:rsid w:val="000C53C7"/>
    <w:rsid w:val="000C5C6D"/>
    <w:rsid w:val="000C6083"/>
    <w:rsid w:val="000C615D"/>
    <w:rsid w:val="000C69BC"/>
    <w:rsid w:val="000C7655"/>
    <w:rsid w:val="000C7DE7"/>
    <w:rsid w:val="000D0265"/>
    <w:rsid w:val="000D0566"/>
    <w:rsid w:val="000D05E5"/>
    <w:rsid w:val="000D119C"/>
    <w:rsid w:val="000D1394"/>
    <w:rsid w:val="000D174D"/>
    <w:rsid w:val="000D1D9F"/>
    <w:rsid w:val="000D223B"/>
    <w:rsid w:val="000D268F"/>
    <w:rsid w:val="000D26F5"/>
    <w:rsid w:val="000D347C"/>
    <w:rsid w:val="000D3917"/>
    <w:rsid w:val="000D3A81"/>
    <w:rsid w:val="000D3E5D"/>
    <w:rsid w:val="000D3F4E"/>
    <w:rsid w:val="000D49F5"/>
    <w:rsid w:val="000D5227"/>
    <w:rsid w:val="000D5238"/>
    <w:rsid w:val="000D528B"/>
    <w:rsid w:val="000D5489"/>
    <w:rsid w:val="000D6F5B"/>
    <w:rsid w:val="000D71B0"/>
    <w:rsid w:val="000D744D"/>
    <w:rsid w:val="000D7504"/>
    <w:rsid w:val="000D7C05"/>
    <w:rsid w:val="000E03EA"/>
    <w:rsid w:val="000E056B"/>
    <w:rsid w:val="000E05AB"/>
    <w:rsid w:val="000E09BF"/>
    <w:rsid w:val="000E172D"/>
    <w:rsid w:val="000E1A97"/>
    <w:rsid w:val="000E2201"/>
    <w:rsid w:val="000E2EEF"/>
    <w:rsid w:val="000E73BC"/>
    <w:rsid w:val="000F0681"/>
    <w:rsid w:val="000F0BCA"/>
    <w:rsid w:val="000F1373"/>
    <w:rsid w:val="000F35B5"/>
    <w:rsid w:val="000F3BB0"/>
    <w:rsid w:val="000F4C1F"/>
    <w:rsid w:val="000F5B42"/>
    <w:rsid w:val="000F666D"/>
    <w:rsid w:val="000F6C18"/>
    <w:rsid w:val="0010017E"/>
    <w:rsid w:val="00100CFD"/>
    <w:rsid w:val="001019AA"/>
    <w:rsid w:val="00101F50"/>
    <w:rsid w:val="00103A0E"/>
    <w:rsid w:val="00103CF7"/>
    <w:rsid w:val="00104839"/>
    <w:rsid w:val="001054BF"/>
    <w:rsid w:val="0010620E"/>
    <w:rsid w:val="00107A6E"/>
    <w:rsid w:val="00111220"/>
    <w:rsid w:val="0011129B"/>
    <w:rsid w:val="00111F81"/>
    <w:rsid w:val="001126A4"/>
    <w:rsid w:val="00112BCB"/>
    <w:rsid w:val="00112C70"/>
    <w:rsid w:val="00112F23"/>
    <w:rsid w:val="00112F2D"/>
    <w:rsid w:val="00115105"/>
    <w:rsid w:val="00115167"/>
    <w:rsid w:val="00115481"/>
    <w:rsid w:val="001159F2"/>
    <w:rsid w:val="00115CA5"/>
    <w:rsid w:val="00115D06"/>
    <w:rsid w:val="00115E3D"/>
    <w:rsid w:val="001161ED"/>
    <w:rsid w:val="00116A20"/>
    <w:rsid w:val="001209AD"/>
    <w:rsid w:val="00120A1E"/>
    <w:rsid w:val="00121456"/>
    <w:rsid w:val="001217A2"/>
    <w:rsid w:val="00122427"/>
    <w:rsid w:val="001224DC"/>
    <w:rsid w:val="00122518"/>
    <w:rsid w:val="00122948"/>
    <w:rsid w:val="00124018"/>
    <w:rsid w:val="00124E4B"/>
    <w:rsid w:val="00124EA2"/>
    <w:rsid w:val="00124F50"/>
    <w:rsid w:val="00125BD0"/>
    <w:rsid w:val="0012615D"/>
    <w:rsid w:val="0012646F"/>
    <w:rsid w:val="00126601"/>
    <w:rsid w:val="001270C9"/>
    <w:rsid w:val="0012797B"/>
    <w:rsid w:val="00130163"/>
    <w:rsid w:val="001304E6"/>
    <w:rsid w:val="00130DE0"/>
    <w:rsid w:val="0013143A"/>
    <w:rsid w:val="00132645"/>
    <w:rsid w:val="00133EEC"/>
    <w:rsid w:val="00134406"/>
    <w:rsid w:val="00134896"/>
    <w:rsid w:val="00135247"/>
    <w:rsid w:val="001373E5"/>
    <w:rsid w:val="001374B1"/>
    <w:rsid w:val="00140E2E"/>
    <w:rsid w:val="00141C71"/>
    <w:rsid w:val="00141CE3"/>
    <w:rsid w:val="00141D59"/>
    <w:rsid w:val="00141E87"/>
    <w:rsid w:val="00142F36"/>
    <w:rsid w:val="0014318A"/>
    <w:rsid w:val="001433E8"/>
    <w:rsid w:val="00144662"/>
    <w:rsid w:val="0014516D"/>
    <w:rsid w:val="001457F9"/>
    <w:rsid w:val="00145D30"/>
    <w:rsid w:val="001469B3"/>
    <w:rsid w:val="0014743A"/>
    <w:rsid w:val="00147A03"/>
    <w:rsid w:val="001505E3"/>
    <w:rsid w:val="00150FBA"/>
    <w:rsid w:val="0015180B"/>
    <w:rsid w:val="00152012"/>
    <w:rsid w:val="001521B1"/>
    <w:rsid w:val="001522A0"/>
    <w:rsid w:val="00152743"/>
    <w:rsid w:val="001538D0"/>
    <w:rsid w:val="001545BE"/>
    <w:rsid w:val="00154B39"/>
    <w:rsid w:val="001559B0"/>
    <w:rsid w:val="001559E2"/>
    <w:rsid w:val="00155A51"/>
    <w:rsid w:val="00157242"/>
    <w:rsid w:val="001600FE"/>
    <w:rsid w:val="00160564"/>
    <w:rsid w:val="0016063B"/>
    <w:rsid w:val="00160653"/>
    <w:rsid w:val="00162EDF"/>
    <w:rsid w:val="001634B6"/>
    <w:rsid w:val="00163557"/>
    <w:rsid w:val="00164CCC"/>
    <w:rsid w:val="00165192"/>
    <w:rsid w:val="001656BB"/>
    <w:rsid w:val="001659C5"/>
    <w:rsid w:val="00165BBA"/>
    <w:rsid w:val="00165F12"/>
    <w:rsid w:val="0016672A"/>
    <w:rsid w:val="001667C2"/>
    <w:rsid w:val="001668E6"/>
    <w:rsid w:val="00167B06"/>
    <w:rsid w:val="00167CC9"/>
    <w:rsid w:val="00170227"/>
    <w:rsid w:val="00170B5A"/>
    <w:rsid w:val="00171A54"/>
    <w:rsid w:val="00172254"/>
    <w:rsid w:val="00172310"/>
    <w:rsid w:val="00173C0F"/>
    <w:rsid w:val="00173C38"/>
    <w:rsid w:val="00174D10"/>
    <w:rsid w:val="001750E1"/>
    <w:rsid w:val="00176EA5"/>
    <w:rsid w:val="0017714B"/>
    <w:rsid w:val="001771BE"/>
    <w:rsid w:val="001776D7"/>
    <w:rsid w:val="00177F45"/>
    <w:rsid w:val="00180194"/>
    <w:rsid w:val="00180245"/>
    <w:rsid w:val="00180A74"/>
    <w:rsid w:val="00180A93"/>
    <w:rsid w:val="00181A44"/>
    <w:rsid w:val="00181C5D"/>
    <w:rsid w:val="00182328"/>
    <w:rsid w:val="0018356C"/>
    <w:rsid w:val="00183795"/>
    <w:rsid w:val="00183B5D"/>
    <w:rsid w:val="0018484E"/>
    <w:rsid w:val="00184C3A"/>
    <w:rsid w:val="001853D3"/>
    <w:rsid w:val="00185517"/>
    <w:rsid w:val="0018663F"/>
    <w:rsid w:val="001870C7"/>
    <w:rsid w:val="0018727B"/>
    <w:rsid w:val="00187368"/>
    <w:rsid w:val="0019001F"/>
    <w:rsid w:val="00190399"/>
    <w:rsid w:val="001906FB"/>
    <w:rsid w:val="00192D54"/>
    <w:rsid w:val="00192E70"/>
    <w:rsid w:val="00192F71"/>
    <w:rsid w:val="00193ACC"/>
    <w:rsid w:val="0019500C"/>
    <w:rsid w:val="001959FB"/>
    <w:rsid w:val="00195E64"/>
    <w:rsid w:val="001968B2"/>
    <w:rsid w:val="00196CB7"/>
    <w:rsid w:val="001A024B"/>
    <w:rsid w:val="001A0CD0"/>
    <w:rsid w:val="001A0FFD"/>
    <w:rsid w:val="001A169A"/>
    <w:rsid w:val="001A1D2F"/>
    <w:rsid w:val="001A352C"/>
    <w:rsid w:val="001A4EED"/>
    <w:rsid w:val="001A54D9"/>
    <w:rsid w:val="001A568D"/>
    <w:rsid w:val="001A5E51"/>
    <w:rsid w:val="001A655A"/>
    <w:rsid w:val="001A6AC5"/>
    <w:rsid w:val="001A71AE"/>
    <w:rsid w:val="001A7442"/>
    <w:rsid w:val="001A7A62"/>
    <w:rsid w:val="001A7AF1"/>
    <w:rsid w:val="001B0DAD"/>
    <w:rsid w:val="001B13C3"/>
    <w:rsid w:val="001B15B2"/>
    <w:rsid w:val="001B24AC"/>
    <w:rsid w:val="001B25E8"/>
    <w:rsid w:val="001B2961"/>
    <w:rsid w:val="001B4AAA"/>
    <w:rsid w:val="001B5FB1"/>
    <w:rsid w:val="001B6C2C"/>
    <w:rsid w:val="001B6D80"/>
    <w:rsid w:val="001B7370"/>
    <w:rsid w:val="001B7EAF"/>
    <w:rsid w:val="001C04FF"/>
    <w:rsid w:val="001C0675"/>
    <w:rsid w:val="001C1D07"/>
    <w:rsid w:val="001C2143"/>
    <w:rsid w:val="001C2A51"/>
    <w:rsid w:val="001C44EA"/>
    <w:rsid w:val="001C4847"/>
    <w:rsid w:val="001C4C2F"/>
    <w:rsid w:val="001C52F8"/>
    <w:rsid w:val="001C5851"/>
    <w:rsid w:val="001C5973"/>
    <w:rsid w:val="001C5A9A"/>
    <w:rsid w:val="001C60C0"/>
    <w:rsid w:val="001C7573"/>
    <w:rsid w:val="001D06DC"/>
    <w:rsid w:val="001D0A36"/>
    <w:rsid w:val="001D123F"/>
    <w:rsid w:val="001D1639"/>
    <w:rsid w:val="001D20D9"/>
    <w:rsid w:val="001D24AB"/>
    <w:rsid w:val="001D2661"/>
    <w:rsid w:val="001D2DA6"/>
    <w:rsid w:val="001D33E9"/>
    <w:rsid w:val="001D3838"/>
    <w:rsid w:val="001D3A2B"/>
    <w:rsid w:val="001D3BB6"/>
    <w:rsid w:val="001D4180"/>
    <w:rsid w:val="001D44D8"/>
    <w:rsid w:val="001D573F"/>
    <w:rsid w:val="001D591A"/>
    <w:rsid w:val="001D6A6A"/>
    <w:rsid w:val="001D7D68"/>
    <w:rsid w:val="001D7F4D"/>
    <w:rsid w:val="001E057C"/>
    <w:rsid w:val="001E12A7"/>
    <w:rsid w:val="001E1678"/>
    <w:rsid w:val="001E2534"/>
    <w:rsid w:val="001E291E"/>
    <w:rsid w:val="001E2D77"/>
    <w:rsid w:val="001E313F"/>
    <w:rsid w:val="001E4000"/>
    <w:rsid w:val="001E6CBF"/>
    <w:rsid w:val="001E74C0"/>
    <w:rsid w:val="001F0230"/>
    <w:rsid w:val="001F043F"/>
    <w:rsid w:val="001F084F"/>
    <w:rsid w:val="001F09AC"/>
    <w:rsid w:val="001F0A09"/>
    <w:rsid w:val="001F0C43"/>
    <w:rsid w:val="001F29B9"/>
    <w:rsid w:val="001F37FC"/>
    <w:rsid w:val="001F39FC"/>
    <w:rsid w:val="001F4203"/>
    <w:rsid w:val="001F45E2"/>
    <w:rsid w:val="001F4CA2"/>
    <w:rsid w:val="001F53BD"/>
    <w:rsid w:val="001F5884"/>
    <w:rsid w:val="001F5C0C"/>
    <w:rsid w:val="001F611E"/>
    <w:rsid w:val="001F6BAD"/>
    <w:rsid w:val="00201669"/>
    <w:rsid w:val="00201D12"/>
    <w:rsid w:val="00202115"/>
    <w:rsid w:val="00202149"/>
    <w:rsid w:val="00202AA5"/>
    <w:rsid w:val="002033BC"/>
    <w:rsid w:val="002035D7"/>
    <w:rsid w:val="002036E4"/>
    <w:rsid w:val="0020409B"/>
    <w:rsid w:val="0020581C"/>
    <w:rsid w:val="0020652D"/>
    <w:rsid w:val="0020714A"/>
    <w:rsid w:val="00210CEA"/>
    <w:rsid w:val="00210EB9"/>
    <w:rsid w:val="00211057"/>
    <w:rsid w:val="00212049"/>
    <w:rsid w:val="00212503"/>
    <w:rsid w:val="00212DC3"/>
    <w:rsid w:val="00213775"/>
    <w:rsid w:val="002147F5"/>
    <w:rsid w:val="00214E81"/>
    <w:rsid w:val="002155B2"/>
    <w:rsid w:val="00216144"/>
    <w:rsid w:val="00216496"/>
    <w:rsid w:val="002167AD"/>
    <w:rsid w:val="00216B25"/>
    <w:rsid w:val="00216DBB"/>
    <w:rsid w:val="00216E18"/>
    <w:rsid w:val="00217154"/>
    <w:rsid w:val="0021753A"/>
    <w:rsid w:val="002228CF"/>
    <w:rsid w:val="0022339F"/>
    <w:rsid w:val="002248A4"/>
    <w:rsid w:val="00224B51"/>
    <w:rsid w:val="00224BD0"/>
    <w:rsid w:val="00224F4A"/>
    <w:rsid w:val="00225497"/>
    <w:rsid w:val="0022654B"/>
    <w:rsid w:val="00226889"/>
    <w:rsid w:val="00227696"/>
    <w:rsid w:val="00227A27"/>
    <w:rsid w:val="00227AF5"/>
    <w:rsid w:val="002305EC"/>
    <w:rsid w:val="0023071B"/>
    <w:rsid w:val="00230E9A"/>
    <w:rsid w:val="00230EF3"/>
    <w:rsid w:val="00230FEA"/>
    <w:rsid w:val="002319E0"/>
    <w:rsid w:val="0023219B"/>
    <w:rsid w:val="00232589"/>
    <w:rsid w:val="00233084"/>
    <w:rsid w:val="0023470D"/>
    <w:rsid w:val="00234AC3"/>
    <w:rsid w:val="0023599F"/>
    <w:rsid w:val="00235D70"/>
    <w:rsid w:val="00235E29"/>
    <w:rsid w:val="00236FF5"/>
    <w:rsid w:val="002379F4"/>
    <w:rsid w:val="00237A4B"/>
    <w:rsid w:val="00237C4C"/>
    <w:rsid w:val="00237EDB"/>
    <w:rsid w:val="002403FD"/>
    <w:rsid w:val="0024142C"/>
    <w:rsid w:val="00242FF3"/>
    <w:rsid w:val="00243B6C"/>
    <w:rsid w:val="00243FFD"/>
    <w:rsid w:val="0024473B"/>
    <w:rsid w:val="0024542D"/>
    <w:rsid w:val="00245578"/>
    <w:rsid w:val="0024611F"/>
    <w:rsid w:val="00246837"/>
    <w:rsid w:val="00246A93"/>
    <w:rsid w:val="00246FD0"/>
    <w:rsid w:val="00247877"/>
    <w:rsid w:val="002501E8"/>
    <w:rsid w:val="0025031F"/>
    <w:rsid w:val="002505A1"/>
    <w:rsid w:val="00250DF7"/>
    <w:rsid w:val="00250FCA"/>
    <w:rsid w:val="002516C9"/>
    <w:rsid w:val="00251E6D"/>
    <w:rsid w:val="0025202D"/>
    <w:rsid w:val="00253BE0"/>
    <w:rsid w:val="00253F9A"/>
    <w:rsid w:val="0025473C"/>
    <w:rsid w:val="00254DE4"/>
    <w:rsid w:val="00255096"/>
    <w:rsid w:val="0025605A"/>
    <w:rsid w:val="00256113"/>
    <w:rsid w:val="0025684D"/>
    <w:rsid w:val="00257B1E"/>
    <w:rsid w:val="00257D72"/>
    <w:rsid w:val="00260294"/>
    <w:rsid w:val="00260363"/>
    <w:rsid w:val="00260427"/>
    <w:rsid w:val="00260906"/>
    <w:rsid w:val="00261A5C"/>
    <w:rsid w:val="00261C69"/>
    <w:rsid w:val="0026260A"/>
    <w:rsid w:val="00262E55"/>
    <w:rsid w:val="00264D31"/>
    <w:rsid w:val="00264DB9"/>
    <w:rsid w:val="002668C2"/>
    <w:rsid w:val="00267832"/>
    <w:rsid w:val="00267CA2"/>
    <w:rsid w:val="00267FEF"/>
    <w:rsid w:val="002705ED"/>
    <w:rsid w:val="00272050"/>
    <w:rsid w:val="00272545"/>
    <w:rsid w:val="00272900"/>
    <w:rsid w:val="00273372"/>
    <w:rsid w:val="00273789"/>
    <w:rsid w:val="00273BC3"/>
    <w:rsid w:val="00273CC1"/>
    <w:rsid w:val="00274A17"/>
    <w:rsid w:val="00275274"/>
    <w:rsid w:val="002756AB"/>
    <w:rsid w:val="00275912"/>
    <w:rsid w:val="00276C29"/>
    <w:rsid w:val="00276F36"/>
    <w:rsid w:val="002771C7"/>
    <w:rsid w:val="002774DA"/>
    <w:rsid w:val="00277641"/>
    <w:rsid w:val="0027790F"/>
    <w:rsid w:val="00277B86"/>
    <w:rsid w:val="00280914"/>
    <w:rsid w:val="002822EE"/>
    <w:rsid w:val="002834AC"/>
    <w:rsid w:val="0028512A"/>
    <w:rsid w:val="0028570D"/>
    <w:rsid w:val="002860E8"/>
    <w:rsid w:val="00287043"/>
    <w:rsid w:val="00287421"/>
    <w:rsid w:val="00287559"/>
    <w:rsid w:val="002875B7"/>
    <w:rsid w:val="0029090E"/>
    <w:rsid w:val="002917C9"/>
    <w:rsid w:val="00291A99"/>
    <w:rsid w:val="00291B1A"/>
    <w:rsid w:val="002928EC"/>
    <w:rsid w:val="0029392D"/>
    <w:rsid w:val="0029399C"/>
    <w:rsid w:val="00294366"/>
    <w:rsid w:val="002949EB"/>
    <w:rsid w:val="002955B4"/>
    <w:rsid w:val="00295646"/>
    <w:rsid w:val="002958BD"/>
    <w:rsid w:val="002958DA"/>
    <w:rsid w:val="00295995"/>
    <w:rsid w:val="00295AE3"/>
    <w:rsid w:val="00296310"/>
    <w:rsid w:val="00296B8A"/>
    <w:rsid w:val="00296E54"/>
    <w:rsid w:val="0029732C"/>
    <w:rsid w:val="0029737B"/>
    <w:rsid w:val="00297569"/>
    <w:rsid w:val="00297D42"/>
    <w:rsid w:val="00297E59"/>
    <w:rsid w:val="002A0670"/>
    <w:rsid w:val="002A08CA"/>
    <w:rsid w:val="002A08D0"/>
    <w:rsid w:val="002A0C7E"/>
    <w:rsid w:val="002A2FA3"/>
    <w:rsid w:val="002A4442"/>
    <w:rsid w:val="002A4A58"/>
    <w:rsid w:val="002A5225"/>
    <w:rsid w:val="002A5A52"/>
    <w:rsid w:val="002A5BD1"/>
    <w:rsid w:val="002A7342"/>
    <w:rsid w:val="002A7F87"/>
    <w:rsid w:val="002B0AC0"/>
    <w:rsid w:val="002B1B3B"/>
    <w:rsid w:val="002B21A6"/>
    <w:rsid w:val="002B2206"/>
    <w:rsid w:val="002B2913"/>
    <w:rsid w:val="002B3EBC"/>
    <w:rsid w:val="002B4020"/>
    <w:rsid w:val="002B4090"/>
    <w:rsid w:val="002B428B"/>
    <w:rsid w:val="002B4A83"/>
    <w:rsid w:val="002B5629"/>
    <w:rsid w:val="002B6243"/>
    <w:rsid w:val="002B710A"/>
    <w:rsid w:val="002B7A5F"/>
    <w:rsid w:val="002C0114"/>
    <w:rsid w:val="002C026C"/>
    <w:rsid w:val="002C0642"/>
    <w:rsid w:val="002C0A55"/>
    <w:rsid w:val="002C0BBB"/>
    <w:rsid w:val="002C1B9D"/>
    <w:rsid w:val="002C21FC"/>
    <w:rsid w:val="002C298C"/>
    <w:rsid w:val="002C3D29"/>
    <w:rsid w:val="002C411E"/>
    <w:rsid w:val="002C4173"/>
    <w:rsid w:val="002C5116"/>
    <w:rsid w:val="002C5143"/>
    <w:rsid w:val="002C53EC"/>
    <w:rsid w:val="002C5F12"/>
    <w:rsid w:val="002C5F5C"/>
    <w:rsid w:val="002C6813"/>
    <w:rsid w:val="002C6F4B"/>
    <w:rsid w:val="002C792F"/>
    <w:rsid w:val="002D0094"/>
    <w:rsid w:val="002D033E"/>
    <w:rsid w:val="002D1382"/>
    <w:rsid w:val="002D3B9E"/>
    <w:rsid w:val="002D5F16"/>
    <w:rsid w:val="002D6A64"/>
    <w:rsid w:val="002D6FBE"/>
    <w:rsid w:val="002D7006"/>
    <w:rsid w:val="002D7042"/>
    <w:rsid w:val="002E06A9"/>
    <w:rsid w:val="002E0B4C"/>
    <w:rsid w:val="002E2AB1"/>
    <w:rsid w:val="002E3F0C"/>
    <w:rsid w:val="002E4548"/>
    <w:rsid w:val="002E4A34"/>
    <w:rsid w:val="002E67D5"/>
    <w:rsid w:val="002E684C"/>
    <w:rsid w:val="002E6BF1"/>
    <w:rsid w:val="002E76EA"/>
    <w:rsid w:val="002E776E"/>
    <w:rsid w:val="002F03AD"/>
    <w:rsid w:val="002F0D0B"/>
    <w:rsid w:val="002F1289"/>
    <w:rsid w:val="002F1441"/>
    <w:rsid w:val="002F2553"/>
    <w:rsid w:val="002F2695"/>
    <w:rsid w:val="002F2890"/>
    <w:rsid w:val="002F2EF9"/>
    <w:rsid w:val="002F34C6"/>
    <w:rsid w:val="002F4A03"/>
    <w:rsid w:val="002F625F"/>
    <w:rsid w:val="002F63D0"/>
    <w:rsid w:val="002F6DAA"/>
    <w:rsid w:val="002F7196"/>
    <w:rsid w:val="002F727E"/>
    <w:rsid w:val="00300D07"/>
    <w:rsid w:val="00300FC6"/>
    <w:rsid w:val="00302253"/>
    <w:rsid w:val="003042B0"/>
    <w:rsid w:val="003044C6"/>
    <w:rsid w:val="00304555"/>
    <w:rsid w:val="00304A4A"/>
    <w:rsid w:val="00306408"/>
    <w:rsid w:val="00307408"/>
    <w:rsid w:val="003113CF"/>
    <w:rsid w:val="00311D26"/>
    <w:rsid w:val="00313479"/>
    <w:rsid w:val="0031357D"/>
    <w:rsid w:val="003136C1"/>
    <w:rsid w:val="00313BFE"/>
    <w:rsid w:val="00313F6F"/>
    <w:rsid w:val="00313F7F"/>
    <w:rsid w:val="00314280"/>
    <w:rsid w:val="003144C4"/>
    <w:rsid w:val="003147E4"/>
    <w:rsid w:val="00314E32"/>
    <w:rsid w:val="0031538C"/>
    <w:rsid w:val="003156B7"/>
    <w:rsid w:val="00315AF7"/>
    <w:rsid w:val="0031635E"/>
    <w:rsid w:val="003173D4"/>
    <w:rsid w:val="00317D97"/>
    <w:rsid w:val="00317EB3"/>
    <w:rsid w:val="003202E0"/>
    <w:rsid w:val="00320760"/>
    <w:rsid w:val="00320DA1"/>
    <w:rsid w:val="003218D1"/>
    <w:rsid w:val="00321AA5"/>
    <w:rsid w:val="003222FA"/>
    <w:rsid w:val="00323BBC"/>
    <w:rsid w:val="00323C17"/>
    <w:rsid w:val="00323C1B"/>
    <w:rsid w:val="003246A9"/>
    <w:rsid w:val="003251C5"/>
    <w:rsid w:val="003252A5"/>
    <w:rsid w:val="00325918"/>
    <w:rsid w:val="00325A31"/>
    <w:rsid w:val="00326864"/>
    <w:rsid w:val="00326B75"/>
    <w:rsid w:val="00326BA7"/>
    <w:rsid w:val="00327C82"/>
    <w:rsid w:val="00330945"/>
    <w:rsid w:val="003314FD"/>
    <w:rsid w:val="003320FB"/>
    <w:rsid w:val="00332560"/>
    <w:rsid w:val="00332C0B"/>
    <w:rsid w:val="00333095"/>
    <w:rsid w:val="00333301"/>
    <w:rsid w:val="00334702"/>
    <w:rsid w:val="003351D8"/>
    <w:rsid w:val="0033576F"/>
    <w:rsid w:val="00336C76"/>
    <w:rsid w:val="003373B1"/>
    <w:rsid w:val="003373C2"/>
    <w:rsid w:val="00337549"/>
    <w:rsid w:val="0033759A"/>
    <w:rsid w:val="00341378"/>
    <w:rsid w:val="0034178E"/>
    <w:rsid w:val="00341A37"/>
    <w:rsid w:val="00341C24"/>
    <w:rsid w:val="00341CDF"/>
    <w:rsid w:val="00343FE5"/>
    <w:rsid w:val="003448ED"/>
    <w:rsid w:val="00345251"/>
    <w:rsid w:val="00345EEC"/>
    <w:rsid w:val="0034610F"/>
    <w:rsid w:val="003468F2"/>
    <w:rsid w:val="003471BE"/>
    <w:rsid w:val="0035023A"/>
    <w:rsid w:val="003506D5"/>
    <w:rsid w:val="00351C32"/>
    <w:rsid w:val="00351DFB"/>
    <w:rsid w:val="00352985"/>
    <w:rsid w:val="00353210"/>
    <w:rsid w:val="00354145"/>
    <w:rsid w:val="00354311"/>
    <w:rsid w:val="0035455A"/>
    <w:rsid w:val="00355492"/>
    <w:rsid w:val="00355560"/>
    <w:rsid w:val="00355E97"/>
    <w:rsid w:val="00356FA2"/>
    <w:rsid w:val="003579B9"/>
    <w:rsid w:val="003619CE"/>
    <w:rsid w:val="0036225E"/>
    <w:rsid w:val="00362BBB"/>
    <w:rsid w:val="0036364C"/>
    <w:rsid w:val="00363858"/>
    <w:rsid w:val="00363939"/>
    <w:rsid w:val="00363B85"/>
    <w:rsid w:val="003649AB"/>
    <w:rsid w:val="00364E83"/>
    <w:rsid w:val="00365295"/>
    <w:rsid w:val="00365A32"/>
    <w:rsid w:val="00367239"/>
    <w:rsid w:val="003674CC"/>
    <w:rsid w:val="003703D1"/>
    <w:rsid w:val="00370633"/>
    <w:rsid w:val="00371A44"/>
    <w:rsid w:val="003720D8"/>
    <w:rsid w:val="00372466"/>
    <w:rsid w:val="00374E43"/>
    <w:rsid w:val="00374F90"/>
    <w:rsid w:val="003757CE"/>
    <w:rsid w:val="0037675D"/>
    <w:rsid w:val="00376998"/>
    <w:rsid w:val="003778B3"/>
    <w:rsid w:val="003779CF"/>
    <w:rsid w:val="00380399"/>
    <w:rsid w:val="0038085E"/>
    <w:rsid w:val="0038107E"/>
    <w:rsid w:val="00381592"/>
    <w:rsid w:val="00382082"/>
    <w:rsid w:val="003828DE"/>
    <w:rsid w:val="00383B21"/>
    <w:rsid w:val="00386637"/>
    <w:rsid w:val="00386734"/>
    <w:rsid w:val="00386A78"/>
    <w:rsid w:val="00387098"/>
    <w:rsid w:val="00390B7F"/>
    <w:rsid w:val="00391214"/>
    <w:rsid w:val="003917DE"/>
    <w:rsid w:val="00392885"/>
    <w:rsid w:val="00392DDF"/>
    <w:rsid w:val="003948FD"/>
    <w:rsid w:val="00394F87"/>
    <w:rsid w:val="00395591"/>
    <w:rsid w:val="003961B1"/>
    <w:rsid w:val="003971D1"/>
    <w:rsid w:val="00397ADF"/>
    <w:rsid w:val="003A07A1"/>
    <w:rsid w:val="003A0B63"/>
    <w:rsid w:val="003A0FF8"/>
    <w:rsid w:val="003A39D0"/>
    <w:rsid w:val="003A3AA8"/>
    <w:rsid w:val="003A5437"/>
    <w:rsid w:val="003A582B"/>
    <w:rsid w:val="003A5C8A"/>
    <w:rsid w:val="003A685C"/>
    <w:rsid w:val="003A6FF8"/>
    <w:rsid w:val="003A7F94"/>
    <w:rsid w:val="003B2FE8"/>
    <w:rsid w:val="003B36C0"/>
    <w:rsid w:val="003B3AA0"/>
    <w:rsid w:val="003B3C4D"/>
    <w:rsid w:val="003B41A5"/>
    <w:rsid w:val="003B425A"/>
    <w:rsid w:val="003B5403"/>
    <w:rsid w:val="003B5431"/>
    <w:rsid w:val="003B5929"/>
    <w:rsid w:val="003B657A"/>
    <w:rsid w:val="003B73CF"/>
    <w:rsid w:val="003B74F8"/>
    <w:rsid w:val="003C1448"/>
    <w:rsid w:val="003C1BD6"/>
    <w:rsid w:val="003C1CC0"/>
    <w:rsid w:val="003C21EE"/>
    <w:rsid w:val="003C2426"/>
    <w:rsid w:val="003C2842"/>
    <w:rsid w:val="003C2CA0"/>
    <w:rsid w:val="003C30BA"/>
    <w:rsid w:val="003C363B"/>
    <w:rsid w:val="003C50EE"/>
    <w:rsid w:val="003C6BD4"/>
    <w:rsid w:val="003C705A"/>
    <w:rsid w:val="003D2FCA"/>
    <w:rsid w:val="003D3AEA"/>
    <w:rsid w:val="003D3FA7"/>
    <w:rsid w:val="003D598A"/>
    <w:rsid w:val="003D5C5D"/>
    <w:rsid w:val="003D6D06"/>
    <w:rsid w:val="003D70AA"/>
    <w:rsid w:val="003E0BD8"/>
    <w:rsid w:val="003E0DAA"/>
    <w:rsid w:val="003E223B"/>
    <w:rsid w:val="003E2661"/>
    <w:rsid w:val="003E2717"/>
    <w:rsid w:val="003E5028"/>
    <w:rsid w:val="003E5FAA"/>
    <w:rsid w:val="003E6AD2"/>
    <w:rsid w:val="003E730F"/>
    <w:rsid w:val="003E7403"/>
    <w:rsid w:val="003E7D5E"/>
    <w:rsid w:val="003E7E9E"/>
    <w:rsid w:val="003F2674"/>
    <w:rsid w:val="003F26FB"/>
    <w:rsid w:val="003F2733"/>
    <w:rsid w:val="003F38CC"/>
    <w:rsid w:val="003F3B68"/>
    <w:rsid w:val="003F3E57"/>
    <w:rsid w:val="003F4377"/>
    <w:rsid w:val="003F4734"/>
    <w:rsid w:val="003F47B3"/>
    <w:rsid w:val="003F5477"/>
    <w:rsid w:val="003F550D"/>
    <w:rsid w:val="003F5794"/>
    <w:rsid w:val="003F5A1F"/>
    <w:rsid w:val="003F6600"/>
    <w:rsid w:val="003F6707"/>
    <w:rsid w:val="003F67E8"/>
    <w:rsid w:val="003F68D2"/>
    <w:rsid w:val="003F7163"/>
    <w:rsid w:val="003F786F"/>
    <w:rsid w:val="003F7E28"/>
    <w:rsid w:val="004002A1"/>
    <w:rsid w:val="004006F1"/>
    <w:rsid w:val="004007D8"/>
    <w:rsid w:val="00401047"/>
    <w:rsid w:val="0040144A"/>
    <w:rsid w:val="0040194C"/>
    <w:rsid w:val="00401A13"/>
    <w:rsid w:val="00403774"/>
    <w:rsid w:val="00403869"/>
    <w:rsid w:val="00404610"/>
    <w:rsid w:val="004046C5"/>
    <w:rsid w:val="00404B2C"/>
    <w:rsid w:val="00406371"/>
    <w:rsid w:val="0040698A"/>
    <w:rsid w:val="00406DD4"/>
    <w:rsid w:val="004103F3"/>
    <w:rsid w:val="004109FA"/>
    <w:rsid w:val="00411E9E"/>
    <w:rsid w:val="00412D0D"/>
    <w:rsid w:val="0041398B"/>
    <w:rsid w:val="00413AA6"/>
    <w:rsid w:val="004140C6"/>
    <w:rsid w:val="00414B69"/>
    <w:rsid w:val="004150CF"/>
    <w:rsid w:val="00415BAD"/>
    <w:rsid w:val="004162ED"/>
    <w:rsid w:val="00416D3D"/>
    <w:rsid w:val="004170CE"/>
    <w:rsid w:val="00417D2D"/>
    <w:rsid w:val="00417FBB"/>
    <w:rsid w:val="00420385"/>
    <w:rsid w:val="00421968"/>
    <w:rsid w:val="004233DC"/>
    <w:rsid w:val="0042392F"/>
    <w:rsid w:val="00423DC9"/>
    <w:rsid w:val="004240D5"/>
    <w:rsid w:val="00424A47"/>
    <w:rsid w:val="00424AA2"/>
    <w:rsid w:val="00424B08"/>
    <w:rsid w:val="00425380"/>
    <w:rsid w:val="00425A1D"/>
    <w:rsid w:val="00425D1B"/>
    <w:rsid w:val="0042667D"/>
    <w:rsid w:val="0042752D"/>
    <w:rsid w:val="00427F74"/>
    <w:rsid w:val="0043059D"/>
    <w:rsid w:val="00430CC0"/>
    <w:rsid w:val="00430FC1"/>
    <w:rsid w:val="004314ED"/>
    <w:rsid w:val="00431B9C"/>
    <w:rsid w:val="00431DFC"/>
    <w:rsid w:val="0043279C"/>
    <w:rsid w:val="00432BAE"/>
    <w:rsid w:val="00433137"/>
    <w:rsid w:val="004333B1"/>
    <w:rsid w:val="004341CF"/>
    <w:rsid w:val="00434F59"/>
    <w:rsid w:val="00435F48"/>
    <w:rsid w:val="0043612A"/>
    <w:rsid w:val="00436805"/>
    <w:rsid w:val="00437348"/>
    <w:rsid w:val="004379B8"/>
    <w:rsid w:val="00437CEF"/>
    <w:rsid w:val="00440A24"/>
    <w:rsid w:val="0044218D"/>
    <w:rsid w:val="004421AE"/>
    <w:rsid w:val="004426FB"/>
    <w:rsid w:val="00443101"/>
    <w:rsid w:val="0044325C"/>
    <w:rsid w:val="0044406A"/>
    <w:rsid w:val="004445C4"/>
    <w:rsid w:val="00444788"/>
    <w:rsid w:val="00444962"/>
    <w:rsid w:val="004457D2"/>
    <w:rsid w:val="004459D9"/>
    <w:rsid w:val="00446E29"/>
    <w:rsid w:val="0045039A"/>
    <w:rsid w:val="004506E2"/>
    <w:rsid w:val="004510FD"/>
    <w:rsid w:val="004533F3"/>
    <w:rsid w:val="00453820"/>
    <w:rsid w:val="0045390C"/>
    <w:rsid w:val="00454275"/>
    <w:rsid w:val="00454B64"/>
    <w:rsid w:val="00454E38"/>
    <w:rsid w:val="004553AC"/>
    <w:rsid w:val="0045543E"/>
    <w:rsid w:val="004556FD"/>
    <w:rsid w:val="00455A26"/>
    <w:rsid w:val="00455D6F"/>
    <w:rsid w:val="004560DF"/>
    <w:rsid w:val="00457D63"/>
    <w:rsid w:val="00460B09"/>
    <w:rsid w:val="00462272"/>
    <w:rsid w:val="00462858"/>
    <w:rsid w:val="00463497"/>
    <w:rsid w:val="004647BF"/>
    <w:rsid w:val="00464C23"/>
    <w:rsid w:val="00464E3E"/>
    <w:rsid w:val="00466ED9"/>
    <w:rsid w:val="00467278"/>
    <w:rsid w:val="0046795B"/>
    <w:rsid w:val="00467AAD"/>
    <w:rsid w:val="00467C9E"/>
    <w:rsid w:val="00470300"/>
    <w:rsid w:val="004705AF"/>
    <w:rsid w:val="0047091C"/>
    <w:rsid w:val="00471F86"/>
    <w:rsid w:val="004727FD"/>
    <w:rsid w:val="004730B0"/>
    <w:rsid w:val="00473487"/>
    <w:rsid w:val="00474375"/>
    <w:rsid w:val="00474B8B"/>
    <w:rsid w:val="00474C11"/>
    <w:rsid w:val="00474D59"/>
    <w:rsid w:val="004753DA"/>
    <w:rsid w:val="00475805"/>
    <w:rsid w:val="00475C6D"/>
    <w:rsid w:val="00475F1E"/>
    <w:rsid w:val="00476E58"/>
    <w:rsid w:val="00480893"/>
    <w:rsid w:val="00480947"/>
    <w:rsid w:val="00481163"/>
    <w:rsid w:val="00481512"/>
    <w:rsid w:val="00481699"/>
    <w:rsid w:val="0048169F"/>
    <w:rsid w:val="00481787"/>
    <w:rsid w:val="00481E54"/>
    <w:rsid w:val="004824B0"/>
    <w:rsid w:val="004829AA"/>
    <w:rsid w:val="00482C9A"/>
    <w:rsid w:val="00482F03"/>
    <w:rsid w:val="00483F48"/>
    <w:rsid w:val="00484382"/>
    <w:rsid w:val="004847D5"/>
    <w:rsid w:val="00484B2E"/>
    <w:rsid w:val="00485163"/>
    <w:rsid w:val="00485D8E"/>
    <w:rsid w:val="0048625D"/>
    <w:rsid w:val="00486D27"/>
    <w:rsid w:val="00487BED"/>
    <w:rsid w:val="00487EEB"/>
    <w:rsid w:val="00487EEC"/>
    <w:rsid w:val="00490CAB"/>
    <w:rsid w:val="00490F42"/>
    <w:rsid w:val="0049134D"/>
    <w:rsid w:val="00492A85"/>
    <w:rsid w:val="00492B36"/>
    <w:rsid w:val="00492E6B"/>
    <w:rsid w:val="00492F0B"/>
    <w:rsid w:val="00492F65"/>
    <w:rsid w:val="004932DA"/>
    <w:rsid w:val="00494CD1"/>
    <w:rsid w:val="004955DC"/>
    <w:rsid w:val="00495BC2"/>
    <w:rsid w:val="004968BD"/>
    <w:rsid w:val="00496A28"/>
    <w:rsid w:val="00497419"/>
    <w:rsid w:val="00497BDB"/>
    <w:rsid w:val="00497E8C"/>
    <w:rsid w:val="004A05B7"/>
    <w:rsid w:val="004A08B3"/>
    <w:rsid w:val="004A0C8B"/>
    <w:rsid w:val="004A1591"/>
    <w:rsid w:val="004A23F2"/>
    <w:rsid w:val="004A2952"/>
    <w:rsid w:val="004A33E0"/>
    <w:rsid w:val="004A3697"/>
    <w:rsid w:val="004A3E37"/>
    <w:rsid w:val="004A3EA8"/>
    <w:rsid w:val="004A4ADB"/>
    <w:rsid w:val="004A50FE"/>
    <w:rsid w:val="004A5715"/>
    <w:rsid w:val="004A64F9"/>
    <w:rsid w:val="004A6980"/>
    <w:rsid w:val="004A6A32"/>
    <w:rsid w:val="004A79E3"/>
    <w:rsid w:val="004A7F98"/>
    <w:rsid w:val="004B24C9"/>
    <w:rsid w:val="004B2C60"/>
    <w:rsid w:val="004B2E70"/>
    <w:rsid w:val="004B3998"/>
    <w:rsid w:val="004B3B87"/>
    <w:rsid w:val="004B3CAB"/>
    <w:rsid w:val="004B3F30"/>
    <w:rsid w:val="004B4915"/>
    <w:rsid w:val="004B49B6"/>
    <w:rsid w:val="004B4AE5"/>
    <w:rsid w:val="004B77D2"/>
    <w:rsid w:val="004C12BC"/>
    <w:rsid w:val="004C1902"/>
    <w:rsid w:val="004C1C29"/>
    <w:rsid w:val="004C264F"/>
    <w:rsid w:val="004C2E85"/>
    <w:rsid w:val="004C37C4"/>
    <w:rsid w:val="004C37FA"/>
    <w:rsid w:val="004C3924"/>
    <w:rsid w:val="004C3F68"/>
    <w:rsid w:val="004C4C3F"/>
    <w:rsid w:val="004C4F7F"/>
    <w:rsid w:val="004C6583"/>
    <w:rsid w:val="004C699D"/>
    <w:rsid w:val="004C79A6"/>
    <w:rsid w:val="004D03E5"/>
    <w:rsid w:val="004D1A93"/>
    <w:rsid w:val="004D1E03"/>
    <w:rsid w:val="004D2377"/>
    <w:rsid w:val="004D27F1"/>
    <w:rsid w:val="004D5811"/>
    <w:rsid w:val="004D59E8"/>
    <w:rsid w:val="004D5A47"/>
    <w:rsid w:val="004D5A95"/>
    <w:rsid w:val="004D5B77"/>
    <w:rsid w:val="004D6CCD"/>
    <w:rsid w:val="004D6D1E"/>
    <w:rsid w:val="004D6F64"/>
    <w:rsid w:val="004E0B3F"/>
    <w:rsid w:val="004E3133"/>
    <w:rsid w:val="004E327F"/>
    <w:rsid w:val="004E35A3"/>
    <w:rsid w:val="004E3683"/>
    <w:rsid w:val="004E4CDC"/>
    <w:rsid w:val="004E4E12"/>
    <w:rsid w:val="004E5679"/>
    <w:rsid w:val="004E58C0"/>
    <w:rsid w:val="004E5963"/>
    <w:rsid w:val="004E6DB7"/>
    <w:rsid w:val="004E751E"/>
    <w:rsid w:val="004F0EB8"/>
    <w:rsid w:val="004F3F9C"/>
    <w:rsid w:val="004F43A6"/>
    <w:rsid w:val="004F44A0"/>
    <w:rsid w:val="004F49F8"/>
    <w:rsid w:val="004F4AC6"/>
    <w:rsid w:val="004F536F"/>
    <w:rsid w:val="004F5AA6"/>
    <w:rsid w:val="004F5E02"/>
    <w:rsid w:val="004F6389"/>
    <w:rsid w:val="004F6B44"/>
    <w:rsid w:val="004F7189"/>
    <w:rsid w:val="004F7A89"/>
    <w:rsid w:val="004F7CD1"/>
    <w:rsid w:val="00500408"/>
    <w:rsid w:val="00500B43"/>
    <w:rsid w:val="00501163"/>
    <w:rsid w:val="00501878"/>
    <w:rsid w:val="005028A8"/>
    <w:rsid w:val="00503D64"/>
    <w:rsid w:val="0050484A"/>
    <w:rsid w:val="00504E14"/>
    <w:rsid w:val="005050A8"/>
    <w:rsid w:val="00505B3E"/>
    <w:rsid w:val="005100DC"/>
    <w:rsid w:val="00511238"/>
    <w:rsid w:val="00511A72"/>
    <w:rsid w:val="005127B3"/>
    <w:rsid w:val="00512A74"/>
    <w:rsid w:val="00513194"/>
    <w:rsid w:val="00513895"/>
    <w:rsid w:val="00513A0B"/>
    <w:rsid w:val="005141DC"/>
    <w:rsid w:val="005144BF"/>
    <w:rsid w:val="005148DD"/>
    <w:rsid w:val="00514BAF"/>
    <w:rsid w:val="00514CF8"/>
    <w:rsid w:val="00514E0B"/>
    <w:rsid w:val="00515B02"/>
    <w:rsid w:val="00515D03"/>
    <w:rsid w:val="00516032"/>
    <w:rsid w:val="00516E08"/>
    <w:rsid w:val="0051790A"/>
    <w:rsid w:val="00517BFF"/>
    <w:rsid w:val="0052008A"/>
    <w:rsid w:val="00520398"/>
    <w:rsid w:val="00521582"/>
    <w:rsid w:val="005215D1"/>
    <w:rsid w:val="00521CA6"/>
    <w:rsid w:val="00522078"/>
    <w:rsid w:val="0052217E"/>
    <w:rsid w:val="0052293E"/>
    <w:rsid w:val="00522A2C"/>
    <w:rsid w:val="005239EE"/>
    <w:rsid w:val="00523AE3"/>
    <w:rsid w:val="005241EE"/>
    <w:rsid w:val="00524457"/>
    <w:rsid w:val="00524496"/>
    <w:rsid w:val="005245FA"/>
    <w:rsid w:val="00524B82"/>
    <w:rsid w:val="00524F05"/>
    <w:rsid w:val="0053035D"/>
    <w:rsid w:val="00530C70"/>
    <w:rsid w:val="00532553"/>
    <w:rsid w:val="005325AF"/>
    <w:rsid w:val="00532DBE"/>
    <w:rsid w:val="005330B7"/>
    <w:rsid w:val="00533609"/>
    <w:rsid w:val="00534A9B"/>
    <w:rsid w:val="005350EA"/>
    <w:rsid w:val="005353B3"/>
    <w:rsid w:val="00536749"/>
    <w:rsid w:val="005369E3"/>
    <w:rsid w:val="0053714E"/>
    <w:rsid w:val="00540C5B"/>
    <w:rsid w:val="00540EDB"/>
    <w:rsid w:val="005410DB"/>
    <w:rsid w:val="005417EC"/>
    <w:rsid w:val="005433D9"/>
    <w:rsid w:val="00543CFC"/>
    <w:rsid w:val="00544143"/>
    <w:rsid w:val="00544625"/>
    <w:rsid w:val="00545F56"/>
    <w:rsid w:val="005460B0"/>
    <w:rsid w:val="00546275"/>
    <w:rsid w:val="00546993"/>
    <w:rsid w:val="00546CCE"/>
    <w:rsid w:val="005475F9"/>
    <w:rsid w:val="005478D4"/>
    <w:rsid w:val="0054792C"/>
    <w:rsid w:val="00547EDA"/>
    <w:rsid w:val="005505AC"/>
    <w:rsid w:val="005505FF"/>
    <w:rsid w:val="00550864"/>
    <w:rsid w:val="00551AB8"/>
    <w:rsid w:val="005524C6"/>
    <w:rsid w:val="00552AEE"/>
    <w:rsid w:val="00553A7B"/>
    <w:rsid w:val="00554F0B"/>
    <w:rsid w:val="005555A1"/>
    <w:rsid w:val="00555982"/>
    <w:rsid w:val="005564F4"/>
    <w:rsid w:val="00557182"/>
    <w:rsid w:val="0056187E"/>
    <w:rsid w:val="00561B53"/>
    <w:rsid w:val="00562030"/>
    <w:rsid w:val="005626CB"/>
    <w:rsid w:val="00562D01"/>
    <w:rsid w:val="00564205"/>
    <w:rsid w:val="00565144"/>
    <w:rsid w:val="00565433"/>
    <w:rsid w:val="00565CE1"/>
    <w:rsid w:val="005666B2"/>
    <w:rsid w:val="0056675B"/>
    <w:rsid w:val="0056690C"/>
    <w:rsid w:val="00566C06"/>
    <w:rsid w:val="00570167"/>
    <w:rsid w:val="00570FB1"/>
    <w:rsid w:val="0057175D"/>
    <w:rsid w:val="00572627"/>
    <w:rsid w:val="005739F3"/>
    <w:rsid w:val="00573C02"/>
    <w:rsid w:val="00573C5F"/>
    <w:rsid w:val="005755D9"/>
    <w:rsid w:val="005758EE"/>
    <w:rsid w:val="00575D7C"/>
    <w:rsid w:val="00576C82"/>
    <w:rsid w:val="00576DCD"/>
    <w:rsid w:val="00577F2B"/>
    <w:rsid w:val="00580F55"/>
    <w:rsid w:val="00581B96"/>
    <w:rsid w:val="00582664"/>
    <w:rsid w:val="00582AB6"/>
    <w:rsid w:val="00582F4A"/>
    <w:rsid w:val="00584354"/>
    <w:rsid w:val="00584F34"/>
    <w:rsid w:val="00585C36"/>
    <w:rsid w:val="00585DD6"/>
    <w:rsid w:val="00585E10"/>
    <w:rsid w:val="00590E83"/>
    <w:rsid w:val="005915CD"/>
    <w:rsid w:val="00591B07"/>
    <w:rsid w:val="005926EC"/>
    <w:rsid w:val="00592914"/>
    <w:rsid w:val="00592B8E"/>
    <w:rsid w:val="00592C98"/>
    <w:rsid w:val="00592D79"/>
    <w:rsid w:val="00594E27"/>
    <w:rsid w:val="00595512"/>
    <w:rsid w:val="005964A1"/>
    <w:rsid w:val="005967C8"/>
    <w:rsid w:val="00597471"/>
    <w:rsid w:val="00597FEE"/>
    <w:rsid w:val="005A0089"/>
    <w:rsid w:val="005A07D6"/>
    <w:rsid w:val="005A0C2B"/>
    <w:rsid w:val="005A17DA"/>
    <w:rsid w:val="005A1962"/>
    <w:rsid w:val="005A2346"/>
    <w:rsid w:val="005A26DB"/>
    <w:rsid w:val="005A2F26"/>
    <w:rsid w:val="005A420B"/>
    <w:rsid w:val="005A4274"/>
    <w:rsid w:val="005A49D5"/>
    <w:rsid w:val="005A5784"/>
    <w:rsid w:val="005A5DD3"/>
    <w:rsid w:val="005A7557"/>
    <w:rsid w:val="005B01A6"/>
    <w:rsid w:val="005B028E"/>
    <w:rsid w:val="005B044B"/>
    <w:rsid w:val="005B0AC0"/>
    <w:rsid w:val="005B0FC6"/>
    <w:rsid w:val="005B11E9"/>
    <w:rsid w:val="005B171C"/>
    <w:rsid w:val="005B2F06"/>
    <w:rsid w:val="005B380D"/>
    <w:rsid w:val="005B5002"/>
    <w:rsid w:val="005B593A"/>
    <w:rsid w:val="005B68A2"/>
    <w:rsid w:val="005B7021"/>
    <w:rsid w:val="005C2004"/>
    <w:rsid w:val="005C205F"/>
    <w:rsid w:val="005C365E"/>
    <w:rsid w:val="005C3715"/>
    <w:rsid w:val="005C4114"/>
    <w:rsid w:val="005C4659"/>
    <w:rsid w:val="005C48DB"/>
    <w:rsid w:val="005C4D44"/>
    <w:rsid w:val="005C577E"/>
    <w:rsid w:val="005C65E0"/>
    <w:rsid w:val="005C6722"/>
    <w:rsid w:val="005C7271"/>
    <w:rsid w:val="005C73EF"/>
    <w:rsid w:val="005C7634"/>
    <w:rsid w:val="005D20DD"/>
    <w:rsid w:val="005D23B1"/>
    <w:rsid w:val="005D27DF"/>
    <w:rsid w:val="005D28B5"/>
    <w:rsid w:val="005D2B68"/>
    <w:rsid w:val="005D2DB9"/>
    <w:rsid w:val="005D310B"/>
    <w:rsid w:val="005D4FA9"/>
    <w:rsid w:val="005D567B"/>
    <w:rsid w:val="005D6700"/>
    <w:rsid w:val="005D696E"/>
    <w:rsid w:val="005D6BDC"/>
    <w:rsid w:val="005D6BDF"/>
    <w:rsid w:val="005D6D6F"/>
    <w:rsid w:val="005E07FE"/>
    <w:rsid w:val="005E0C85"/>
    <w:rsid w:val="005E172E"/>
    <w:rsid w:val="005E29EE"/>
    <w:rsid w:val="005E31E8"/>
    <w:rsid w:val="005E324F"/>
    <w:rsid w:val="005E3454"/>
    <w:rsid w:val="005E368E"/>
    <w:rsid w:val="005E37A2"/>
    <w:rsid w:val="005E3D2D"/>
    <w:rsid w:val="005E45B3"/>
    <w:rsid w:val="005E4840"/>
    <w:rsid w:val="005E4AC5"/>
    <w:rsid w:val="005E4D5E"/>
    <w:rsid w:val="005E5E73"/>
    <w:rsid w:val="005E5E89"/>
    <w:rsid w:val="005E62D1"/>
    <w:rsid w:val="005E701F"/>
    <w:rsid w:val="005E7D6E"/>
    <w:rsid w:val="005E7EFD"/>
    <w:rsid w:val="005F144E"/>
    <w:rsid w:val="005F2136"/>
    <w:rsid w:val="005F3142"/>
    <w:rsid w:val="005F3403"/>
    <w:rsid w:val="005F3A50"/>
    <w:rsid w:val="005F3C8A"/>
    <w:rsid w:val="005F3CDB"/>
    <w:rsid w:val="005F4287"/>
    <w:rsid w:val="005F444E"/>
    <w:rsid w:val="005F4A5F"/>
    <w:rsid w:val="005F4C87"/>
    <w:rsid w:val="005F4CB1"/>
    <w:rsid w:val="005F5493"/>
    <w:rsid w:val="005F61C7"/>
    <w:rsid w:val="005F6A29"/>
    <w:rsid w:val="005F6A5C"/>
    <w:rsid w:val="005F7010"/>
    <w:rsid w:val="005F7160"/>
    <w:rsid w:val="005F763F"/>
    <w:rsid w:val="005F7934"/>
    <w:rsid w:val="005F7D64"/>
    <w:rsid w:val="0060056A"/>
    <w:rsid w:val="00600711"/>
    <w:rsid w:val="00600B2C"/>
    <w:rsid w:val="00602217"/>
    <w:rsid w:val="0060225A"/>
    <w:rsid w:val="006030F7"/>
    <w:rsid w:val="00604B6D"/>
    <w:rsid w:val="00604B89"/>
    <w:rsid w:val="006055F3"/>
    <w:rsid w:val="00605EA9"/>
    <w:rsid w:val="00606BD6"/>
    <w:rsid w:val="006078C6"/>
    <w:rsid w:val="00610EB5"/>
    <w:rsid w:val="00610EC8"/>
    <w:rsid w:val="006110AA"/>
    <w:rsid w:val="006122D4"/>
    <w:rsid w:val="00612555"/>
    <w:rsid w:val="00612EB3"/>
    <w:rsid w:val="00612FFA"/>
    <w:rsid w:val="006162D2"/>
    <w:rsid w:val="00616B8A"/>
    <w:rsid w:val="00616EF5"/>
    <w:rsid w:val="00617EDF"/>
    <w:rsid w:val="00621559"/>
    <w:rsid w:val="00621BE7"/>
    <w:rsid w:val="006221BD"/>
    <w:rsid w:val="006223F5"/>
    <w:rsid w:val="006237FD"/>
    <w:rsid w:val="00624012"/>
    <w:rsid w:val="00624324"/>
    <w:rsid w:val="006248CB"/>
    <w:rsid w:val="0062531F"/>
    <w:rsid w:val="006255E2"/>
    <w:rsid w:val="00625F08"/>
    <w:rsid w:val="006262B1"/>
    <w:rsid w:val="00626755"/>
    <w:rsid w:val="00626B9C"/>
    <w:rsid w:val="00627016"/>
    <w:rsid w:val="00627300"/>
    <w:rsid w:val="006276F2"/>
    <w:rsid w:val="0063170B"/>
    <w:rsid w:val="00631ED8"/>
    <w:rsid w:val="006327B6"/>
    <w:rsid w:val="00633582"/>
    <w:rsid w:val="0063364D"/>
    <w:rsid w:val="006345E7"/>
    <w:rsid w:val="00634A82"/>
    <w:rsid w:val="00635752"/>
    <w:rsid w:val="006357B8"/>
    <w:rsid w:val="006361AC"/>
    <w:rsid w:val="00637D8F"/>
    <w:rsid w:val="006418C6"/>
    <w:rsid w:val="006419ED"/>
    <w:rsid w:val="00641AD2"/>
    <w:rsid w:val="006430DF"/>
    <w:rsid w:val="006446DC"/>
    <w:rsid w:val="0064493D"/>
    <w:rsid w:val="00644AFA"/>
    <w:rsid w:val="0064541D"/>
    <w:rsid w:val="00645C41"/>
    <w:rsid w:val="0064615D"/>
    <w:rsid w:val="00646BFB"/>
    <w:rsid w:val="00647041"/>
    <w:rsid w:val="006473D6"/>
    <w:rsid w:val="00647537"/>
    <w:rsid w:val="00650704"/>
    <w:rsid w:val="0065072E"/>
    <w:rsid w:val="0065116E"/>
    <w:rsid w:val="00651488"/>
    <w:rsid w:val="00651FB2"/>
    <w:rsid w:val="00652E75"/>
    <w:rsid w:val="006532DD"/>
    <w:rsid w:val="00653CC1"/>
    <w:rsid w:val="00654A3D"/>
    <w:rsid w:val="00655617"/>
    <w:rsid w:val="00655BD4"/>
    <w:rsid w:val="00655E4F"/>
    <w:rsid w:val="006561A7"/>
    <w:rsid w:val="006561E5"/>
    <w:rsid w:val="0065640E"/>
    <w:rsid w:val="006578FF"/>
    <w:rsid w:val="00657E73"/>
    <w:rsid w:val="00660019"/>
    <w:rsid w:val="006614CE"/>
    <w:rsid w:val="0066256C"/>
    <w:rsid w:val="00662622"/>
    <w:rsid w:val="00662661"/>
    <w:rsid w:val="00662954"/>
    <w:rsid w:val="0066308E"/>
    <w:rsid w:val="00663303"/>
    <w:rsid w:val="00664287"/>
    <w:rsid w:val="006644B6"/>
    <w:rsid w:val="0066541D"/>
    <w:rsid w:val="00665E1F"/>
    <w:rsid w:val="006663DC"/>
    <w:rsid w:val="006664BA"/>
    <w:rsid w:val="00666F38"/>
    <w:rsid w:val="00667C2E"/>
    <w:rsid w:val="00670312"/>
    <w:rsid w:val="00670665"/>
    <w:rsid w:val="00672440"/>
    <w:rsid w:val="006743D7"/>
    <w:rsid w:val="00674CD0"/>
    <w:rsid w:val="00674F7D"/>
    <w:rsid w:val="006757B6"/>
    <w:rsid w:val="00675903"/>
    <w:rsid w:val="00675E0F"/>
    <w:rsid w:val="00676A7E"/>
    <w:rsid w:val="00676B0D"/>
    <w:rsid w:val="00677F21"/>
    <w:rsid w:val="0068044A"/>
    <w:rsid w:val="00680500"/>
    <w:rsid w:val="0068058A"/>
    <w:rsid w:val="006812B2"/>
    <w:rsid w:val="00681CD5"/>
    <w:rsid w:val="00682623"/>
    <w:rsid w:val="00682765"/>
    <w:rsid w:val="00683585"/>
    <w:rsid w:val="00685158"/>
    <w:rsid w:val="00686F89"/>
    <w:rsid w:val="00686FE0"/>
    <w:rsid w:val="006870A6"/>
    <w:rsid w:val="0069058F"/>
    <w:rsid w:val="00690EA8"/>
    <w:rsid w:val="00691ABA"/>
    <w:rsid w:val="00691BDD"/>
    <w:rsid w:val="00692006"/>
    <w:rsid w:val="006920D2"/>
    <w:rsid w:val="006923C8"/>
    <w:rsid w:val="006925BF"/>
    <w:rsid w:val="00693CA6"/>
    <w:rsid w:val="0069416F"/>
    <w:rsid w:val="00695048"/>
    <w:rsid w:val="00695603"/>
    <w:rsid w:val="006957D3"/>
    <w:rsid w:val="0069714C"/>
    <w:rsid w:val="00697435"/>
    <w:rsid w:val="00697747"/>
    <w:rsid w:val="0069790A"/>
    <w:rsid w:val="006A050E"/>
    <w:rsid w:val="006A06C3"/>
    <w:rsid w:val="006A1572"/>
    <w:rsid w:val="006A2224"/>
    <w:rsid w:val="006A2377"/>
    <w:rsid w:val="006A3BB1"/>
    <w:rsid w:val="006A425B"/>
    <w:rsid w:val="006A4274"/>
    <w:rsid w:val="006A4445"/>
    <w:rsid w:val="006A4599"/>
    <w:rsid w:val="006A45C8"/>
    <w:rsid w:val="006A4997"/>
    <w:rsid w:val="006A530E"/>
    <w:rsid w:val="006A57EC"/>
    <w:rsid w:val="006A7CC1"/>
    <w:rsid w:val="006B18FD"/>
    <w:rsid w:val="006B2508"/>
    <w:rsid w:val="006B29FA"/>
    <w:rsid w:val="006B321E"/>
    <w:rsid w:val="006B37C6"/>
    <w:rsid w:val="006B3B1D"/>
    <w:rsid w:val="006B46F4"/>
    <w:rsid w:val="006B5FE3"/>
    <w:rsid w:val="006B7A51"/>
    <w:rsid w:val="006B7C5F"/>
    <w:rsid w:val="006C12A2"/>
    <w:rsid w:val="006C1C63"/>
    <w:rsid w:val="006C1FFB"/>
    <w:rsid w:val="006C256A"/>
    <w:rsid w:val="006C2C68"/>
    <w:rsid w:val="006C3A7A"/>
    <w:rsid w:val="006C4077"/>
    <w:rsid w:val="006C4CF0"/>
    <w:rsid w:val="006C6D3F"/>
    <w:rsid w:val="006C716B"/>
    <w:rsid w:val="006C74AC"/>
    <w:rsid w:val="006D1015"/>
    <w:rsid w:val="006D1122"/>
    <w:rsid w:val="006D234F"/>
    <w:rsid w:val="006D27C1"/>
    <w:rsid w:val="006D29FE"/>
    <w:rsid w:val="006D2C9C"/>
    <w:rsid w:val="006D3D4B"/>
    <w:rsid w:val="006D3F94"/>
    <w:rsid w:val="006D50C2"/>
    <w:rsid w:val="006D5B6A"/>
    <w:rsid w:val="006D6B78"/>
    <w:rsid w:val="006D746D"/>
    <w:rsid w:val="006D7EA4"/>
    <w:rsid w:val="006E0AA3"/>
    <w:rsid w:val="006E16DB"/>
    <w:rsid w:val="006E1A8A"/>
    <w:rsid w:val="006E1E68"/>
    <w:rsid w:val="006E20A8"/>
    <w:rsid w:val="006E212D"/>
    <w:rsid w:val="006E22AD"/>
    <w:rsid w:val="006E2F2B"/>
    <w:rsid w:val="006E3069"/>
    <w:rsid w:val="006E3904"/>
    <w:rsid w:val="006E3A6C"/>
    <w:rsid w:val="006E42F3"/>
    <w:rsid w:val="006E48F8"/>
    <w:rsid w:val="006E4F80"/>
    <w:rsid w:val="006E51F3"/>
    <w:rsid w:val="006E5797"/>
    <w:rsid w:val="006E58A6"/>
    <w:rsid w:val="006E7462"/>
    <w:rsid w:val="006F0F55"/>
    <w:rsid w:val="006F1CD5"/>
    <w:rsid w:val="006F27FA"/>
    <w:rsid w:val="006F3C09"/>
    <w:rsid w:val="006F4035"/>
    <w:rsid w:val="006F5797"/>
    <w:rsid w:val="006F5BA5"/>
    <w:rsid w:val="00700065"/>
    <w:rsid w:val="00700080"/>
    <w:rsid w:val="0070055F"/>
    <w:rsid w:val="007009F9"/>
    <w:rsid w:val="00700E35"/>
    <w:rsid w:val="00701AF3"/>
    <w:rsid w:val="00703604"/>
    <w:rsid w:val="00703A9F"/>
    <w:rsid w:val="007047D8"/>
    <w:rsid w:val="00706F37"/>
    <w:rsid w:val="00706F6A"/>
    <w:rsid w:val="007075A8"/>
    <w:rsid w:val="007075E4"/>
    <w:rsid w:val="00710088"/>
    <w:rsid w:val="007107AC"/>
    <w:rsid w:val="0071215E"/>
    <w:rsid w:val="00712236"/>
    <w:rsid w:val="00714C17"/>
    <w:rsid w:val="00715C6E"/>
    <w:rsid w:val="007178BB"/>
    <w:rsid w:val="007178C1"/>
    <w:rsid w:val="00717A0E"/>
    <w:rsid w:val="00717A14"/>
    <w:rsid w:val="00717AF6"/>
    <w:rsid w:val="007206B8"/>
    <w:rsid w:val="00720B14"/>
    <w:rsid w:val="00721126"/>
    <w:rsid w:val="00721620"/>
    <w:rsid w:val="00722D26"/>
    <w:rsid w:val="00722DC0"/>
    <w:rsid w:val="007230C3"/>
    <w:rsid w:val="0072310B"/>
    <w:rsid w:val="007236B5"/>
    <w:rsid w:val="00723A39"/>
    <w:rsid w:val="00723E96"/>
    <w:rsid w:val="00724DE6"/>
    <w:rsid w:val="007252A8"/>
    <w:rsid w:val="00725350"/>
    <w:rsid w:val="00725F04"/>
    <w:rsid w:val="0072613C"/>
    <w:rsid w:val="00726230"/>
    <w:rsid w:val="00726376"/>
    <w:rsid w:val="00726742"/>
    <w:rsid w:val="00726C08"/>
    <w:rsid w:val="0072715B"/>
    <w:rsid w:val="007278FD"/>
    <w:rsid w:val="007279A9"/>
    <w:rsid w:val="0073073C"/>
    <w:rsid w:val="007308DE"/>
    <w:rsid w:val="00730AE5"/>
    <w:rsid w:val="00731650"/>
    <w:rsid w:val="00731749"/>
    <w:rsid w:val="007319A3"/>
    <w:rsid w:val="00732DF7"/>
    <w:rsid w:val="007340CB"/>
    <w:rsid w:val="007344A2"/>
    <w:rsid w:val="0073483A"/>
    <w:rsid w:val="00734DB9"/>
    <w:rsid w:val="00734E3E"/>
    <w:rsid w:val="0073564D"/>
    <w:rsid w:val="007356CE"/>
    <w:rsid w:val="00735B12"/>
    <w:rsid w:val="007362EF"/>
    <w:rsid w:val="007369C9"/>
    <w:rsid w:val="007379D1"/>
    <w:rsid w:val="00737CB6"/>
    <w:rsid w:val="007408AB"/>
    <w:rsid w:val="007408FA"/>
    <w:rsid w:val="00740DCE"/>
    <w:rsid w:val="00741067"/>
    <w:rsid w:val="00741A04"/>
    <w:rsid w:val="00743692"/>
    <w:rsid w:val="00744051"/>
    <w:rsid w:val="007454AB"/>
    <w:rsid w:val="00745582"/>
    <w:rsid w:val="0074676A"/>
    <w:rsid w:val="00746D2B"/>
    <w:rsid w:val="00746D4D"/>
    <w:rsid w:val="00747840"/>
    <w:rsid w:val="00747B11"/>
    <w:rsid w:val="0075042E"/>
    <w:rsid w:val="007506C1"/>
    <w:rsid w:val="007507A3"/>
    <w:rsid w:val="0075229A"/>
    <w:rsid w:val="00752AA2"/>
    <w:rsid w:val="00752AD0"/>
    <w:rsid w:val="00753A86"/>
    <w:rsid w:val="00753CA6"/>
    <w:rsid w:val="00755783"/>
    <w:rsid w:val="00757DD0"/>
    <w:rsid w:val="00757E18"/>
    <w:rsid w:val="00760011"/>
    <w:rsid w:val="007608D6"/>
    <w:rsid w:val="007612A2"/>
    <w:rsid w:val="00762D15"/>
    <w:rsid w:val="00764478"/>
    <w:rsid w:val="0076469F"/>
    <w:rsid w:val="007649EB"/>
    <w:rsid w:val="0076587E"/>
    <w:rsid w:val="00765FCF"/>
    <w:rsid w:val="007663C7"/>
    <w:rsid w:val="007675FD"/>
    <w:rsid w:val="00770E71"/>
    <w:rsid w:val="00771278"/>
    <w:rsid w:val="0077147E"/>
    <w:rsid w:val="00771F60"/>
    <w:rsid w:val="00772CDE"/>
    <w:rsid w:val="00772EE9"/>
    <w:rsid w:val="00772FD3"/>
    <w:rsid w:val="007732BB"/>
    <w:rsid w:val="007736B8"/>
    <w:rsid w:val="00773CD6"/>
    <w:rsid w:val="00773DBA"/>
    <w:rsid w:val="00774EF7"/>
    <w:rsid w:val="00774F0D"/>
    <w:rsid w:val="0077549B"/>
    <w:rsid w:val="007755BF"/>
    <w:rsid w:val="00775E83"/>
    <w:rsid w:val="00776878"/>
    <w:rsid w:val="00776F1D"/>
    <w:rsid w:val="0077735B"/>
    <w:rsid w:val="00777438"/>
    <w:rsid w:val="007803BD"/>
    <w:rsid w:val="00780470"/>
    <w:rsid w:val="007804DB"/>
    <w:rsid w:val="00780C35"/>
    <w:rsid w:val="007812BF"/>
    <w:rsid w:val="00781738"/>
    <w:rsid w:val="007817F6"/>
    <w:rsid w:val="00781978"/>
    <w:rsid w:val="00781AAC"/>
    <w:rsid w:val="00781BAE"/>
    <w:rsid w:val="00781E8C"/>
    <w:rsid w:val="0078212A"/>
    <w:rsid w:val="0078267B"/>
    <w:rsid w:val="007833C6"/>
    <w:rsid w:val="007837EC"/>
    <w:rsid w:val="0078444A"/>
    <w:rsid w:val="00785E4B"/>
    <w:rsid w:val="00786539"/>
    <w:rsid w:val="00787CB4"/>
    <w:rsid w:val="007902FB"/>
    <w:rsid w:val="0079095E"/>
    <w:rsid w:val="00792789"/>
    <w:rsid w:val="0079279E"/>
    <w:rsid w:val="007928C2"/>
    <w:rsid w:val="00793314"/>
    <w:rsid w:val="007933E7"/>
    <w:rsid w:val="00793449"/>
    <w:rsid w:val="00793507"/>
    <w:rsid w:val="00793BA3"/>
    <w:rsid w:val="00795234"/>
    <w:rsid w:val="00795348"/>
    <w:rsid w:val="00796166"/>
    <w:rsid w:val="007964A6"/>
    <w:rsid w:val="0079676B"/>
    <w:rsid w:val="00796947"/>
    <w:rsid w:val="007975B3"/>
    <w:rsid w:val="00797853"/>
    <w:rsid w:val="007A06D9"/>
    <w:rsid w:val="007A1286"/>
    <w:rsid w:val="007A2869"/>
    <w:rsid w:val="007A289B"/>
    <w:rsid w:val="007A3012"/>
    <w:rsid w:val="007A30B3"/>
    <w:rsid w:val="007A30D6"/>
    <w:rsid w:val="007A3396"/>
    <w:rsid w:val="007A4D81"/>
    <w:rsid w:val="007A4EF1"/>
    <w:rsid w:val="007A5034"/>
    <w:rsid w:val="007A516C"/>
    <w:rsid w:val="007A62D4"/>
    <w:rsid w:val="007A65E9"/>
    <w:rsid w:val="007A6888"/>
    <w:rsid w:val="007A6E0B"/>
    <w:rsid w:val="007A7ECF"/>
    <w:rsid w:val="007B078F"/>
    <w:rsid w:val="007B0A24"/>
    <w:rsid w:val="007B18C0"/>
    <w:rsid w:val="007B35DB"/>
    <w:rsid w:val="007B3BD9"/>
    <w:rsid w:val="007B40D4"/>
    <w:rsid w:val="007B45A8"/>
    <w:rsid w:val="007B592A"/>
    <w:rsid w:val="007B5D3B"/>
    <w:rsid w:val="007B6799"/>
    <w:rsid w:val="007B6F18"/>
    <w:rsid w:val="007B798D"/>
    <w:rsid w:val="007B7D01"/>
    <w:rsid w:val="007C02EF"/>
    <w:rsid w:val="007C08F6"/>
    <w:rsid w:val="007C0DAC"/>
    <w:rsid w:val="007C107A"/>
    <w:rsid w:val="007C148A"/>
    <w:rsid w:val="007C15D8"/>
    <w:rsid w:val="007C1F46"/>
    <w:rsid w:val="007C2474"/>
    <w:rsid w:val="007C2B82"/>
    <w:rsid w:val="007C2C12"/>
    <w:rsid w:val="007C2E10"/>
    <w:rsid w:val="007C3496"/>
    <w:rsid w:val="007C3B51"/>
    <w:rsid w:val="007C3C05"/>
    <w:rsid w:val="007C4393"/>
    <w:rsid w:val="007C43E5"/>
    <w:rsid w:val="007C4E29"/>
    <w:rsid w:val="007C571B"/>
    <w:rsid w:val="007C5C9F"/>
    <w:rsid w:val="007C627A"/>
    <w:rsid w:val="007C6909"/>
    <w:rsid w:val="007C6E12"/>
    <w:rsid w:val="007C7023"/>
    <w:rsid w:val="007C70BA"/>
    <w:rsid w:val="007C74BD"/>
    <w:rsid w:val="007C7C78"/>
    <w:rsid w:val="007D0196"/>
    <w:rsid w:val="007D04E3"/>
    <w:rsid w:val="007D1043"/>
    <w:rsid w:val="007D15CC"/>
    <w:rsid w:val="007D16B2"/>
    <w:rsid w:val="007D3649"/>
    <w:rsid w:val="007D3DE7"/>
    <w:rsid w:val="007D3F14"/>
    <w:rsid w:val="007D53E0"/>
    <w:rsid w:val="007D6200"/>
    <w:rsid w:val="007D7443"/>
    <w:rsid w:val="007D7790"/>
    <w:rsid w:val="007D7CE4"/>
    <w:rsid w:val="007E0347"/>
    <w:rsid w:val="007E07EC"/>
    <w:rsid w:val="007E106D"/>
    <w:rsid w:val="007E16E1"/>
    <w:rsid w:val="007E1AF7"/>
    <w:rsid w:val="007E1FCA"/>
    <w:rsid w:val="007E2E44"/>
    <w:rsid w:val="007E3ABC"/>
    <w:rsid w:val="007E44AD"/>
    <w:rsid w:val="007E4D70"/>
    <w:rsid w:val="007E5A7C"/>
    <w:rsid w:val="007E6650"/>
    <w:rsid w:val="007E69C4"/>
    <w:rsid w:val="007E79A7"/>
    <w:rsid w:val="007E7C93"/>
    <w:rsid w:val="007E7FCF"/>
    <w:rsid w:val="007F089B"/>
    <w:rsid w:val="007F09FA"/>
    <w:rsid w:val="007F27ED"/>
    <w:rsid w:val="007F2FB1"/>
    <w:rsid w:val="007F305C"/>
    <w:rsid w:val="007F415F"/>
    <w:rsid w:val="007F43C9"/>
    <w:rsid w:val="007F4B1F"/>
    <w:rsid w:val="007F4BA2"/>
    <w:rsid w:val="007F78A0"/>
    <w:rsid w:val="007F7E4B"/>
    <w:rsid w:val="008007EC"/>
    <w:rsid w:val="00800ED6"/>
    <w:rsid w:val="0080158E"/>
    <w:rsid w:val="00801894"/>
    <w:rsid w:val="00801E17"/>
    <w:rsid w:val="00802918"/>
    <w:rsid w:val="00803C8C"/>
    <w:rsid w:val="00803FE5"/>
    <w:rsid w:val="00804096"/>
    <w:rsid w:val="0080449C"/>
    <w:rsid w:val="00805779"/>
    <w:rsid w:val="00805B7D"/>
    <w:rsid w:val="00805C4D"/>
    <w:rsid w:val="00805E37"/>
    <w:rsid w:val="00806F77"/>
    <w:rsid w:val="008109A3"/>
    <w:rsid w:val="00810A51"/>
    <w:rsid w:val="00811198"/>
    <w:rsid w:val="0081170A"/>
    <w:rsid w:val="00811820"/>
    <w:rsid w:val="00811AAC"/>
    <w:rsid w:val="008131E3"/>
    <w:rsid w:val="0081345B"/>
    <w:rsid w:val="008139A3"/>
    <w:rsid w:val="00814058"/>
    <w:rsid w:val="008143C8"/>
    <w:rsid w:val="0081573A"/>
    <w:rsid w:val="008158BB"/>
    <w:rsid w:val="008159C7"/>
    <w:rsid w:val="00815B42"/>
    <w:rsid w:val="0081667D"/>
    <w:rsid w:val="00816FA6"/>
    <w:rsid w:val="008171E9"/>
    <w:rsid w:val="00820103"/>
    <w:rsid w:val="00820C80"/>
    <w:rsid w:val="008215E2"/>
    <w:rsid w:val="00821959"/>
    <w:rsid w:val="0082273E"/>
    <w:rsid w:val="008230E6"/>
    <w:rsid w:val="00824803"/>
    <w:rsid w:val="008252B3"/>
    <w:rsid w:val="00826255"/>
    <w:rsid w:val="00826286"/>
    <w:rsid w:val="0082663E"/>
    <w:rsid w:val="008266B1"/>
    <w:rsid w:val="008267FB"/>
    <w:rsid w:val="0082689B"/>
    <w:rsid w:val="008268B6"/>
    <w:rsid w:val="00827178"/>
    <w:rsid w:val="00827A00"/>
    <w:rsid w:val="00827CBD"/>
    <w:rsid w:val="0083038F"/>
    <w:rsid w:val="00831E59"/>
    <w:rsid w:val="00833320"/>
    <w:rsid w:val="008334D5"/>
    <w:rsid w:val="00833728"/>
    <w:rsid w:val="00833769"/>
    <w:rsid w:val="0083468C"/>
    <w:rsid w:val="00834CA4"/>
    <w:rsid w:val="008357B2"/>
    <w:rsid w:val="00835935"/>
    <w:rsid w:val="008372F5"/>
    <w:rsid w:val="008375E5"/>
    <w:rsid w:val="00837707"/>
    <w:rsid w:val="00840D8E"/>
    <w:rsid w:val="0084102C"/>
    <w:rsid w:val="0084115E"/>
    <w:rsid w:val="008411FB"/>
    <w:rsid w:val="008412CB"/>
    <w:rsid w:val="00841520"/>
    <w:rsid w:val="008415E2"/>
    <w:rsid w:val="008417B1"/>
    <w:rsid w:val="00841A1C"/>
    <w:rsid w:val="00841C41"/>
    <w:rsid w:val="008420B0"/>
    <w:rsid w:val="0084303D"/>
    <w:rsid w:val="0084353D"/>
    <w:rsid w:val="00843F3D"/>
    <w:rsid w:val="00844879"/>
    <w:rsid w:val="00844A0F"/>
    <w:rsid w:val="00844BA7"/>
    <w:rsid w:val="00846245"/>
    <w:rsid w:val="00846289"/>
    <w:rsid w:val="008469A7"/>
    <w:rsid w:val="00847531"/>
    <w:rsid w:val="0085011D"/>
    <w:rsid w:val="00850394"/>
    <w:rsid w:val="008504D9"/>
    <w:rsid w:val="00850CEA"/>
    <w:rsid w:val="00851233"/>
    <w:rsid w:val="008516F5"/>
    <w:rsid w:val="00851E89"/>
    <w:rsid w:val="00851FFE"/>
    <w:rsid w:val="00853596"/>
    <w:rsid w:val="00854719"/>
    <w:rsid w:val="0085488F"/>
    <w:rsid w:val="00855D29"/>
    <w:rsid w:val="008569B5"/>
    <w:rsid w:val="00857D54"/>
    <w:rsid w:val="00857FAE"/>
    <w:rsid w:val="008607A1"/>
    <w:rsid w:val="00860863"/>
    <w:rsid w:val="00860CD8"/>
    <w:rsid w:val="0086167F"/>
    <w:rsid w:val="00861EAD"/>
    <w:rsid w:val="008629A8"/>
    <w:rsid w:val="00863B48"/>
    <w:rsid w:val="00864FCC"/>
    <w:rsid w:val="00865361"/>
    <w:rsid w:val="00866C2A"/>
    <w:rsid w:val="00867166"/>
    <w:rsid w:val="00867F92"/>
    <w:rsid w:val="008701F5"/>
    <w:rsid w:val="008702E1"/>
    <w:rsid w:val="00870BB9"/>
    <w:rsid w:val="0087184F"/>
    <w:rsid w:val="008722E0"/>
    <w:rsid w:val="0087242C"/>
    <w:rsid w:val="00872D27"/>
    <w:rsid w:val="0087311D"/>
    <w:rsid w:val="00873128"/>
    <w:rsid w:val="008744DA"/>
    <w:rsid w:val="008749D4"/>
    <w:rsid w:val="00875058"/>
    <w:rsid w:val="008752EF"/>
    <w:rsid w:val="0087535C"/>
    <w:rsid w:val="008754D0"/>
    <w:rsid w:val="00876AF5"/>
    <w:rsid w:val="00877CB6"/>
    <w:rsid w:val="00877D40"/>
    <w:rsid w:val="00877D68"/>
    <w:rsid w:val="00880540"/>
    <w:rsid w:val="008806BC"/>
    <w:rsid w:val="00880848"/>
    <w:rsid w:val="00880A28"/>
    <w:rsid w:val="008824D3"/>
    <w:rsid w:val="00882A4F"/>
    <w:rsid w:val="00882F9A"/>
    <w:rsid w:val="00883040"/>
    <w:rsid w:val="008834C5"/>
    <w:rsid w:val="00884CEA"/>
    <w:rsid w:val="00885010"/>
    <w:rsid w:val="0088502F"/>
    <w:rsid w:val="00887325"/>
    <w:rsid w:val="0088747E"/>
    <w:rsid w:val="00887A80"/>
    <w:rsid w:val="00887AC6"/>
    <w:rsid w:val="00890CF5"/>
    <w:rsid w:val="00891801"/>
    <w:rsid w:val="00891B98"/>
    <w:rsid w:val="00891FCF"/>
    <w:rsid w:val="00892B8D"/>
    <w:rsid w:val="00894498"/>
    <w:rsid w:val="00894B02"/>
    <w:rsid w:val="00895613"/>
    <w:rsid w:val="00895B0D"/>
    <w:rsid w:val="00895D88"/>
    <w:rsid w:val="00895FF2"/>
    <w:rsid w:val="00896FD4"/>
    <w:rsid w:val="008970A6"/>
    <w:rsid w:val="0089766E"/>
    <w:rsid w:val="00897C88"/>
    <w:rsid w:val="008A0DC6"/>
    <w:rsid w:val="008A1395"/>
    <w:rsid w:val="008A2B58"/>
    <w:rsid w:val="008A37D4"/>
    <w:rsid w:val="008A4688"/>
    <w:rsid w:val="008A4790"/>
    <w:rsid w:val="008A6FFF"/>
    <w:rsid w:val="008A75DA"/>
    <w:rsid w:val="008A79CE"/>
    <w:rsid w:val="008A7AB5"/>
    <w:rsid w:val="008B06B8"/>
    <w:rsid w:val="008B0993"/>
    <w:rsid w:val="008B1481"/>
    <w:rsid w:val="008B2416"/>
    <w:rsid w:val="008B2C8A"/>
    <w:rsid w:val="008B2D9A"/>
    <w:rsid w:val="008B394A"/>
    <w:rsid w:val="008B3AD2"/>
    <w:rsid w:val="008B4A42"/>
    <w:rsid w:val="008B506D"/>
    <w:rsid w:val="008B585B"/>
    <w:rsid w:val="008B632F"/>
    <w:rsid w:val="008B633B"/>
    <w:rsid w:val="008B6FAB"/>
    <w:rsid w:val="008B77EA"/>
    <w:rsid w:val="008C04B2"/>
    <w:rsid w:val="008C10B3"/>
    <w:rsid w:val="008C315D"/>
    <w:rsid w:val="008C3C44"/>
    <w:rsid w:val="008C46D8"/>
    <w:rsid w:val="008C6D0F"/>
    <w:rsid w:val="008C7560"/>
    <w:rsid w:val="008C7E77"/>
    <w:rsid w:val="008D067F"/>
    <w:rsid w:val="008D0C8A"/>
    <w:rsid w:val="008D21C3"/>
    <w:rsid w:val="008D2C98"/>
    <w:rsid w:val="008D3D88"/>
    <w:rsid w:val="008D4C2A"/>
    <w:rsid w:val="008D502C"/>
    <w:rsid w:val="008D62B4"/>
    <w:rsid w:val="008D6785"/>
    <w:rsid w:val="008D6DBB"/>
    <w:rsid w:val="008D7107"/>
    <w:rsid w:val="008E029D"/>
    <w:rsid w:val="008E1220"/>
    <w:rsid w:val="008E1486"/>
    <w:rsid w:val="008E149C"/>
    <w:rsid w:val="008E287C"/>
    <w:rsid w:val="008E30B6"/>
    <w:rsid w:val="008E36CA"/>
    <w:rsid w:val="008E4280"/>
    <w:rsid w:val="008E4F05"/>
    <w:rsid w:val="008E523E"/>
    <w:rsid w:val="008E603F"/>
    <w:rsid w:val="008E609A"/>
    <w:rsid w:val="008E7B88"/>
    <w:rsid w:val="008F04C4"/>
    <w:rsid w:val="008F054F"/>
    <w:rsid w:val="008F1F6C"/>
    <w:rsid w:val="008F225B"/>
    <w:rsid w:val="008F267B"/>
    <w:rsid w:val="008F2B54"/>
    <w:rsid w:val="008F2DC4"/>
    <w:rsid w:val="008F37E4"/>
    <w:rsid w:val="008F43C5"/>
    <w:rsid w:val="008F4EEF"/>
    <w:rsid w:val="008F52E9"/>
    <w:rsid w:val="008F5BD3"/>
    <w:rsid w:val="008F5C2A"/>
    <w:rsid w:val="008F62B7"/>
    <w:rsid w:val="008F6BB2"/>
    <w:rsid w:val="008F7D6D"/>
    <w:rsid w:val="0090012A"/>
    <w:rsid w:val="0090016B"/>
    <w:rsid w:val="0090021C"/>
    <w:rsid w:val="0090035D"/>
    <w:rsid w:val="00900671"/>
    <w:rsid w:val="0090150B"/>
    <w:rsid w:val="00901AB3"/>
    <w:rsid w:val="0090215F"/>
    <w:rsid w:val="00902387"/>
    <w:rsid w:val="00902567"/>
    <w:rsid w:val="00902703"/>
    <w:rsid w:val="0090377D"/>
    <w:rsid w:val="00904069"/>
    <w:rsid w:val="00904401"/>
    <w:rsid w:val="009054F2"/>
    <w:rsid w:val="0090579E"/>
    <w:rsid w:val="0090652F"/>
    <w:rsid w:val="00906A57"/>
    <w:rsid w:val="00906EFC"/>
    <w:rsid w:val="00907255"/>
    <w:rsid w:val="00910629"/>
    <w:rsid w:val="009107E4"/>
    <w:rsid w:val="00910955"/>
    <w:rsid w:val="00910FFC"/>
    <w:rsid w:val="00911048"/>
    <w:rsid w:val="0091244E"/>
    <w:rsid w:val="00913C09"/>
    <w:rsid w:val="009150F4"/>
    <w:rsid w:val="009158BC"/>
    <w:rsid w:val="0091706F"/>
    <w:rsid w:val="00917223"/>
    <w:rsid w:val="00917F28"/>
    <w:rsid w:val="00920160"/>
    <w:rsid w:val="00920FDA"/>
    <w:rsid w:val="0092151D"/>
    <w:rsid w:val="00921639"/>
    <w:rsid w:val="0092182C"/>
    <w:rsid w:val="00923B01"/>
    <w:rsid w:val="00923E1A"/>
    <w:rsid w:val="00924634"/>
    <w:rsid w:val="00924FA6"/>
    <w:rsid w:val="00925983"/>
    <w:rsid w:val="00926588"/>
    <w:rsid w:val="00927626"/>
    <w:rsid w:val="00927DB4"/>
    <w:rsid w:val="00927ED1"/>
    <w:rsid w:val="00930097"/>
    <w:rsid w:val="009303C4"/>
    <w:rsid w:val="00930494"/>
    <w:rsid w:val="00931423"/>
    <w:rsid w:val="00931E61"/>
    <w:rsid w:val="0093323C"/>
    <w:rsid w:val="009341EC"/>
    <w:rsid w:val="00934C34"/>
    <w:rsid w:val="00934E8B"/>
    <w:rsid w:val="0093573C"/>
    <w:rsid w:val="0093703B"/>
    <w:rsid w:val="00937B85"/>
    <w:rsid w:val="0094088F"/>
    <w:rsid w:val="00940F2D"/>
    <w:rsid w:val="009412F5"/>
    <w:rsid w:val="00941634"/>
    <w:rsid w:val="00943BBE"/>
    <w:rsid w:val="00943D09"/>
    <w:rsid w:val="00944534"/>
    <w:rsid w:val="009445CC"/>
    <w:rsid w:val="00944642"/>
    <w:rsid w:val="0094486B"/>
    <w:rsid w:val="009448E7"/>
    <w:rsid w:val="00944B04"/>
    <w:rsid w:val="00945602"/>
    <w:rsid w:val="00945A0E"/>
    <w:rsid w:val="00946490"/>
    <w:rsid w:val="009469E0"/>
    <w:rsid w:val="00946F19"/>
    <w:rsid w:val="009472D3"/>
    <w:rsid w:val="00950EC0"/>
    <w:rsid w:val="009514E9"/>
    <w:rsid w:val="009514F1"/>
    <w:rsid w:val="0095170B"/>
    <w:rsid w:val="00951BC1"/>
    <w:rsid w:val="00951F92"/>
    <w:rsid w:val="00952DEC"/>
    <w:rsid w:val="0095320A"/>
    <w:rsid w:val="009533F6"/>
    <w:rsid w:val="00953A6F"/>
    <w:rsid w:val="00955193"/>
    <w:rsid w:val="00955508"/>
    <w:rsid w:val="00955EBB"/>
    <w:rsid w:val="00955F53"/>
    <w:rsid w:val="00955F98"/>
    <w:rsid w:val="00957E25"/>
    <w:rsid w:val="009606E4"/>
    <w:rsid w:val="00961225"/>
    <w:rsid w:val="009616AE"/>
    <w:rsid w:val="0096210E"/>
    <w:rsid w:val="00962F4E"/>
    <w:rsid w:val="0096454B"/>
    <w:rsid w:val="009646C2"/>
    <w:rsid w:val="00964FC5"/>
    <w:rsid w:val="0096534E"/>
    <w:rsid w:val="00967329"/>
    <w:rsid w:val="00967DAD"/>
    <w:rsid w:val="00971797"/>
    <w:rsid w:val="00971A80"/>
    <w:rsid w:val="009728BB"/>
    <w:rsid w:val="00973AA4"/>
    <w:rsid w:val="00973D10"/>
    <w:rsid w:val="00974049"/>
    <w:rsid w:val="00974219"/>
    <w:rsid w:val="00975763"/>
    <w:rsid w:val="00975F6C"/>
    <w:rsid w:val="0097673E"/>
    <w:rsid w:val="00976C17"/>
    <w:rsid w:val="0097765B"/>
    <w:rsid w:val="0098060C"/>
    <w:rsid w:val="00980D9F"/>
    <w:rsid w:val="00981F08"/>
    <w:rsid w:val="009822D3"/>
    <w:rsid w:val="00982817"/>
    <w:rsid w:val="00984448"/>
    <w:rsid w:val="00984FD1"/>
    <w:rsid w:val="00985176"/>
    <w:rsid w:val="00985814"/>
    <w:rsid w:val="00986335"/>
    <w:rsid w:val="0098650D"/>
    <w:rsid w:val="00987130"/>
    <w:rsid w:val="00987B87"/>
    <w:rsid w:val="00990037"/>
    <w:rsid w:val="009900A7"/>
    <w:rsid w:val="00990574"/>
    <w:rsid w:val="00990740"/>
    <w:rsid w:val="0099086A"/>
    <w:rsid w:val="00991AB0"/>
    <w:rsid w:val="00991B84"/>
    <w:rsid w:val="00991CF8"/>
    <w:rsid w:val="00991EC7"/>
    <w:rsid w:val="00991F5F"/>
    <w:rsid w:val="00992646"/>
    <w:rsid w:val="0099264F"/>
    <w:rsid w:val="00992812"/>
    <w:rsid w:val="00992B7F"/>
    <w:rsid w:val="00993A21"/>
    <w:rsid w:val="00993CAF"/>
    <w:rsid w:val="009940BB"/>
    <w:rsid w:val="009945A9"/>
    <w:rsid w:val="009952D3"/>
    <w:rsid w:val="00995370"/>
    <w:rsid w:val="00995D25"/>
    <w:rsid w:val="00995EBA"/>
    <w:rsid w:val="0099628B"/>
    <w:rsid w:val="00997103"/>
    <w:rsid w:val="009A04E8"/>
    <w:rsid w:val="009A1C69"/>
    <w:rsid w:val="009A278C"/>
    <w:rsid w:val="009A27DC"/>
    <w:rsid w:val="009A42E7"/>
    <w:rsid w:val="009A46E9"/>
    <w:rsid w:val="009A49E9"/>
    <w:rsid w:val="009A62B6"/>
    <w:rsid w:val="009A681B"/>
    <w:rsid w:val="009A6CF1"/>
    <w:rsid w:val="009A6E6F"/>
    <w:rsid w:val="009A7215"/>
    <w:rsid w:val="009A736B"/>
    <w:rsid w:val="009A790E"/>
    <w:rsid w:val="009A7B5F"/>
    <w:rsid w:val="009B01DE"/>
    <w:rsid w:val="009B038E"/>
    <w:rsid w:val="009B0ED5"/>
    <w:rsid w:val="009B1260"/>
    <w:rsid w:val="009B17D6"/>
    <w:rsid w:val="009B29FB"/>
    <w:rsid w:val="009B3950"/>
    <w:rsid w:val="009B3C8A"/>
    <w:rsid w:val="009B420E"/>
    <w:rsid w:val="009B429D"/>
    <w:rsid w:val="009B451B"/>
    <w:rsid w:val="009B4C8E"/>
    <w:rsid w:val="009B57BE"/>
    <w:rsid w:val="009B6A76"/>
    <w:rsid w:val="009B759A"/>
    <w:rsid w:val="009B75BE"/>
    <w:rsid w:val="009B7B40"/>
    <w:rsid w:val="009C02F2"/>
    <w:rsid w:val="009C02F3"/>
    <w:rsid w:val="009C0301"/>
    <w:rsid w:val="009C1922"/>
    <w:rsid w:val="009C1BB6"/>
    <w:rsid w:val="009C4111"/>
    <w:rsid w:val="009C44A2"/>
    <w:rsid w:val="009C4D83"/>
    <w:rsid w:val="009C4FC0"/>
    <w:rsid w:val="009C6847"/>
    <w:rsid w:val="009C748A"/>
    <w:rsid w:val="009C756B"/>
    <w:rsid w:val="009C785A"/>
    <w:rsid w:val="009C7C4C"/>
    <w:rsid w:val="009D0173"/>
    <w:rsid w:val="009D14ED"/>
    <w:rsid w:val="009D1BDF"/>
    <w:rsid w:val="009D203F"/>
    <w:rsid w:val="009D28E2"/>
    <w:rsid w:val="009D2F33"/>
    <w:rsid w:val="009D3160"/>
    <w:rsid w:val="009D31F0"/>
    <w:rsid w:val="009D36EE"/>
    <w:rsid w:val="009D4084"/>
    <w:rsid w:val="009D455D"/>
    <w:rsid w:val="009D55BE"/>
    <w:rsid w:val="009D5CD4"/>
    <w:rsid w:val="009D6E5E"/>
    <w:rsid w:val="009E0408"/>
    <w:rsid w:val="009E0976"/>
    <w:rsid w:val="009E0D34"/>
    <w:rsid w:val="009E0E39"/>
    <w:rsid w:val="009E1E75"/>
    <w:rsid w:val="009E29F8"/>
    <w:rsid w:val="009E2CD2"/>
    <w:rsid w:val="009E2ECC"/>
    <w:rsid w:val="009E3184"/>
    <w:rsid w:val="009E327A"/>
    <w:rsid w:val="009E3852"/>
    <w:rsid w:val="009E4698"/>
    <w:rsid w:val="009E4DC5"/>
    <w:rsid w:val="009E5EA5"/>
    <w:rsid w:val="009F0551"/>
    <w:rsid w:val="009F0A8B"/>
    <w:rsid w:val="009F2A3E"/>
    <w:rsid w:val="009F2EFC"/>
    <w:rsid w:val="009F3C1B"/>
    <w:rsid w:val="009F3C9A"/>
    <w:rsid w:val="009F4A7D"/>
    <w:rsid w:val="009F505A"/>
    <w:rsid w:val="009F6FFC"/>
    <w:rsid w:val="009F70DF"/>
    <w:rsid w:val="009F71A4"/>
    <w:rsid w:val="009F7C0E"/>
    <w:rsid w:val="00A0060A"/>
    <w:rsid w:val="00A0202D"/>
    <w:rsid w:val="00A02CD6"/>
    <w:rsid w:val="00A03958"/>
    <w:rsid w:val="00A03D6C"/>
    <w:rsid w:val="00A03DEE"/>
    <w:rsid w:val="00A0455C"/>
    <w:rsid w:val="00A047F2"/>
    <w:rsid w:val="00A048AB"/>
    <w:rsid w:val="00A05B46"/>
    <w:rsid w:val="00A060D9"/>
    <w:rsid w:val="00A0642F"/>
    <w:rsid w:val="00A067EC"/>
    <w:rsid w:val="00A06B9F"/>
    <w:rsid w:val="00A071AF"/>
    <w:rsid w:val="00A07584"/>
    <w:rsid w:val="00A075FA"/>
    <w:rsid w:val="00A07628"/>
    <w:rsid w:val="00A07914"/>
    <w:rsid w:val="00A07E1A"/>
    <w:rsid w:val="00A102A6"/>
    <w:rsid w:val="00A109BB"/>
    <w:rsid w:val="00A115CB"/>
    <w:rsid w:val="00A11C4E"/>
    <w:rsid w:val="00A1222E"/>
    <w:rsid w:val="00A12260"/>
    <w:rsid w:val="00A133ED"/>
    <w:rsid w:val="00A14162"/>
    <w:rsid w:val="00A14710"/>
    <w:rsid w:val="00A14A08"/>
    <w:rsid w:val="00A14D3D"/>
    <w:rsid w:val="00A150B5"/>
    <w:rsid w:val="00A15242"/>
    <w:rsid w:val="00A1536C"/>
    <w:rsid w:val="00A15444"/>
    <w:rsid w:val="00A16540"/>
    <w:rsid w:val="00A165C9"/>
    <w:rsid w:val="00A16A5C"/>
    <w:rsid w:val="00A172E8"/>
    <w:rsid w:val="00A17539"/>
    <w:rsid w:val="00A17AE0"/>
    <w:rsid w:val="00A2113C"/>
    <w:rsid w:val="00A21EB7"/>
    <w:rsid w:val="00A22219"/>
    <w:rsid w:val="00A23BA3"/>
    <w:rsid w:val="00A25B67"/>
    <w:rsid w:val="00A25F0F"/>
    <w:rsid w:val="00A27063"/>
    <w:rsid w:val="00A27160"/>
    <w:rsid w:val="00A271C7"/>
    <w:rsid w:val="00A27C95"/>
    <w:rsid w:val="00A27DF9"/>
    <w:rsid w:val="00A27F0C"/>
    <w:rsid w:val="00A300A3"/>
    <w:rsid w:val="00A31B3C"/>
    <w:rsid w:val="00A32210"/>
    <w:rsid w:val="00A32ADE"/>
    <w:rsid w:val="00A33A4E"/>
    <w:rsid w:val="00A34890"/>
    <w:rsid w:val="00A35460"/>
    <w:rsid w:val="00A35468"/>
    <w:rsid w:val="00A35861"/>
    <w:rsid w:val="00A35B8A"/>
    <w:rsid w:val="00A36096"/>
    <w:rsid w:val="00A364F4"/>
    <w:rsid w:val="00A36685"/>
    <w:rsid w:val="00A40A85"/>
    <w:rsid w:val="00A40EA5"/>
    <w:rsid w:val="00A438D2"/>
    <w:rsid w:val="00A44787"/>
    <w:rsid w:val="00A449E5"/>
    <w:rsid w:val="00A45064"/>
    <w:rsid w:val="00A45F1F"/>
    <w:rsid w:val="00A51251"/>
    <w:rsid w:val="00A531E0"/>
    <w:rsid w:val="00A54937"/>
    <w:rsid w:val="00A54FC2"/>
    <w:rsid w:val="00A564F7"/>
    <w:rsid w:val="00A5746D"/>
    <w:rsid w:val="00A575A4"/>
    <w:rsid w:val="00A609C0"/>
    <w:rsid w:val="00A61253"/>
    <w:rsid w:val="00A6127E"/>
    <w:rsid w:val="00A628B3"/>
    <w:rsid w:val="00A63A33"/>
    <w:rsid w:val="00A6401F"/>
    <w:rsid w:val="00A6433A"/>
    <w:rsid w:val="00A65EA2"/>
    <w:rsid w:val="00A667EA"/>
    <w:rsid w:val="00A66C34"/>
    <w:rsid w:val="00A67471"/>
    <w:rsid w:val="00A67C54"/>
    <w:rsid w:val="00A7049D"/>
    <w:rsid w:val="00A7166B"/>
    <w:rsid w:val="00A71A24"/>
    <w:rsid w:val="00A71F55"/>
    <w:rsid w:val="00A71FD8"/>
    <w:rsid w:val="00A729FB"/>
    <w:rsid w:val="00A73849"/>
    <w:rsid w:val="00A74D5B"/>
    <w:rsid w:val="00A7531A"/>
    <w:rsid w:val="00A753B7"/>
    <w:rsid w:val="00A758AA"/>
    <w:rsid w:val="00A760EC"/>
    <w:rsid w:val="00A76210"/>
    <w:rsid w:val="00A7648C"/>
    <w:rsid w:val="00A772CB"/>
    <w:rsid w:val="00A778B9"/>
    <w:rsid w:val="00A77DCF"/>
    <w:rsid w:val="00A806FF"/>
    <w:rsid w:val="00A807D0"/>
    <w:rsid w:val="00A8125E"/>
    <w:rsid w:val="00A823C8"/>
    <w:rsid w:val="00A8288F"/>
    <w:rsid w:val="00A8354E"/>
    <w:rsid w:val="00A840FE"/>
    <w:rsid w:val="00A845FC"/>
    <w:rsid w:val="00A8479F"/>
    <w:rsid w:val="00A85CE2"/>
    <w:rsid w:val="00A8692A"/>
    <w:rsid w:val="00A86C75"/>
    <w:rsid w:val="00A86F9C"/>
    <w:rsid w:val="00A87092"/>
    <w:rsid w:val="00A8765C"/>
    <w:rsid w:val="00A90519"/>
    <w:rsid w:val="00A908B3"/>
    <w:rsid w:val="00A90C2E"/>
    <w:rsid w:val="00A913C6"/>
    <w:rsid w:val="00A916D4"/>
    <w:rsid w:val="00A92934"/>
    <w:rsid w:val="00A92BDF"/>
    <w:rsid w:val="00A92C07"/>
    <w:rsid w:val="00A930B7"/>
    <w:rsid w:val="00A93372"/>
    <w:rsid w:val="00A93591"/>
    <w:rsid w:val="00A93D14"/>
    <w:rsid w:val="00A93D16"/>
    <w:rsid w:val="00A94217"/>
    <w:rsid w:val="00A9543C"/>
    <w:rsid w:val="00A97571"/>
    <w:rsid w:val="00A976EA"/>
    <w:rsid w:val="00A97A7F"/>
    <w:rsid w:val="00AA003F"/>
    <w:rsid w:val="00AA060A"/>
    <w:rsid w:val="00AA0A5B"/>
    <w:rsid w:val="00AA19DF"/>
    <w:rsid w:val="00AA2AA2"/>
    <w:rsid w:val="00AA2FD3"/>
    <w:rsid w:val="00AA2FFD"/>
    <w:rsid w:val="00AA3298"/>
    <w:rsid w:val="00AA3E2B"/>
    <w:rsid w:val="00AA3F07"/>
    <w:rsid w:val="00AA4318"/>
    <w:rsid w:val="00AA4FC6"/>
    <w:rsid w:val="00AA501E"/>
    <w:rsid w:val="00AA5937"/>
    <w:rsid w:val="00AA5B7C"/>
    <w:rsid w:val="00AA5E32"/>
    <w:rsid w:val="00AA6495"/>
    <w:rsid w:val="00AA676E"/>
    <w:rsid w:val="00AA6BAE"/>
    <w:rsid w:val="00AA6C86"/>
    <w:rsid w:val="00AB080D"/>
    <w:rsid w:val="00AB2746"/>
    <w:rsid w:val="00AB2CE0"/>
    <w:rsid w:val="00AB2EA2"/>
    <w:rsid w:val="00AB32CB"/>
    <w:rsid w:val="00AB4225"/>
    <w:rsid w:val="00AB4267"/>
    <w:rsid w:val="00AB52CB"/>
    <w:rsid w:val="00AB6683"/>
    <w:rsid w:val="00AB6820"/>
    <w:rsid w:val="00AB7BEB"/>
    <w:rsid w:val="00AC070F"/>
    <w:rsid w:val="00AC1A5D"/>
    <w:rsid w:val="00AC2C49"/>
    <w:rsid w:val="00AC32CF"/>
    <w:rsid w:val="00AC3483"/>
    <w:rsid w:val="00AC414E"/>
    <w:rsid w:val="00AC51CC"/>
    <w:rsid w:val="00AC657B"/>
    <w:rsid w:val="00AC79AC"/>
    <w:rsid w:val="00AD0D75"/>
    <w:rsid w:val="00AD178B"/>
    <w:rsid w:val="00AD22C3"/>
    <w:rsid w:val="00AD291B"/>
    <w:rsid w:val="00AD2D23"/>
    <w:rsid w:val="00AD33F4"/>
    <w:rsid w:val="00AD3F3F"/>
    <w:rsid w:val="00AD45C3"/>
    <w:rsid w:val="00AD4B24"/>
    <w:rsid w:val="00AD4D4A"/>
    <w:rsid w:val="00AD68DB"/>
    <w:rsid w:val="00AD6AF6"/>
    <w:rsid w:val="00AD6E2A"/>
    <w:rsid w:val="00AD763E"/>
    <w:rsid w:val="00AE1CE6"/>
    <w:rsid w:val="00AE3502"/>
    <w:rsid w:val="00AE3A31"/>
    <w:rsid w:val="00AE45C0"/>
    <w:rsid w:val="00AE4A63"/>
    <w:rsid w:val="00AE4D71"/>
    <w:rsid w:val="00AE5CED"/>
    <w:rsid w:val="00AE69BB"/>
    <w:rsid w:val="00AE6A43"/>
    <w:rsid w:val="00AE6EDC"/>
    <w:rsid w:val="00AE72C0"/>
    <w:rsid w:val="00AE7CE4"/>
    <w:rsid w:val="00AF061C"/>
    <w:rsid w:val="00AF09BC"/>
    <w:rsid w:val="00AF0A06"/>
    <w:rsid w:val="00AF0F26"/>
    <w:rsid w:val="00AF216A"/>
    <w:rsid w:val="00AF2D57"/>
    <w:rsid w:val="00AF3084"/>
    <w:rsid w:val="00AF4101"/>
    <w:rsid w:val="00AF460D"/>
    <w:rsid w:val="00AF461C"/>
    <w:rsid w:val="00AF4F06"/>
    <w:rsid w:val="00AF51E1"/>
    <w:rsid w:val="00AF5794"/>
    <w:rsid w:val="00AF5947"/>
    <w:rsid w:val="00AF5BD2"/>
    <w:rsid w:val="00AF5C61"/>
    <w:rsid w:val="00AF5E04"/>
    <w:rsid w:val="00AF6AE7"/>
    <w:rsid w:val="00AF7500"/>
    <w:rsid w:val="00AF78B3"/>
    <w:rsid w:val="00B0001B"/>
    <w:rsid w:val="00B00B7C"/>
    <w:rsid w:val="00B00DAE"/>
    <w:rsid w:val="00B00FA7"/>
    <w:rsid w:val="00B02107"/>
    <w:rsid w:val="00B02436"/>
    <w:rsid w:val="00B029A3"/>
    <w:rsid w:val="00B02CEC"/>
    <w:rsid w:val="00B031F2"/>
    <w:rsid w:val="00B03997"/>
    <w:rsid w:val="00B03C94"/>
    <w:rsid w:val="00B0509E"/>
    <w:rsid w:val="00B050B4"/>
    <w:rsid w:val="00B06571"/>
    <w:rsid w:val="00B06883"/>
    <w:rsid w:val="00B07B29"/>
    <w:rsid w:val="00B103ED"/>
    <w:rsid w:val="00B107F2"/>
    <w:rsid w:val="00B10E7A"/>
    <w:rsid w:val="00B11393"/>
    <w:rsid w:val="00B12C0A"/>
    <w:rsid w:val="00B12CBF"/>
    <w:rsid w:val="00B137AD"/>
    <w:rsid w:val="00B13BF5"/>
    <w:rsid w:val="00B14088"/>
    <w:rsid w:val="00B141E9"/>
    <w:rsid w:val="00B14328"/>
    <w:rsid w:val="00B152EB"/>
    <w:rsid w:val="00B15687"/>
    <w:rsid w:val="00B15B24"/>
    <w:rsid w:val="00B16052"/>
    <w:rsid w:val="00B160F7"/>
    <w:rsid w:val="00B1610D"/>
    <w:rsid w:val="00B16796"/>
    <w:rsid w:val="00B17586"/>
    <w:rsid w:val="00B17B87"/>
    <w:rsid w:val="00B21B15"/>
    <w:rsid w:val="00B21F40"/>
    <w:rsid w:val="00B22A64"/>
    <w:rsid w:val="00B232B9"/>
    <w:rsid w:val="00B23397"/>
    <w:rsid w:val="00B241C8"/>
    <w:rsid w:val="00B24667"/>
    <w:rsid w:val="00B24E99"/>
    <w:rsid w:val="00B255D4"/>
    <w:rsid w:val="00B25743"/>
    <w:rsid w:val="00B25972"/>
    <w:rsid w:val="00B261DA"/>
    <w:rsid w:val="00B261FF"/>
    <w:rsid w:val="00B267A6"/>
    <w:rsid w:val="00B278A3"/>
    <w:rsid w:val="00B27E10"/>
    <w:rsid w:val="00B27FB9"/>
    <w:rsid w:val="00B301DF"/>
    <w:rsid w:val="00B3070A"/>
    <w:rsid w:val="00B309C5"/>
    <w:rsid w:val="00B32949"/>
    <w:rsid w:val="00B3354A"/>
    <w:rsid w:val="00B33EDE"/>
    <w:rsid w:val="00B34712"/>
    <w:rsid w:val="00B34E21"/>
    <w:rsid w:val="00B35986"/>
    <w:rsid w:val="00B35FE3"/>
    <w:rsid w:val="00B36904"/>
    <w:rsid w:val="00B36AC5"/>
    <w:rsid w:val="00B37000"/>
    <w:rsid w:val="00B377A1"/>
    <w:rsid w:val="00B378FF"/>
    <w:rsid w:val="00B37C00"/>
    <w:rsid w:val="00B37DCF"/>
    <w:rsid w:val="00B4033E"/>
    <w:rsid w:val="00B404BA"/>
    <w:rsid w:val="00B413DB"/>
    <w:rsid w:val="00B41881"/>
    <w:rsid w:val="00B42C6F"/>
    <w:rsid w:val="00B42F86"/>
    <w:rsid w:val="00B430D2"/>
    <w:rsid w:val="00B4363F"/>
    <w:rsid w:val="00B43A43"/>
    <w:rsid w:val="00B45188"/>
    <w:rsid w:val="00B455DB"/>
    <w:rsid w:val="00B4597E"/>
    <w:rsid w:val="00B46511"/>
    <w:rsid w:val="00B465DC"/>
    <w:rsid w:val="00B46769"/>
    <w:rsid w:val="00B46F85"/>
    <w:rsid w:val="00B47A65"/>
    <w:rsid w:val="00B47DBA"/>
    <w:rsid w:val="00B501B8"/>
    <w:rsid w:val="00B5042D"/>
    <w:rsid w:val="00B50E67"/>
    <w:rsid w:val="00B51324"/>
    <w:rsid w:val="00B51423"/>
    <w:rsid w:val="00B51A7E"/>
    <w:rsid w:val="00B5236A"/>
    <w:rsid w:val="00B52877"/>
    <w:rsid w:val="00B52B56"/>
    <w:rsid w:val="00B53246"/>
    <w:rsid w:val="00B53A4A"/>
    <w:rsid w:val="00B548BF"/>
    <w:rsid w:val="00B54EBB"/>
    <w:rsid w:val="00B55E5A"/>
    <w:rsid w:val="00B56340"/>
    <w:rsid w:val="00B572F7"/>
    <w:rsid w:val="00B57D08"/>
    <w:rsid w:val="00B60325"/>
    <w:rsid w:val="00B6092A"/>
    <w:rsid w:val="00B60AAD"/>
    <w:rsid w:val="00B60F6E"/>
    <w:rsid w:val="00B614E3"/>
    <w:rsid w:val="00B61716"/>
    <w:rsid w:val="00B621A1"/>
    <w:rsid w:val="00B628D3"/>
    <w:rsid w:val="00B63214"/>
    <w:rsid w:val="00B63266"/>
    <w:rsid w:val="00B6331C"/>
    <w:rsid w:val="00B6336C"/>
    <w:rsid w:val="00B6390A"/>
    <w:rsid w:val="00B64034"/>
    <w:rsid w:val="00B64902"/>
    <w:rsid w:val="00B64BEE"/>
    <w:rsid w:val="00B64E22"/>
    <w:rsid w:val="00B65327"/>
    <w:rsid w:val="00B65AAB"/>
    <w:rsid w:val="00B65D2F"/>
    <w:rsid w:val="00B66378"/>
    <w:rsid w:val="00B70711"/>
    <w:rsid w:val="00B71644"/>
    <w:rsid w:val="00B71A35"/>
    <w:rsid w:val="00B72B28"/>
    <w:rsid w:val="00B73923"/>
    <w:rsid w:val="00B745F9"/>
    <w:rsid w:val="00B74B7E"/>
    <w:rsid w:val="00B75383"/>
    <w:rsid w:val="00B755EE"/>
    <w:rsid w:val="00B76268"/>
    <w:rsid w:val="00B76411"/>
    <w:rsid w:val="00B76464"/>
    <w:rsid w:val="00B76820"/>
    <w:rsid w:val="00B76D75"/>
    <w:rsid w:val="00B77101"/>
    <w:rsid w:val="00B7733B"/>
    <w:rsid w:val="00B8097C"/>
    <w:rsid w:val="00B82099"/>
    <w:rsid w:val="00B83001"/>
    <w:rsid w:val="00B832E9"/>
    <w:rsid w:val="00B84B42"/>
    <w:rsid w:val="00B85DCC"/>
    <w:rsid w:val="00B86435"/>
    <w:rsid w:val="00B86A18"/>
    <w:rsid w:val="00B86FE8"/>
    <w:rsid w:val="00B87105"/>
    <w:rsid w:val="00B902D7"/>
    <w:rsid w:val="00B90C2B"/>
    <w:rsid w:val="00B91033"/>
    <w:rsid w:val="00B91962"/>
    <w:rsid w:val="00B92393"/>
    <w:rsid w:val="00B9254C"/>
    <w:rsid w:val="00B928CA"/>
    <w:rsid w:val="00B934C2"/>
    <w:rsid w:val="00B93A18"/>
    <w:rsid w:val="00B94604"/>
    <w:rsid w:val="00B947C3"/>
    <w:rsid w:val="00B952EF"/>
    <w:rsid w:val="00B955D2"/>
    <w:rsid w:val="00B95B51"/>
    <w:rsid w:val="00B96445"/>
    <w:rsid w:val="00B9702A"/>
    <w:rsid w:val="00B979B5"/>
    <w:rsid w:val="00BA0598"/>
    <w:rsid w:val="00BA0A81"/>
    <w:rsid w:val="00BA1FA0"/>
    <w:rsid w:val="00BA2757"/>
    <w:rsid w:val="00BA571D"/>
    <w:rsid w:val="00BA6182"/>
    <w:rsid w:val="00BA63D7"/>
    <w:rsid w:val="00BA69D8"/>
    <w:rsid w:val="00BA6A46"/>
    <w:rsid w:val="00BA6DDD"/>
    <w:rsid w:val="00BA7434"/>
    <w:rsid w:val="00BA75D7"/>
    <w:rsid w:val="00BA7C63"/>
    <w:rsid w:val="00BB05D5"/>
    <w:rsid w:val="00BB2739"/>
    <w:rsid w:val="00BB3214"/>
    <w:rsid w:val="00BB3803"/>
    <w:rsid w:val="00BB3DE4"/>
    <w:rsid w:val="00BB4346"/>
    <w:rsid w:val="00BB4A9A"/>
    <w:rsid w:val="00BB4FFC"/>
    <w:rsid w:val="00BB53A1"/>
    <w:rsid w:val="00BB5A12"/>
    <w:rsid w:val="00BB697D"/>
    <w:rsid w:val="00BB6B01"/>
    <w:rsid w:val="00BB6C1F"/>
    <w:rsid w:val="00BC0F9E"/>
    <w:rsid w:val="00BC484F"/>
    <w:rsid w:val="00BC4873"/>
    <w:rsid w:val="00BC6483"/>
    <w:rsid w:val="00BC6F31"/>
    <w:rsid w:val="00BC7637"/>
    <w:rsid w:val="00BD159F"/>
    <w:rsid w:val="00BD1A37"/>
    <w:rsid w:val="00BD2464"/>
    <w:rsid w:val="00BD3939"/>
    <w:rsid w:val="00BD4080"/>
    <w:rsid w:val="00BD45BA"/>
    <w:rsid w:val="00BD4880"/>
    <w:rsid w:val="00BD5395"/>
    <w:rsid w:val="00BD53E7"/>
    <w:rsid w:val="00BD5817"/>
    <w:rsid w:val="00BD581F"/>
    <w:rsid w:val="00BD630B"/>
    <w:rsid w:val="00BD6639"/>
    <w:rsid w:val="00BD6CAC"/>
    <w:rsid w:val="00BD759D"/>
    <w:rsid w:val="00BD7C8C"/>
    <w:rsid w:val="00BD7CAE"/>
    <w:rsid w:val="00BE28DC"/>
    <w:rsid w:val="00BE2951"/>
    <w:rsid w:val="00BE2D6E"/>
    <w:rsid w:val="00BE2DE6"/>
    <w:rsid w:val="00BE3CBB"/>
    <w:rsid w:val="00BE4DBA"/>
    <w:rsid w:val="00BE5D7E"/>
    <w:rsid w:val="00BE602C"/>
    <w:rsid w:val="00BE6308"/>
    <w:rsid w:val="00BE6585"/>
    <w:rsid w:val="00BE68AF"/>
    <w:rsid w:val="00BF0615"/>
    <w:rsid w:val="00BF13FF"/>
    <w:rsid w:val="00BF15F9"/>
    <w:rsid w:val="00BF19E9"/>
    <w:rsid w:val="00BF1E91"/>
    <w:rsid w:val="00BF317F"/>
    <w:rsid w:val="00BF42A4"/>
    <w:rsid w:val="00BF43BC"/>
    <w:rsid w:val="00BF4A28"/>
    <w:rsid w:val="00BF4C1A"/>
    <w:rsid w:val="00BF4CFB"/>
    <w:rsid w:val="00BF55C9"/>
    <w:rsid w:val="00BF5B57"/>
    <w:rsid w:val="00BF5C23"/>
    <w:rsid w:val="00BF73DA"/>
    <w:rsid w:val="00BF78E5"/>
    <w:rsid w:val="00C00509"/>
    <w:rsid w:val="00C01539"/>
    <w:rsid w:val="00C017BD"/>
    <w:rsid w:val="00C01D44"/>
    <w:rsid w:val="00C02272"/>
    <w:rsid w:val="00C02656"/>
    <w:rsid w:val="00C02C05"/>
    <w:rsid w:val="00C0333C"/>
    <w:rsid w:val="00C03A00"/>
    <w:rsid w:val="00C03C58"/>
    <w:rsid w:val="00C046C8"/>
    <w:rsid w:val="00C04BB5"/>
    <w:rsid w:val="00C04ECC"/>
    <w:rsid w:val="00C05A39"/>
    <w:rsid w:val="00C07476"/>
    <w:rsid w:val="00C07539"/>
    <w:rsid w:val="00C07B5B"/>
    <w:rsid w:val="00C07C91"/>
    <w:rsid w:val="00C105D8"/>
    <w:rsid w:val="00C12539"/>
    <w:rsid w:val="00C128BC"/>
    <w:rsid w:val="00C129A8"/>
    <w:rsid w:val="00C129CF"/>
    <w:rsid w:val="00C14F84"/>
    <w:rsid w:val="00C164E9"/>
    <w:rsid w:val="00C16EA6"/>
    <w:rsid w:val="00C20FB6"/>
    <w:rsid w:val="00C2183D"/>
    <w:rsid w:val="00C21972"/>
    <w:rsid w:val="00C220C4"/>
    <w:rsid w:val="00C233A0"/>
    <w:rsid w:val="00C246A1"/>
    <w:rsid w:val="00C248FF"/>
    <w:rsid w:val="00C25DFC"/>
    <w:rsid w:val="00C260B3"/>
    <w:rsid w:val="00C26A48"/>
    <w:rsid w:val="00C26A9F"/>
    <w:rsid w:val="00C277D2"/>
    <w:rsid w:val="00C27CFE"/>
    <w:rsid w:val="00C27F31"/>
    <w:rsid w:val="00C3030B"/>
    <w:rsid w:val="00C31BB3"/>
    <w:rsid w:val="00C324F0"/>
    <w:rsid w:val="00C3316C"/>
    <w:rsid w:val="00C33289"/>
    <w:rsid w:val="00C33CD5"/>
    <w:rsid w:val="00C345A3"/>
    <w:rsid w:val="00C34A73"/>
    <w:rsid w:val="00C366D7"/>
    <w:rsid w:val="00C37916"/>
    <w:rsid w:val="00C37B85"/>
    <w:rsid w:val="00C40252"/>
    <w:rsid w:val="00C40AA6"/>
    <w:rsid w:val="00C40BEE"/>
    <w:rsid w:val="00C419B2"/>
    <w:rsid w:val="00C41DC6"/>
    <w:rsid w:val="00C422F3"/>
    <w:rsid w:val="00C44EED"/>
    <w:rsid w:val="00C450CA"/>
    <w:rsid w:val="00C451D4"/>
    <w:rsid w:val="00C454A7"/>
    <w:rsid w:val="00C45F7A"/>
    <w:rsid w:val="00C461C4"/>
    <w:rsid w:val="00C46522"/>
    <w:rsid w:val="00C46CD7"/>
    <w:rsid w:val="00C47B47"/>
    <w:rsid w:val="00C47CBA"/>
    <w:rsid w:val="00C47E91"/>
    <w:rsid w:val="00C508BD"/>
    <w:rsid w:val="00C50A18"/>
    <w:rsid w:val="00C51363"/>
    <w:rsid w:val="00C51D10"/>
    <w:rsid w:val="00C526F0"/>
    <w:rsid w:val="00C5278B"/>
    <w:rsid w:val="00C52B04"/>
    <w:rsid w:val="00C533B2"/>
    <w:rsid w:val="00C536B3"/>
    <w:rsid w:val="00C55C66"/>
    <w:rsid w:val="00C560E4"/>
    <w:rsid w:val="00C5613E"/>
    <w:rsid w:val="00C56561"/>
    <w:rsid w:val="00C56ACF"/>
    <w:rsid w:val="00C56F5F"/>
    <w:rsid w:val="00C60397"/>
    <w:rsid w:val="00C6087E"/>
    <w:rsid w:val="00C60B16"/>
    <w:rsid w:val="00C60EE6"/>
    <w:rsid w:val="00C61745"/>
    <w:rsid w:val="00C631FB"/>
    <w:rsid w:val="00C65007"/>
    <w:rsid w:val="00C65350"/>
    <w:rsid w:val="00C6600F"/>
    <w:rsid w:val="00C6626C"/>
    <w:rsid w:val="00C667DD"/>
    <w:rsid w:val="00C66F27"/>
    <w:rsid w:val="00C6718C"/>
    <w:rsid w:val="00C673DB"/>
    <w:rsid w:val="00C67C3E"/>
    <w:rsid w:val="00C67F1D"/>
    <w:rsid w:val="00C714F7"/>
    <w:rsid w:val="00C717F0"/>
    <w:rsid w:val="00C71A7D"/>
    <w:rsid w:val="00C71A8B"/>
    <w:rsid w:val="00C71C34"/>
    <w:rsid w:val="00C71E40"/>
    <w:rsid w:val="00C72911"/>
    <w:rsid w:val="00C73976"/>
    <w:rsid w:val="00C7569F"/>
    <w:rsid w:val="00C756C0"/>
    <w:rsid w:val="00C76006"/>
    <w:rsid w:val="00C76B9B"/>
    <w:rsid w:val="00C77AC7"/>
    <w:rsid w:val="00C80850"/>
    <w:rsid w:val="00C814E6"/>
    <w:rsid w:val="00C81D1B"/>
    <w:rsid w:val="00C820F7"/>
    <w:rsid w:val="00C824A8"/>
    <w:rsid w:val="00C826CB"/>
    <w:rsid w:val="00C82C19"/>
    <w:rsid w:val="00C83966"/>
    <w:rsid w:val="00C84497"/>
    <w:rsid w:val="00C85383"/>
    <w:rsid w:val="00C86878"/>
    <w:rsid w:val="00C87036"/>
    <w:rsid w:val="00C87470"/>
    <w:rsid w:val="00C87509"/>
    <w:rsid w:val="00C90898"/>
    <w:rsid w:val="00C9091A"/>
    <w:rsid w:val="00C91158"/>
    <w:rsid w:val="00C91599"/>
    <w:rsid w:val="00C9213D"/>
    <w:rsid w:val="00C925C6"/>
    <w:rsid w:val="00C92667"/>
    <w:rsid w:val="00C926BC"/>
    <w:rsid w:val="00C92E69"/>
    <w:rsid w:val="00C937D5"/>
    <w:rsid w:val="00C95C78"/>
    <w:rsid w:val="00C96487"/>
    <w:rsid w:val="00CA0969"/>
    <w:rsid w:val="00CA1C9A"/>
    <w:rsid w:val="00CA3792"/>
    <w:rsid w:val="00CA442A"/>
    <w:rsid w:val="00CA44F0"/>
    <w:rsid w:val="00CA6924"/>
    <w:rsid w:val="00CA6DAC"/>
    <w:rsid w:val="00CB0059"/>
    <w:rsid w:val="00CB01F8"/>
    <w:rsid w:val="00CB023C"/>
    <w:rsid w:val="00CB0410"/>
    <w:rsid w:val="00CB0524"/>
    <w:rsid w:val="00CB05C8"/>
    <w:rsid w:val="00CB0825"/>
    <w:rsid w:val="00CB09A3"/>
    <w:rsid w:val="00CB0BCC"/>
    <w:rsid w:val="00CB185F"/>
    <w:rsid w:val="00CB2094"/>
    <w:rsid w:val="00CB290D"/>
    <w:rsid w:val="00CB331B"/>
    <w:rsid w:val="00CB3595"/>
    <w:rsid w:val="00CB3F1F"/>
    <w:rsid w:val="00CB4400"/>
    <w:rsid w:val="00CB4933"/>
    <w:rsid w:val="00CB5E0F"/>
    <w:rsid w:val="00CB667F"/>
    <w:rsid w:val="00CB6778"/>
    <w:rsid w:val="00CB7652"/>
    <w:rsid w:val="00CC06A6"/>
    <w:rsid w:val="00CC0A32"/>
    <w:rsid w:val="00CC1224"/>
    <w:rsid w:val="00CC2023"/>
    <w:rsid w:val="00CC2400"/>
    <w:rsid w:val="00CC2DF2"/>
    <w:rsid w:val="00CC307B"/>
    <w:rsid w:val="00CC30CD"/>
    <w:rsid w:val="00CC483B"/>
    <w:rsid w:val="00CC484D"/>
    <w:rsid w:val="00CC53A1"/>
    <w:rsid w:val="00CC53D1"/>
    <w:rsid w:val="00CC5E2D"/>
    <w:rsid w:val="00CC6F2F"/>
    <w:rsid w:val="00CC71FD"/>
    <w:rsid w:val="00CC7A4A"/>
    <w:rsid w:val="00CD0C9F"/>
    <w:rsid w:val="00CD0E90"/>
    <w:rsid w:val="00CD104F"/>
    <w:rsid w:val="00CD185E"/>
    <w:rsid w:val="00CD1DC7"/>
    <w:rsid w:val="00CD25B2"/>
    <w:rsid w:val="00CD2FED"/>
    <w:rsid w:val="00CD3B63"/>
    <w:rsid w:val="00CD478F"/>
    <w:rsid w:val="00CD4BEA"/>
    <w:rsid w:val="00CD57BF"/>
    <w:rsid w:val="00CD64DC"/>
    <w:rsid w:val="00CD66E4"/>
    <w:rsid w:val="00CD6D29"/>
    <w:rsid w:val="00CD72EE"/>
    <w:rsid w:val="00CE113F"/>
    <w:rsid w:val="00CE182C"/>
    <w:rsid w:val="00CE1893"/>
    <w:rsid w:val="00CE1AF4"/>
    <w:rsid w:val="00CE1E91"/>
    <w:rsid w:val="00CE2A90"/>
    <w:rsid w:val="00CE2B3B"/>
    <w:rsid w:val="00CE3C43"/>
    <w:rsid w:val="00CE3C4B"/>
    <w:rsid w:val="00CE4052"/>
    <w:rsid w:val="00CE5207"/>
    <w:rsid w:val="00CE5245"/>
    <w:rsid w:val="00CE5F13"/>
    <w:rsid w:val="00CE609A"/>
    <w:rsid w:val="00CE618F"/>
    <w:rsid w:val="00CF1B58"/>
    <w:rsid w:val="00CF279D"/>
    <w:rsid w:val="00CF2C66"/>
    <w:rsid w:val="00CF327D"/>
    <w:rsid w:val="00CF4296"/>
    <w:rsid w:val="00CF4869"/>
    <w:rsid w:val="00CF553F"/>
    <w:rsid w:val="00CF5FE6"/>
    <w:rsid w:val="00CF65CB"/>
    <w:rsid w:val="00CF727B"/>
    <w:rsid w:val="00CF76C1"/>
    <w:rsid w:val="00D001EA"/>
    <w:rsid w:val="00D01CED"/>
    <w:rsid w:val="00D0354D"/>
    <w:rsid w:val="00D03A3F"/>
    <w:rsid w:val="00D04E84"/>
    <w:rsid w:val="00D0557B"/>
    <w:rsid w:val="00D059DA"/>
    <w:rsid w:val="00D0662C"/>
    <w:rsid w:val="00D101DE"/>
    <w:rsid w:val="00D1036F"/>
    <w:rsid w:val="00D16099"/>
    <w:rsid w:val="00D16D9C"/>
    <w:rsid w:val="00D17058"/>
    <w:rsid w:val="00D17377"/>
    <w:rsid w:val="00D178CD"/>
    <w:rsid w:val="00D17C0B"/>
    <w:rsid w:val="00D211C4"/>
    <w:rsid w:val="00D215FA"/>
    <w:rsid w:val="00D21A3E"/>
    <w:rsid w:val="00D2292D"/>
    <w:rsid w:val="00D237EE"/>
    <w:rsid w:val="00D248EA"/>
    <w:rsid w:val="00D2524A"/>
    <w:rsid w:val="00D26F4B"/>
    <w:rsid w:val="00D27BDC"/>
    <w:rsid w:val="00D27ED4"/>
    <w:rsid w:val="00D30CC7"/>
    <w:rsid w:val="00D31876"/>
    <w:rsid w:val="00D3209F"/>
    <w:rsid w:val="00D3224A"/>
    <w:rsid w:val="00D3276D"/>
    <w:rsid w:val="00D32C7A"/>
    <w:rsid w:val="00D33158"/>
    <w:rsid w:val="00D331D0"/>
    <w:rsid w:val="00D33226"/>
    <w:rsid w:val="00D33436"/>
    <w:rsid w:val="00D335C8"/>
    <w:rsid w:val="00D33C2B"/>
    <w:rsid w:val="00D340EC"/>
    <w:rsid w:val="00D34FC3"/>
    <w:rsid w:val="00D3543F"/>
    <w:rsid w:val="00D36874"/>
    <w:rsid w:val="00D377F2"/>
    <w:rsid w:val="00D37DF7"/>
    <w:rsid w:val="00D41328"/>
    <w:rsid w:val="00D41575"/>
    <w:rsid w:val="00D41FBE"/>
    <w:rsid w:val="00D422A1"/>
    <w:rsid w:val="00D429ED"/>
    <w:rsid w:val="00D42A69"/>
    <w:rsid w:val="00D43A94"/>
    <w:rsid w:val="00D43B90"/>
    <w:rsid w:val="00D43E93"/>
    <w:rsid w:val="00D44178"/>
    <w:rsid w:val="00D449B7"/>
    <w:rsid w:val="00D44FE4"/>
    <w:rsid w:val="00D456DE"/>
    <w:rsid w:val="00D45C1B"/>
    <w:rsid w:val="00D45FD3"/>
    <w:rsid w:val="00D46090"/>
    <w:rsid w:val="00D46347"/>
    <w:rsid w:val="00D46CD6"/>
    <w:rsid w:val="00D47832"/>
    <w:rsid w:val="00D478F7"/>
    <w:rsid w:val="00D47B07"/>
    <w:rsid w:val="00D47FCE"/>
    <w:rsid w:val="00D50B0D"/>
    <w:rsid w:val="00D50C44"/>
    <w:rsid w:val="00D50F59"/>
    <w:rsid w:val="00D515E2"/>
    <w:rsid w:val="00D51820"/>
    <w:rsid w:val="00D5271C"/>
    <w:rsid w:val="00D52D02"/>
    <w:rsid w:val="00D54176"/>
    <w:rsid w:val="00D54C90"/>
    <w:rsid w:val="00D57CC1"/>
    <w:rsid w:val="00D609EA"/>
    <w:rsid w:val="00D61882"/>
    <w:rsid w:val="00D6243E"/>
    <w:rsid w:val="00D63126"/>
    <w:rsid w:val="00D645A1"/>
    <w:rsid w:val="00D645D9"/>
    <w:rsid w:val="00D6485C"/>
    <w:rsid w:val="00D654E2"/>
    <w:rsid w:val="00D65C21"/>
    <w:rsid w:val="00D667DE"/>
    <w:rsid w:val="00D66888"/>
    <w:rsid w:val="00D675E7"/>
    <w:rsid w:val="00D71344"/>
    <w:rsid w:val="00D7196A"/>
    <w:rsid w:val="00D729B6"/>
    <w:rsid w:val="00D7351B"/>
    <w:rsid w:val="00D735CB"/>
    <w:rsid w:val="00D73FBD"/>
    <w:rsid w:val="00D75093"/>
    <w:rsid w:val="00D75526"/>
    <w:rsid w:val="00D7696B"/>
    <w:rsid w:val="00D76C16"/>
    <w:rsid w:val="00D777B7"/>
    <w:rsid w:val="00D80D52"/>
    <w:rsid w:val="00D80F4C"/>
    <w:rsid w:val="00D814D4"/>
    <w:rsid w:val="00D819B0"/>
    <w:rsid w:val="00D82E1C"/>
    <w:rsid w:val="00D83203"/>
    <w:rsid w:val="00D83767"/>
    <w:rsid w:val="00D83779"/>
    <w:rsid w:val="00D846C6"/>
    <w:rsid w:val="00D8498F"/>
    <w:rsid w:val="00D8536B"/>
    <w:rsid w:val="00D8550F"/>
    <w:rsid w:val="00D86049"/>
    <w:rsid w:val="00D907E0"/>
    <w:rsid w:val="00D90A88"/>
    <w:rsid w:val="00D91366"/>
    <w:rsid w:val="00D91C4D"/>
    <w:rsid w:val="00D91E94"/>
    <w:rsid w:val="00D92181"/>
    <w:rsid w:val="00D9228A"/>
    <w:rsid w:val="00D926D1"/>
    <w:rsid w:val="00D9344E"/>
    <w:rsid w:val="00D9368D"/>
    <w:rsid w:val="00D93947"/>
    <w:rsid w:val="00D93D8C"/>
    <w:rsid w:val="00D94CFA"/>
    <w:rsid w:val="00D9543D"/>
    <w:rsid w:val="00D955ED"/>
    <w:rsid w:val="00D95CF2"/>
    <w:rsid w:val="00D95E69"/>
    <w:rsid w:val="00D972DD"/>
    <w:rsid w:val="00DA1190"/>
    <w:rsid w:val="00DA136D"/>
    <w:rsid w:val="00DA1B77"/>
    <w:rsid w:val="00DA1BDA"/>
    <w:rsid w:val="00DA2CD1"/>
    <w:rsid w:val="00DA3596"/>
    <w:rsid w:val="00DA4C75"/>
    <w:rsid w:val="00DA4D21"/>
    <w:rsid w:val="00DA69AB"/>
    <w:rsid w:val="00DA7285"/>
    <w:rsid w:val="00DA74FD"/>
    <w:rsid w:val="00DA7771"/>
    <w:rsid w:val="00DA7B3E"/>
    <w:rsid w:val="00DB058B"/>
    <w:rsid w:val="00DB0E13"/>
    <w:rsid w:val="00DB14F8"/>
    <w:rsid w:val="00DB1641"/>
    <w:rsid w:val="00DB24F8"/>
    <w:rsid w:val="00DB33CF"/>
    <w:rsid w:val="00DB38F4"/>
    <w:rsid w:val="00DB44F2"/>
    <w:rsid w:val="00DB4822"/>
    <w:rsid w:val="00DB6620"/>
    <w:rsid w:val="00DC02D6"/>
    <w:rsid w:val="00DC0749"/>
    <w:rsid w:val="00DC0A3A"/>
    <w:rsid w:val="00DC1213"/>
    <w:rsid w:val="00DC1329"/>
    <w:rsid w:val="00DC241E"/>
    <w:rsid w:val="00DC257F"/>
    <w:rsid w:val="00DC2936"/>
    <w:rsid w:val="00DC3116"/>
    <w:rsid w:val="00DC373A"/>
    <w:rsid w:val="00DC387D"/>
    <w:rsid w:val="00DC39F8"/>
    <w:rsid w:val="00DC4720"/>
    <w:rsid w:val="00DC4DC4"/>
    <w:rsid w:val="00DC59C9"/>
    <w:rsid w:val="00DC5C46"/>
    <w:rsid w:val="00DC6480"/>
    <w:rsid w:val="00DC6FA5"/>
    <w:rsid w:val="00DC713C"/>
    <w:rsid w:val="00DC7C93"/>
    <w:rsid w:val="00DD04AC"/>
    <w:rsid w:val="00DD0D50"/>
    <w:rsid w:val="00DD10DE"/>
    <w:rsid w:val="00DD1160"/>
    <w:rsid w:val="00DD1AF6"/>
    <w:rsid w:val="00DD2586"/>
    <w:rsid w:val="00DD2B87"/>
    <w:rsid w:val="00DD2D2C"/>
    <w:rsid w:val="00DD347C"/>
    <w:rsid w:val="00DD3664"/>
    <w:rsid w:val="00DD3820"/>
    <w:rsid w:val="00DD4E67"/>
    <w:rsid w:val="00DD513E"/>
    <w:rsid w:val="00DD51AD"/>
    <w:rsid w:val="00DD5476"/>
    <w:rsid w:val="00DD5879"/>
    <w:rsid w:val="00DD5BAC"/>
    <w:rsid w:val="00DD5FBE"/>
    <w:rsid w:val="00DD6095"/>
    <w:rsid w:val="00DD67CC"/>
    <w:rsid w:val="00DD6832"/>
    <w:rsid w:val="00DD7089"/>
    <w:rsid w:val="00DD7286"/>
    <w:rsid w:val="00DD736B"/>
    <w:rsid w:val="00DE0018"/>
    <w:rsid w:val="00DE1577"/>
    <w:rsid w:val="00DE3748"/>
    <w:rsid w:val="00DE4694"/>
    <w:rsid w:val="00DE4F4B"/>
    <w:rsid w:val="00DE5C4B"/>
    <w:rsid w:val="00DE751F"/>
    <w:rsid w:val="00DF007D"/>
    <w:rsid w:val="00DF06A4"/>
    <w:rsid w:val="00DF17E6"/>
    <w:rsid w:val="00DF2DEC"/>
    <w:rsid w:val="00DF353D"/>
    <w:rsid w:val="00DF45F6"/>
    <w:rsid w:val="00DF4A66"/>
    <w:rsid w:val="00DF4C12"/>
    <w:rsid w:val="00DF4CEF"/>
    <w:rsid w:val="00DF5284"/>
    <w:rsid w:val="00DF5292"/>
    <w:rsid w:val="00DF654D"/>
    <w:rsid w:val="00DF7755"/>
    <w:rsid w:val="00E01DCD"/>
    <w:rsid w:val="00E02A3F"/>
    <w:rsid w:val="00E02F3D"/>
    <w:rsid w:val="00E03860"/>
    <w:rsid w:val="00E03CF2"/>
    <w:rsid w:val="00E04BE2"/>
    <w:rsid w:val="00E04C8E"/>
    <w:rsid w:val="00E05165"/>
    <w:rsid w:val="00E052F9"/>
    <w:rsid w:val="00E0601E"/>
    <w:rsid w:val="00E064E2"/>
    <w:rsid w:val="00E06B4E"/>
    <w:rsid w:val="00E075E7"/>
    <w:rsid w:val="00E07668"/>
    <w:rsid w:val="00E07762"/>
    <w:rsid w:val="00E10D6F"/>
    <w:rsid w:val="00E11052"/>
    <w:rsid w:val="00E123A0"/>
    <w:rsid w:val="00E1283F"/>
    <w:rsid w:val="00E12AFD"/>
    <w:rsid w:val="00E130D8"/>
    <w:rsid w:val="00E135D5"/>
    <w:rsid w:val="00E13908"/>
    <w:rsid w:val="00E14194"/>
    <w:rsid w:val="00E158F6"/>
    <w:rsid w:val="00E16360"/>
    <w:rsid w:val="00E1699E"/>
    <w:rsid w:val="00E1770A"/>
    <w:rsid w:val="00E17EF3"/>
    <w:rsid w:val="00E20116"/>
    <w:rsid w:val="00E20192"/>
    <w:rsid w:val="00E20C86"/>
    <w:rsid w:val="00E219E4"/>
    <w:rsid w:val="00E21E26"/>
    <w:rsid w:val="00E2264B"/>
    <w:rsid w:val="00E23522"/>
    <w:rsid w:val="00E23770"/>
    <w:rsid w:val="00E23FD1"/>
    <w:rsid w:val="00E240EF"/>
    <w:rsid w:val="00E2542B"/>
    <w:rsid w:val="00E2551F"/>
    <w:rsid w:val="00E25CAC"/>
    <w:rsid w:val="00E25D5E"/>
    <w:rsid w:val="00E26317"/>
    <w:rsid w:val="00E26BEC"/>
    <w:rsid w:val="00E26C05"/>
    <w:rsid w:val="00E26DD6"/>
    <w:rsid w:val="00E2736A"/>
    <w:rsid w:val="00E2744E"/>
    <w:rsid w:val="00E278EC"/>
    <w:rsid w:val="00E301EA"/>
    <w:rsid w:val="00E30D52"/>
    <w:rsid w:val="00E30F57"/>
    <w:rsid w:val="00E31319"/>
    <w:rsid w:val="00E31BB3"/>
    <w:rsid w:val="00E321B2"/>
    <w:rsid w:val="00E33020"/>
    <w:rsid w:val="00E3408F"/>
    <w:rsid w:val="00E34093"/>
    <w:rsid w:val="00E355B1"/>
    <w:rsid w:val="00E35936"/>
    <w:rsid w:val="00E368D6"/>
    <w:rsid w:val="00E36B58"/>
    <w:rsid w:val="00E36EC3"/>
    <w:rsid w:val="00E37A1E"/>
    <w:rsid w:val="00E37F54"/>
    <w:rsid w:val="00E41214"/>
    <w:rsid w:val="00E41498"/>
    <w:rsid w:val="00E41889"/>
    <w:rsid w:val="00E43C72"/>
    <w:rsid w:val="00E43FD7"/>
    <w:rsid w:val="00E4500A"/>
    <w:rsid w:val="00E4535C"/>
    <w:rsid w:val="00E45730"/>
    <w:rsid w:val="00E45820"/>
    <w:rsid w:val="00E4625E"/>
    <w:rsid w:val="00E46335"/>
    <w:rsid w:val="00E46926"/>
    <w:rsid w:val="00E46B05"/>
    <w:rsid w:val="00E475C9"/>
    <w:rsid w:val="00E4799C"/>
    <w:rsid w:val="00E47C15"/>
    <w:rsid w:val="00E47F44"/>
    <w:rsid w:val="00E508AB"/>
    <w:rsid w:val="00E50943"/>
    <w:rsid w:val="00E53002"/>
    <w:rsid w:val="00E530CC"/>
    <w:rsid w:val="00E5354B"/>
    <w:rsid w:val="00E5430A"/>
    <w:rsid w:val="00E55DD4"/>
    <w:rsid w:val="00E563D5"/>
    <w:rsid w:val="00E57266"/>
    <w:rsid w:val="00E57839"/>
    <w:rsid w:val="00E578D9"/>
    <w:rsid w:val="00E57EBE"/>
    <w:rsid w:val="00E601A3"/>
    <w:rsid w:val="00E60FE0"/>
    <w:rsid w:val="00E6116E"/>
    <w:rsid w:val="00E618DB"/>
    <w:rsid w:val="00E62E6B"/>
    <w:rsid w:val="00E633DC"/>
    <w:rsid w:val="00E648D4"/>
    <w:rsid w:val="00E64BCC"/>
    <w:rsid w:val="00E65009"/>
    <w:rsid w:val="00E6733C"/>
    <w:rsid w:val="00E677E9"/>
    <w:rsid w:val="00E70078"/>
    <w:rsid w:val="00E702E0"/>
    <w:rsid w:val="00E70F08"/>
    <w:rsid w:val="00E7116E"/>
    <w:rsid w:val="00E71740"/>
    <w:rsid w:val="00E71B9C"/>
    <w:rsid w:val="00E747BA"/>
    <w:rsid w:val="00E75518"/>
    <w:rsid w:val="00E801D0"/>
    <w:rsid w:val="00E81ACD"/>
    <w:rsid w:val="00E81B37"/>
    <w:rsid w:val="00E81DA9"/>
    <w:rsid w:val="00E82D7B"/>
    <w:rsid w:val="00E82EAC"/>
    <w:rsid w:val="00E83542"/>
    <w:rsid w:val="00E83A21"/>
    <w:rsid w:val="00E83DA4"/>
    <w:rsid w:val="00E85851"/>
    <w:rsid w:val="00E8596C"/>
    <w:rsid w:val="00E85FBE"/>
    <w:rsid w:val="00E8629F"/>
    <w:rsid w:val="00E865F7"/>
    <w:rsid w:val="00E8673B"/>
    <w:rsid w:val="00E86E0D"/>
    <w:rsid w:val="00E902CB"/>
    <w:rsid w:val="00E910D5"/>
    <w:rsid w:val="00E910F7"/>
    <w:rsid w:val="00E919BA"/>
    <w:rsid w:val="00E92A82"/>
    <w:rsid w:val="00E9357E"/>
    <w:rsid w:val="00E93F57"/>
    <w:rsid w:val="00E948EA"/>
    <w:rsid w:val="00E9539A"/>
    <w:rsid w:val="00E9542F"/>
    <w:rsid w:val="00E954C0"/>
    <w:rsid w:val="00E95B10"/>
    <w:rsid w:val="00E966F9"/>
    <w:rsid w:val="00E96EA4"/>
    <w:rsid w:val="00E975F1"/>
    <w:rsid w:val="00E977AB"/>
    <w:rsid w:val="00E97CCF"/>
    <w:rsid w:val="00E97F96"/>
    <w:rsid w:val="00EA0DC1"/>
    <w:rsid w:val="00EA1F0C"/>
    <w:rsid w:val="00EA21F0"/>
    <w:rsid w:val="00EA2D38"/>
    <w:rsid w:val="00EA2FFD"/>
    <w:rsid w:val="00EA3B22"/>
    <w:rsid w:val="00EA504F"/>
    <w:rsid w:val="00EA5B0B"/>
    <w:rsid w:val="00EA6085"/>
    <w:rsid w:val="00EA6282"/>
    <w:rsid w:val="00EA6464"/>
    <w:rsid w:val="00EA6DF6"/>
    <w:rsid w:val="00EA7485"/>
    <w:rsid w:val="00EB0073"/>
    <w:rsid w:val="00EB02C3"/>
    <w:rsid w:val="00EB085B"/>
    <w:rsid w:val="00EB0CA7"/>
    <w:rsid w:val="00EB106B"/>
    <w:rsid w:val="00EB1765"/>
    <w:rsid w:val="00EB3708"/>
    <w:rsid w:val="00EB3C3A"/>
    <w:rsid w:val="00EB4994"/>
    <w:rsid w:val="00EB7E8E"/>
    <w:rsid w:val="00EC01A2"/>
    <w:rsid w:val="00EC035B"/>
    <w:rsid w:val="00EC0539"/>
    <w:rsid w:val="00EC0722"/>
    <w:rsid w:val="00EC1549"/>
    <w:rsid w:val="00EC23AC"/>
    <w:rsid w:val="00EC2428"/>
    <w:rsid w:val="00EC3334"/>
    <w:rsid w:val="00EC3364"/>
    <w:rsid w:val="00EC47CA"/>
    <w:rsid w:val="00EC4B54"/>
    <w:rsid w:val="00EC4D79"/>
    <w:rsid w:val="00EC5C0C"/>
    <w:rsid w:val="00EC6857"/>
    <w:rsid w:val="00EC6EB8"/>
    <w:rsid w:val="00ED137D"/>
    <w:rsid w:val="00ED192F"/>
    <w:rsid w:val="00ED1AFE"/>
    <w:rsid w:val="00ED25E5"/>
    <w:rsid w:val="00ED2902"/>
    <w:rsid w:val="00ED3A96"/>
    <w:rsid w:val="00ED3D82"/>
    <w:rsid w:val="00ED4397"/>
    <w:rsid w:val="00ED4420"/>
    <w:rsid w:val="00ED5393"/>
    <w:rsid w:val="00ED5E81"/>
    <w:rsid w:val="00ED607A"/>
    <w:rsid w:val="00ED694C"/>
    <w:rsid w:val="00ED69BE"/>
    <w:rsid w:val="00ED73A4"/>
    <w:rsid w:val="00EE0E34"/>
    <w:rsid w:val="00EE1B2B"/>
    <w:rsid w:val="00EE2054"/>
    <w:rsid w:val="00EE21AC"/>
    <w:rsid w:val="00EE25ED"/>
    <w:rsid w:val="00EE26A5"/>
    <w:rsid w:val="00EE2749"/>
    <w:rsid w:val="00EE27C9"/>
    <w:rsid w:val="00EE29C8"/>
    <w:rsid w:val="00EE2A39"/>
    <w:rsid w:val="00EE2D3C"/>
    <w:rsid w:val="00EE3990"/>
    <w:rsid w:val="00EE41C5"/>
    <w:rsid w:val="00EE4831"/>
    <w:rsid w:val="00EE4D41"/>
    <w:rsid w:val="00EE4FE0"/>
    <w:rsid w:val="00EE4FE1"/>
    <w:rsid w:val="00EE5B89"/>
    <w:rsid w:val="00EE5BF5"/>
    <w:rsid w:val="00EE6535"/>
    <w:rsid w:val="00EE6C64"/>
    <w:rsid w:val="00EE6D1B"/>
    <w:rsid w:val="00EE6F46"/>
    <w:rsid w:val="00EE70EF"/>
    <w:rsid w:val="00EE748A"/>
    <w:rsid w:val="00EE7A1F"/>
    <w:rsid w:val="00EE7E6F"/>
    <w:rsid w:val="00EF075A"/>
    <w:rsid w:val="00EF0927"/>
    <w:rsid w:val="00EF0EDF"/>
    <w:rsid w:val="00EF135A"/>
    <w:rsid w:val="00EF236C"/>
    <w:rsid w:val="00EF292E"/>
    <w:rsid w:val="00EF2BB1"/>
    <w:rsid w:val="00EF2C4F"/>
    <w:rsid w:val="00EF31A6"/>
    <w:rsid w:val="00EF3B78"/>
    <w:rsid w:val="00EF41B1"/>
    <w:rsid w:val="00EF4D29"/>
    <w:rsid w:val="00EF4F91"/>
    <w:rsid w:val="00EF55D4"/>
    <w:rsid w:val="00EF5C1B"/>
    <w:rsid w:val="00EF5DE1"/>
    <w:rsid w:val="00EF7021"/>
    <w:rsid w:val="00EF7088"/>
    <w:rsid w:val="00EF73D1"/>
    <w:rsid w:val="00EF7A47"/>
    <w:rsid w:val="00EF7BFE"/>
    <w:rsid w:val="00F00396"/>
    <w:rsid w:val="00F01741"/>
    <w:rsid w:val="00F018B8"/>
    <w:rsid w:val="00F01A9A"/>
    <w:rsid w:val="00F02D97"/>
    <w:rsid w:val="00F02F73"/>
    <w:rsid w:val="00F03A82"/>
    <w:rsid w:val="00F03C1C"/>
    <w:rsid w:val="00F04C62"/>
    <w:rsid w:val="00F05BC9"/>
    <w:rsid w:val="00F05E5D"/>
    <w:rsid w:val="00F06B26"/>
    <w:rsid w:val="00F06F48"/>
    <w:rsid w:val="00F07957"/>
    <w:rsid w:val="00F11521"/>
    <w:rsid w:val="00F12FBF"/>
    <w:rsid w:val="00F13373"/>
    <w:rsid w:val="00F13606"/>
    <w:rsid w:val="00F13724"/>
    <w:rsid w:val="00F13816"/>
    <w:rsid w:val="00F13DA5"/>
    <w:rsid w:val="00F13E40"/>
    <w:rsid w:val="00F13E7C"/>
    <w:rsid w:val="00F160DA"/>
    <w:rsid w:val="00F1619B"/>
    <w:rsid w:val="00F169E1"/>
    <w:rsid w:val="00F16ECB"/>
    <w:rsid w:val="00F171CC"/>
    <w:rsid w:val="00F177CA"/>
    <w:rsid w:val="00F17A46"/>
    <w:rsid w:val="00F2087D"/>
    <w:rsid w:val="00F21074"/>
    <w:rsid w:val="00F22226"/>
    <w:rsid w:val="00F22399"/>
    <w:rsid w:val="00F22907"/>
    <w:rsid w:val="00F22A35"/>
    <w:rsid w:val="00F2340B"/>
    <w:rsid w:val="00F24113"/>
    <w:rsid w:val="00F247C2"/>
    <w:rsid w:val="00F25485"/>
    <w:rsid w:val="00F2566B"/>
    <w:rsid w:val="00F27174"/>
    <w:rsid w:val="00F27F46"/>
    <w:rsid w:val="00F3045D"/>
    <w:rsid w:val="00F31544"/>
    <w:rsid w:val="00F316A6"/>
    <w:rsid w:val="00F3202C"/>
    <w:rsid w:val="00F32C48"/>
    <w:rsid w:val="00F33BAE"/>
    <w:rsid w:val="00F33DA2"/>
    <w:rsid w:val="00F34003"/>
    <w:rsid w:val="00F34124"/>
    <w:rsid w:val="00F3477B"/>
    <w:rsid w:val="00F34B01"/>
    <w:rsid w:val="00F34B06"/>
    <w:rsid w:val="00F34BFF"/>
    <w:rsid w:val="00F36437"/>
    <w:rsid w:val="00F3648E"/>
    <w:rsid w:val="00F37ECB"/>
    <w:rsid w:val="00F41EC2"/>
    <w:rsid w:val="00F424A7"/>
    <w:rsid w:val="00F42998"/>
    <w:rsid w:val="00F43136"/>
    <w:rsid w:val="00F43204"/>
    <w:rsid w:val="00F432FB"/>
    <w:rsid w:val="00F4348B"/>
    <w:rsid w:val="00F43FE8"/>
    <w:rsid w:val="00F448DE"/>
    <w:rsid w:val="00F44A96"/>
    <w:rsid w:val="00F45B1E"/>
    <w:rsid w:val="00F46428"/>
    <w:rsid w:val="00F46609"/>
    <w:rsid w:val="00F46950"/>
    <w:rsid w:val="00F46DF8"/>
    <w:rsid w:val="00F47017"/>
    <w:rsid w:val="00F471A2"/>
    <w:rsid w:val="00F4783E"/>
    <w:rsid w:val="00F47B2E"/>
    <w:rsid w:val="00F47D66"/>
    <w:rsid w:val="00F50099"/>
    <w:rsid w:val="00F5148C"/>
    <w:rsid w:val="00F51C8E"/>
    <w:rsid w:val="00F520C1"/>
    <w:rsid w:val="00F52227"/>
    <w:rsid w:val="00F5225B"/>
    <w:rsid w:val="00F52C6F"/>
    <w:rsid w:val="00F55E89"/>
    <w:rsid w:val="00F56386"/>
    <w:rsid w:val="00F56A2D"/>
    <w:rsid w:val="00F60140"/>
    <w:rsid w:val="00F605B1"/>
    <w:rsid w:val="00F619DF"/>
    <w:rsid w:val="00F61EAE"/>
    <w:rsid w:val="00F61F0C"/>
    <w:rsid w:val="00F6211A"/>
    <w:rsid w:val="00F624C4"/>
    <w:rsid w:val="00F63B08"/>
    <w:rsid w:val="00F64159"/>
    <w:rsid w:val="00F64CB6"/>
    <w:rsid w:val="00F65CEA"/>
    <w:rsid w:val="00F70079"/>
    <w:rsid w:val="00F701DA"/>
    <w:rsid w:val="00F709CC"/>
    <w:rsid w:val="00F70EED"/>
    <w:rsid w:val="00F70F01"/>
    <w:rsid w:val="00F7307C"/>
    <w:rsid w:val="00F73587"/>
    <w:rsid w:val="00F735F8"/>
    <w:rsid w:val="00F77F84"/>
    <w:rsid w:val="00F8150A"/>
    <w:rsid w:val="00F8176B"/>
    <w:rsid w:val="00F81884"/>
    <w:rsid w:val="00F82C2F"/>
    <w:rsid w:val="00F82E49"/>
    <w:rsid w:val="00F82E7A"/>
    <w:rsid w:val="00F8313C"/>
    <w:rsid w:val="00F83B0B"/>
    <w:rsid w:val="00F85423"/>
    <w:rsid w:val="00F86808"/>
    <w:rsid w:val="00F9120D"/>
    <w:rsid w:val="00F91E36"/>
    <w:rsid w:val="00F93E81"/>
    <w:rsid w:val="00F94604"/>
    <w:rsid w:val="00F94658"/>
    <w:rsid w:val="00F95182"/>
    <w:rsid w:val="00F95D55"/>
    <w:rsid w:val="00F9689A"/>
    <w:rsid w:val="00F968B2"/>
    <w:rsid w:val="00F975CD"/>
    <w:rsid w:val="00F977D8"/>
    <w:rsid w:val="00F978BD"/>
    <w:rsid w:val="00FA01FD"/>
    <w:rsid w:val="00FA0A31"/>
    <w:rsid w:val="00FA10A3"/>
    <w:rsid w:val="00FA17D1"/>
    <w:rsid w:val="00FA1B3C"/>
    <w:rsid w:val="00FA1E90"/>
    <w:rsid w:val="00FA25AA"/>
    <w:rsid w:val="00FA25BA"/>
    <w:rsid w:val="00FA2D72"/>
    <w:rsid w:val="00FA4203"/>
    <w:rsid w:val="00FA598D"/>
    <w:rsid w:val="00FA5FDB"/>
    <w:rsid w:val="00FA7830"/>
    <w:rsid w:val="00FB16C5"/>
    <w:rsid w:val="00FB2122"/>
    <w:rsid w:val="00FB2529"/>
    <w:rsid w:val="00FB2AF3"/>
    <w:rsid w:val="00FB4251"/>
    <w:rsid w:val="00FB5261"/>
    <w:rsid w:val="00FB5596"/>
    <w:rsid w:val="00FB62A6"/>
    <w:rsid w:val="00FB692F"/>
    <w:rsid w:val="00FB79ED"/>
    <w:rsid w:val="00FB7BD9"/>
    <w:rsid w:val="00FC0284"/>
    <w:rsid w:val="00FC0299"/>
    <w:rsid w:val="00FC0525"/>
    <w:rsid w:val="00FC0663"/>
    <w:rsid w:val="00FC09C7"/>
    <w:rsid w:val="00FC0C11"/>
    <w:rsid w:val="00FC0DA2"/>
    <w:rsid w:val="00FC0F7D"/>
    <w:rsid w:val="00FC2370"/>
    <w:rsid w:val="00FC26B6"/>
    <w:rsid w:val="00FC2BD2"/>
    <w:rsid w:val="00FC3FC0"/>
    <w:rsid w:val="00FC49D0"/>
    <w:rsid w:val="00FC5981"/>
    <w:rsid w:val="00FC5B88"/>
    <w:rsid w:val="00FC60F6"/>
    <w:rsid w:val="00FC63C4"/>
    <w:rsid w:val="00FC692D"/>
    <w:rsid w:val="00FC6C3E"/>
    <w:rsid w:val="00FC6C9D"/>
    <w:rsid w:val="00FC7549"/>
    <w:rsid w:val="00FC772E"/>
    <w:rsid w:val="00FD090E"/>
    <w:rsid w:val="00FD09BD"/>
    <w:rsid w:val="00FD0BB9"/>
    <w:rsid w:val="00FD0D66"/>
    <w:rsid w:val="00FD10A7"/>
    <w:rsid w:val="00FD1527"/>
    <w:rsid w:val="00FD1732"/>
    <w:rsid w:val="00FD2D82"/>
    <w:rsid w:val="00FD31DC"/>
    <w:rsid w:val="00FD35FF"/>
    <w:rsid w:val="00FD386D"/>
    <w:rsid w:val="00FD3F28"/>
    <w:rsid w:val="00FD40AE"/>
    <w:rsid w:val="00FD4945"/>
    <w:rsid w:val="00FD5E65"/>
    <w:rsid w:val="00FD5EEB"/>
    <w:rsid w:val="00FD60CF"/>
    <w:rsid w:val="00FD6538"/>
    <w:rsid w:val="00FD678B"/>
    <w:rsid w:val="00FE06A4"/>
    <w:rsid w:val="00FE099E"/>
    <w:rsid w:val="00FE0A3D"/>
    <w:rsid w:val="00FE12E3"/>
    <w:rsid w:val="00FE1786"/>
    <w:rsid w:val="00FE1E42"/>
    <w:rsid w:val="00FE3902"/>
    <w:rsid w:val="00FE428C"/>
    <w:rsid w:val="00FE49C9"/>
    <w:rsid w:val="00FE4A7E"/>
    <w:rsid w:val="00FE4AF3"/>
    <w:rsid w:val="00FF049D"/>
    <w:rsid w:val="00FF0CDF"/>
    <w:rsid w:val="00FF1390"/>
    <w:rsid w:val="00FF1845"/>
    <w:rsid w:val="00FF1C49"/>
    <w:rsid w:val="00FF208D"/>
    <w:rsid w:val="00FF2945"/>
    <w:rsid w:val="00FF2CB7"/>
    <w:rsid w:val="00FF3241"/>
    <w:rsid w:val="00FF3E93"/>
    <w:rsid w:val="00FF45BD"/>
    <w:rsid w:val="00FF4F0F"/>
    <w:rsid w:val="00FF64F1"/>
    <w:rsid w:val="00FF684A"/>
    <w:rsid w:val="00FF7687"/>
    <w:rsid w:val="00FF7747"/>
    <w:rsid w:val="00FF7D1A"/>
    <w:rsid w:val="024A49A9"/>
    <w:rsid w:val="028D7AD4"/>
    <w:rsid w:val="02E408E2"/>
    <w:rsid w:val="02E7137B"/>
    <w:rsid w:val="02E9167E"/>
    <w:rsid w:val="03211FFE"/>
    <w:rsid w:val="03635CA1"/>
    <w:rsid w:val="04227A9A"/>
    <w:rsid w:val="04711AE1"/>
    <w:rsid w:val="05151420"/>
    <w:rsid w:val="05371624"/>
    <w:rsid w:val="059F2236"/>
    <w:rsid w:val="05FA62C2"/>
    <w:rsid w:val="061F129D"/>
    <w:rsid w:val="068D6519"/>
    <w:rsid w:val="06922293"/>
    <w:rsid w:val="069C291A"/>
    <w:rsid w:val="07012D05"/>
    <w:rsid w:val="0750631B"/>
    <w:rsid w:val="07832D02"/>
    <w:rsid w:val="07CB508B"/>
    <w:rsid w:val="07D00BF5"/>
    <w:rsid w:val="098034C2"/>
    <w:rsid w:val="099B75BD"/>
    <w:rsid w:val="09AE1778"/>
    <w:rsid w:val="0A1D6D80"/>
    <w:rsid w:val="0AFA6667"/>
    <w:rsid w:val="0B984FB4"/>
    <w:rsid w:val="0BF64515"/>
    <w:rsid w:val="0C0378A1"/>
    <w:rsid w:val="0C1B3CDD"/>
    <w:rsid w:val="0C4A085A"/>
    <w:rsid w:val="0D613F20"/>
    <w:rsid w:val="0DAA6C97"/>
    <w:rsid w:val="0EDF1406"/>
    <w:rsid w:val="0FC352E3"/>
    <w:rsid w:val="10BA1A0E"/>
    <w:rsid w:val="10ED2ECC"/>
    <w:rsid w:val="11341393"/>
    <w:rsid w:val="117A0BEA"/>
    <w:rsid w:val="124762F5"/>
    <w:rsid w:val="13A16FF0"/>
    <w:rsid w:val="14106FF9"/>
    <w:rsid w:val="141101D8"/>
    <w:rsid w:val="14730DD3"/>
    <w:rsid w:val="14CD6BEC"/>
    <w:rsid w:val="14CE7F44"/>
    <w:rsid w:val="15351523"/>
    <w:rsid w:val="157C7834"/>
    <w:rsid w:val="16635CEE"/>
    <w:rsid w:val="16E8454B"/>
    <w:rsid w:val="173910B8"/>
    <w:rsid w:val="17AA0A3C"/>
    <w:rsid w:val="18921F2A"/>
    <w:rsid w:val="19194A67"/>
    <w:rsid w:val="192A52CB"/>
    <w:rsid w:val="19B24720"/>
    <w:rsid w:val="19D7192B"/>
    <w:rsid w:val="1A2F0208"/>
    <w:rsid w:val="1A946EB8"/>
    <w:rsid w:val="1AA644EE"/>
    <w:rsid w:val="1AB874F4"/>
    <w:rsid w:val="1B7B7F02"/>
    <w:rsid w:val="1CDD7969"/>
    <w:rsid w:val="1E590F17"/>
    <w:rsid w:val="1FE55597"/>
    <w:rsid w:val="203B28F2"/>
    <w:rsid w:val="211D3D3D"/>
    <w:rsid w:val="215B5C45"/>
    <w:rsid w:val="216B7034"/>
    <w:rsid w:val="21765C44"/>
    <w:rsid w:val="21EF5965"/>
    <w:rsid w:val="22763ADF"/>
    <w:rsid w:val="22851021"/>
    <w:rsid w:val="22FF226B"/>
    <w:rsid w:val="23263E5B"/>
    <w:rsid w:val="235B3166"/>
    <w:rsid w:val="236C38EA"/>
    <w:rsid w:val="23A14391"/>
    <w:rsid w:val="24A271BF"/>
    <w:rsid w:val="250372A1"/>
    <w:rsid w:val="25A657C5"/>
    <w:rsid w:val="25F82D48"/>
    <w:rsid w:val="26596440"/>
    <w:rsid w:val="26760CCD"/>
    <w:rsid w:val="268F7E1F"/>
    <w:rsid w:val="26F263EE"/>
    <w:rsid w:val="272F52AB"/>
    <w:rsid w:val="273C462E"/>
    <w:rsid w:val="27FC5975"/>
    <w:rsid w:val="282D0720"/>
    <w:rsid w:val="2884328E"/>
    <w:rsid w:val="28925C98"/>
    <w:rsid w:val="28E15FBD"/>
    <w:rsid w:val="28E63E92"/>
    <w:rsid w:val="29863184"/>
    <w:rsid w:val="29913283"/>
    <w:rsid w:val="29B01A41"/>
    <w:rsid w:val="29C053BB"/>
    <w:rsid w:val="29E71CE7"/>
    <w:rsid w:val="29F0076E"/>
    <w:rsid w:val="2A812156"/>
    <w:rsid w:val="2AF15301"/>
    <w:rsid w:val="2B1464E2"/>
    <w:rsid w:val="2B8170B9"/>
    <w:rsid w:val="2BE819DB"/>
    <w:rsid w:val="2D8A646F"/>
    <w:rsid w:val="2E0D22D3"/>
    <w:rsid w:val="2F564084"/>
    <w:rsid w:val="30C06CF8"/>
    <w:rsid w:val="312D7D2E"/>
    <w:rsid w:val="315D1AEF"/>
    <w:rsid w:val="328F4C9B"/>
    <w:rsid w:val="32D53347"/>
    <w:rsid w:val="33043259"/>
    <w:rsid w:val="334F7ACC"/>
    <w:rsid w:val="33AB64A8"/>
    <w:rsid w:val="34243E8F"/>
    <w:rsid w:val="351512AD"/>
    <w:rsid w:val="35B77CC3"/>
    <w:rsid w:val="367B6FA8"/>
    <w:rsid w:val="376C4B54"/>
    <w:rsid w:val="37C35B6C"/>
    <w:rsid w:val="384056F0"/>
    <w:rsid w:val="3868253B"/>
    <w:rsid w:val="38F532A7"/>
    <w:rsid w:val="39146B96"/>
    <w:rsid w:val="397531D0"/>
    <w:rsid w:val="39AB79D0"/>
    <w:rsid w:val="3B02562A"/>
    <w:rsid w:val="3B897158"/>
    <w:rsid w:val="3BB84408"/>
    <w:rsid w:val="3D15524F"/>
    <w:rsid w:val="3F2E5B3F"/>
    <w:rsid w:val="3F886D25"/>
    <w:rsid w:val="3FF3683D"/>
    <w:rsid w:val="402902E4"/>
    <w:rsid w:val="4161172F"/>
    <w:rsid w:val="417A2BAA"/>
    <w:rsid w:val="41C570C1"/>
    <w:rsid w:val="428F44F5"/>
    <w:rsid w:val="4294453D"/>
    <w:rsid w:val="435C31EE"/>
    <w:rsid w:val="444201EA"/>
    <w:rsid w:val="44C1133F"/>
    <w:rsid w:val="458468AC"/>
    <w:rsid w:val="45E61902"/>
    <w:rsid w:val="460F79EF"/>
    <w:rsid w:val="47D23012"/>
    <w:rsid w:val="47F833E1"/>
    <w:rsid w:val="48D06723"/>
    <w:rsid w:val="495028B4"/>
    <w:rsid w:val="495F2991"/>
    <w:rsid w:val="49B96259"/>
    <w:rsid w:val="4A22388F"/>
    <w:rsid w:val="4AF524C5"/>
    <w:rsid w:val="4BAD502B"/>
    <w:rsid w:val="4BC65D97"/>
    <w:rsid w:val="4C603192"/>
    <w:rsid w:val="4C7668B6"/>
    <w:rsid w:val="4D494991"/>
    <w:rsid w:val="4DD760FC"/>
    <w:rsid w:val="4E7B6D7A"/>
    <w:rsid w:val="4E846124"/>
    <w:rsid w:val="4F09086C"/>
    <w:rsid w:val="4F226198"/>
    <w:rsid w:val="4FB5292F"/>
    <w:rsid w:val="50704DAF"/>
    <w:rsid w:val="50BB2818"/>
    <w:rsid w:val="51856859"/>
    <w:rsid w:val="51E651A0"/>
    <w:rsid w:val="528261F1"/>
    <w:rsid w:val="52D2580B"/>
    <w:rsid w:val="52E46A8D"/>
    <w:rsid w:val="52E71B3F"/>
    <w:rsid w:val="52E95DBE"/>
    <w:rsid w:val="531F2379"/>
    <w:rsid w:val="53204ABA"/>
    <w:rsid w:val="54104133"/>
    <w:rsid w:val="545540DC"/>
    <w:rsid w:val="54F412FC"/>
    <w:rsid w:val="552073DD"/>
    <w:rsid w:val="55340B15"/>
    <w:rsid w:val="55DF2984"/>
    <w:rsid w:val="567A1CE1"/>
    <w:rsid w:val="56DE2A05"/>
    <w:rsid w:val="5763552F"/>
    <w:rsid w:val="57A52D67"/>
    <w:rsid w:val="57F40706"/>
    <w:rsid w:val="58BA3785"/>
    <w:rsid w:val="59106A59"/>
    <w:rsid w:val="599178A5"/>
    <w:rsid w:val="59921757"/>
    <w:rsid w:val="59F36C24"/>
    <w:rsid w:val="5A4426C7"/>
    <w:rsid w:val="5B7C2D04"/>
    <w:rsid w:val="5C22090F"/>
    <w:rsid w:val="5CEE39CF"/>
    <w:rsid w:val="5D4167BA"/>
    <w:rsid w:val="5D416952"/>
    <w:rsid w:val="5E6E4F88"/>
    <w:rsid w:val="5F8A0353"/>
    <w:rsid w:val="5FA11551"/>
    <w:rsid w:val="60296829"/>
    <w:rsid w:val="60F863B0"/>
    <w:rsid w:val="61106D73"/>
    <w:rsid w:val="62067DAE"/>
    <w:rsid w:val="62322F2F"/>
    <w:rsid w:val="62351467"/>
    <w:rsid w:val="635C38F5"/>
    <w:rsid w:val="6380063D"/>
    <w:rsid w:val="646B0A29"/>
    <w:rsid w:val="64830394"/>
    <w:rsid w:val="64991B8D"/>
    <w:rsid w:val="65A95D47"/>
    <w:rsid w:val="65EF2FA2"/>
    <w:rsid w:val="66D460F8"/>
    <w:rsid w:val="6728633B"/>
    <w:rsid w:val="67352001"/>
    <w:rsid w:val="67D741CE"/>
    <w:rsid w:val="68C2693A"/>
    <w:rsid w:val="691B5192"/>
    <w:rsid w:val="6A8E0F82"/>
    <w:rsid w:val="6B4F73A8"/>
    <w:rsid w:val="6BD10DD4"/>
    <w:rsid w:val="6BD12AC0"/>
    <w:rsid w:val="6C3213A4"/>
    <w:rsid w:val="6CA6120A"/>
    <w:rsid w:val="6CF85372"/>
    <w:rsid w:val="6CFA4C14"/>
    <w:rsid w:val="6E3D568D"/>
    <w:rsid w:val="6EBA56C9"/>
    <w:rsid w:val="6F223409"/>
    <w:rsid w:val="6F2702BB"/>
    <w:rsid w:val="6F2F5130"/>
    <w:rsid w:val="6F6F3C1A"/>
    <w:rsid w:val="6FD13A68"/>
    <w:rsid w:val="6FE2164D"/>
    <w:rsid w:val="70696DF9"/>
    <w:rsid w:val="70787EBD"/>
    <w:rsid w:val="70E2538F"/>
    <w:rsid w:val="71871F16"/>
    <w:rsid w:val="71D13ADB"/>
    <w:rsid w:val="729A38F5"/>
    <w:rsid w:val="73747418"/>
    <w:rsid w:val="73E05D42"/>
    <w:rsid w:val="73F413FA"/>
    <w:rsid w:val="74B51D04"/>
    <w:rsid w:val="74D84CBB"/>
    <w:rsid w:val="751017E1"/>
    <w:rsid w:val="752A0D78"/>
    <w:rsid w:val="755230A4"/>
    <w:rsid w:val="75800BFC"/>
    <w:rsid w:val="767877BD"/>
    <w:rsid w:val="771A7847"/>
    <w:rsid w:val="779C1EAA"/>
    <w:rsid w:val="77D01B77"/>
    <w:rsid w:val="77E522C5"/>
    <w:rsid w:val="780B688C"/>
    <w:rsid w:val="785D286E"/>
    <w:rsid w:val="78766452"/>
    <w:rsid w:val="795E5BAC"/>
    <w:rsid w:val="798F23EF"/>
    <w:rsid w:val="79DE680B"/>
    <w:rsid w:val="7A0B5310"/>
    <w:rsid w:val="7A547E27"/>
    <w:rsid w:val="7A75349E"/>
    <w:rsid w:val="7A790E19"/>
    <w:rsid w:val="7AB53767"/>
    <w:rsid w:val="7B1164A4"/>
    <w:rsid w:val="7B312324"/>
    <w:rsid w:val="7BB03594"/>
    <w:rsid w:val="7C6C71EB"/>
    <w:rsid w:val="7CF443D5"/>
    <w:rsid w:val="7DAB4526"/>
    <w:rsid w:val="7E155A78"/>
    <w:rsid w:val="7E466011"/>
    <w:rsid w:val="7E7268F6"/>
    <w:rsid w:val="7E7471DD"/>
    <w:rsid w:val="7E7724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link w:val="39"/>
    <w:qFormat/>
    <w:uiPriority w:val="9"/>
    <w:pPr>
      <w:keepNext/>
      <w:numPr>
        <w:ilvl w:val="0"/>
        <w:numId w:val="1"/>
      </w:numPr>
      <w:spacing w:before="360" w:after="360" w:line="580" w:lineRule="exact"/>
      <w:ind w:left="0" w:firstLine="0"/>
      <w:jc w:val="center"/>
      <w:outlineLvl w:val="0"/>
    </w:pPr>
    <w:rPr>
      <w:rFonts w:ascii="方正大标宋简体" w:hAnsi="黑体" w:eastAsia="方正大标宋简体" w:cs="黑体"/>
      <w:color w:val="000000" w:themeColor="text1"/>
      <w:sz w:val="36"/>
      <w:szCs w:val="36"/>
      <w:shd w:val="clear" w:color="auto" w:fill="FCFCFC"/>
      <w14:textFill>
        <w14:solidFill>
          <w14:schemeClr w14:val="tx1"/>
        </w14:solidFill>
      </w14:textFill>
    </w:rPr>
  </w:style>
  <w:style w:type="paragraph" w:styleId="4">
    <w:name w:val="heading 2"/>
    <w:basedOn w:val="1"/>
    <w:next w:val="1"/>
    <w:link w:val="40"/>
    <w:unhideWhenUsed/>
    <w:qFormat/>
    <w:uiPriority w:val="9"/>
    <w:pPr>
      <w:keepNext/>
      <w:numPr>
        <w:ilvl w:val="0"/>
        <w:numId w:val="2"/>
      </w:numPr>
      <w:spacing w:before="240" w:after="240" w:line="580" w:lineRule="exact"/>
      <w:ind w:left="420"/>
      <w:jc w:val="center"/>
      <w:outlineLvl w:val="1"/>
    </w:pPr>
    <w:rPr>
      <w:rFonts w:ascii="黑体" w:hAnsi="楷体_GB2312" w:eastAsia="黑体" w:cs="楷体_GB2312"/>
      <w:color w:val="000000" w:themeColor="text1"/>
      <w:szCs w:val="32"/>
      <w14:textFill>
        <w14:solidFill>
          <w14:schemeClr w14:val="tx1"/>
        </w14:solidFill>
      </w14:textFill>
    </w:rPr>
  </w:style>
  <w:style w:type="paragraph" w:styleId="5">
    <w:name w:val="heading 3"/>
    <w:basedOn w:val="1"/>
    <w:next w:val="1"/>
    <w:link w:val="41"/>
    <w:unhideWhenUsed/>
    <w:qFormat/>
    <w:uiPriority w:val="9"/>
    <w:pPr>
      <w:keepNext/>
      <w:spacing w:beforeLines="50" w:afterLines="50" w:line="580" w:lineRule="exact"/>
      <w:ind w:firstLine="200" w:firstLineChars="200"/>
      <w:outlineLvl w:val="2"/>
    </w:pPr>
    <w:rPr>
      <w:rFonts w:ascii="宋体" w:hAnsi="仿宋" w:eastAsia="宋体" w:cs="仿宋"/>
      <w:b/>
      <w:bCs/>
      <w:color w:val="000000" w:themeColor="text1"/>
      <w:szCs w:val="32"/>
      <w:shd w:val="clear" w:color="auto" w:fill="FFFFFF"/>
      <w14:textFill>
        <w14:solidFill>
          <w14:schemeClr w14:val="tx1"/>
        </w14:solidFill>
      </w14:textFill>
    </w:rPr>
  </w:style>
  <w:style w:type="paragraph" w:styleId="6">
    <w:name w:val="heading 4"/>
    <w:basedOn w:val="1"/>
    <w:next w:val="1"/>
    <w:link w:val="4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3"/>
    <w:semiHidden/>
    <w:unhideWhenUsed/>
    <w:qFormat/>
    <w:uiPriority w:val="9"/>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line="480" w:lineRule="auto"/>
      <w:ind w:left="200" w:leftChars="200"/>
    </w:pPr>
    <w:rPr>
      <w:rFonts w:ascii="Times New Roman" w:hAnsi="Times New Roman" w:cs="永中宋体"/>
      <w:szCs w:val="20"/>
    </w:rPr>
  </w:style>
  <w:style w:type="paragraph" w:styleId="8">
    <w:name w:val="toc 7"/>
    <w:basedOn w:val="1"/>
    <w:next w:val="1"/>
    <w:unhideWhenUsed/>
    <w:qFormat/>
    <w:uiPriority w:val="39"/>
    <w:pPr>
      <w:ind w:left="2520" w:leftChars="1200"/>
    </w:pPr>
  </w:style>
  <w:style w:type="paragraph" w:styleId="9">
    <w:name w:val="caption"/>
    <w:next w:val="1"/>
    <w:link w:val="44"/>
    <w:unhideWhenUsed/>
    <w:qFormat/>
    <w:uiPriority w:val="35"/>
    <w:pPr>
      <w:keepNext/>
      <w:widowControl w:val="0"/>
      <w:spacing w:before="120" w:line="360" w:lineRule="auto"/>
      <w:ind w:firstLine="200" w:firstLineChars="200"/>
    </w:pPr>
    <w:rPr>
      <w:rFonts w:ascii="Times New Roman" w:hAnsi="Times New Roman" w:eastAsia="黑体" w:cs="Times New Roman"/>
      <w:kern w:val="2"/>
      <w:sz w:val="28"/>
      <w:lang w:val="en-US" w:eastAsia="zh-CN" w:bidi="ar-SA"/>
    </w:rPr>
  </w:style>
  <w:style w:type="paragraph" w:styleId="10">
    <w:name w:val="Document Map"/>
    <w:basedOn w:val="1"/>
    <w:link w:val="45"/>
    <w:semiHidden/>
    <w:unhideWhenUsed/>
    <w:qFormat/>
    <w:uiPriority w:val="99"/>
    <w:rPr>
      <w:rFonts w:ascii="宋体" w:eastAsia="宋体"/>
      <w:sz w:val="18"/>
      <w:szCs w:val="18"/>
    </w:rPr>
  </w:style>
  <w:style w:type="paragraph" w:styleId="11">
    <w:name w:val="annotation text"/>
    <w:basedOn w:val="1"/>
    <w:link w:val="46"/>
    <w:unhideWhenUsed/>
    <w:qFormat/>
    <w:uiPriority w:val="99"/>
    <w:pPr>
      <w:jc w:val="left"/>
    </w:pPr>
  </w:style>
  <w:style w:type="paragraph" w:styleId="12">
    <w:name w:val="Body Text"/>
    <w:basedOn w:val="1"/>
    <w:link w:val="47"/>
    <w:semiHidden/>
    <w:unhideWhenUsed/>
    <w:qFormat/>
    <w:uiPriority w:val="1"/>
    <w:rPr>
      <w:rFonts w:ascii="仿宋_GB2312" w:hAnsi="仿宋_GB2312" w:cs="仿宋_GB2312"/>
      <w:szCs w:val="32"/>
      <w:lang w:val="zh-CN" w:bidi="zh-CN"/>
    </w:rPr>
  </w:style>
  <w:style w:type="paragraph" w:styleId="13">
    <w:name w:val="toc 5"/>
    <w:basedOn w:val="1"/>
    <w:next w:val="1"/>
    <w:unhideWhenUsed/>
    <w:qFormat/>
    <w:uiPriority w:val="39"/>
    <w:pPr>
      <w:ind w:left="1680" w:leftChars="800"/>
    </w:pPr>
  </w:style>
  <w:style w:type="paragraph" w:styleId="14">
    <w:name w:val="toc 3"/>
    <w:basedOn w:val="1"/>
    <w:next w:val="1"/>
    <w:unhideWhenUsed/>
    <w:qFormat/>
    <w:uiPriority w:val="39"/>
    <w:pPr>
      <w:widowControl/>
      <w:spacing w:line="480" w:lineRule="exact"/>
      <w:ind w:left="442"/>
      <w:jc w:val="left"/>
    </w:pPr>
    <w:rPr>
      <w:rFonts w:eastAsia="仿宋" w:cs="Times New Roman"/>
      <w:kern w:val="0"/>
      <w:sz w:val="30"/>
    </w:rPr>
  </w:style>
  <w:style w:type="paragraph" w:styleId="15">
    <w:name w:val="toc 8"/>
    <w:basedOn w:val="1"/>
    <w:next w:val="1"/>
    <w:unhideWhenUsed/>
    <w:qFormat/>
    <w:uiPriority w:val="39"/>
    <w:pPr>
      <w:ind w:left="2940" w:leftChars="1400"/>
    </w:pPr>
  </w:style>
  <w:style w:type="paragraph" w:styleId="16">
    <w:name w:val="Date"/>
    <w:basedOn w:val="1"/>
    <w:next w:val="1"/>
    <w:link w:val="48"/>
    <w:semiHidden/>
    <w:unhideWhenUsed/>
    <w:qFormat/>
    <w:uiPriority w:val="99"/>
    <w:pPr>
      <w:ind w:left="100" w:leftChars="2500"/>
    </w:pPr>
  </w:style>
  <w:style w:type="paragraph" w:styleId="17">
    <w:name w:val="Balloon Text"/>
    <w:basedOn w:val="1"/>
    <w:link w:val="49"/>
    <w:semiHidden/>
    <w:unhideWhenUsed/>
    <w:qFormat/>
    <w:uiPriority w:val="99"/>
    <w:rPr>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40" w:lineRule="auto"/>
      <w:jc w:val="left"/>
    </w:pPr>
    <w:rPr>
      <w:rFonts w:eastAsia="黑体" w:cs="Times New Roman"/>
      <w:b/>
      <w:kern w:val="0"/>
      <w:sz w:val="30"/>
    </w:rPr>
  </w:style>
  <w:style w:type="paragraph" w:styleId="21">
    <w:name w:val="toc 4"/>
    <w:basedOn w:val="1"/>
    <w:next w:val="1"/>
    <w:unhideWhenUsed/>
    <w:qFormat/>
    <w:uiPriority w:val="39"/>
    <w:pPr>
      <w:ind w:left="1260" w:leftChars="600"/>
    </w:pPr>
  </w:style>
  <w:style w:type="paragraph" w:styleId="22">
    <w:name w:val="footnote text"/>
    <w:basedOn w:val="1"/>
    <w:link w:val="52"/>
    <w:semiHidden/>
    <w:qFormat/>
    <w:uiPriority w:val="99"/>
    <w:pPr>
      <w:snapToGrid w:val="0"/>
      <w:spacing w:line="400" w:lineRule="atLeast"/>
      <w:ind w:firstLine="200" w:firstLineChars="200"/>
      <w:jc w:val="left"/>
    </w:pPr>
    <w:rPr>
      <w:rFonts w:ascii="Times New Roman" w:hAnsi="Times New Roman" w:eastAsia="宋体" w:cs="Times New Roman"/>
      <w:sz w:val="18"/>
      <w:szCs w:val="18"/>
    </w:rPr>
  </w:style>
  <w:style w:type="paragraph" w:styleId="23">
    <w:name w:val="toc 6"/>
    <w:basedOn w:val="1"/>
    <w:next w:val="1"/>
    <w:unhideWhenUsed/>
    <w:qFormat/>
    <w:uiPriority w:val="39"/>
    <w:pPr>
      <w:ind w:left="2100" w:leftChars="1000"/>
    </w:pPr>
  </w:style>
  <w:style w:type="paragraph" w:styleId="24">
    <w:name w:val="table of figures"/>
    <w:basedOn w:val="1"/>
    <w:next w:val="1"/>
    <w:qFormat/>
    <w:uiPriority w:val="0"/>
    <w:pPr>
      <w:spacing w:before="100" w:beforeAutospacing="1" w:after="100" w:afterAutospacing="1"/>
      <w:ind w:left="200" w:leftChars="200" w:hanging="200" w:hangingChars="200"/>
    </w:pPr>
    <w:rPr>
      <w:szCs w:val="24"/>
    </w:rPr>
  </w:style>
  <w:style w:type="paragraph" w:styleId="25">
    <w:name w:val="toc 2"/>
    <w:basedOn w:val="1"/>
    <w:next w:val="1"/>
    <w:unhideWhenUsed/>
    <w:qFormat/>
    <w:uiPriority w:val="39"/>
    <w:pPr>
      <w:widowControl/>
      <w:spacing w:line="480" w:lineRule="exact"/>
      <w:ind w:left="221"/>
      <w:jc w:val="left"/>
    </w:pPr>
    <w:rPr>
      <w:rFonts w:eastAsia="仿宋" w:cs="Times New Roman"/>
      <w:b/>
      <w:kern w:val="0"/>
      <w:sz w:val="30"/>
    </w:rPr>
  </w:style>
  <w:style w:type="paragraph" w:styleId="26">
    <w:name w:val="toc 9"/>
    <w:basedOn w:val="1"/>
    <w:next w:val="1"/>
    <w:unhideWhenUsed/>
    <w:qFormat/>
    <w:uiPriority w:val="39"/>
    <w:pPr>
      <w:ind w:left="3360" w:leftChars="1600"/>
    </w:pPr>
  </w:style>
  <w:style w:type="paragraph" w:styleId="2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8">
    <w:name w:val="annotation subject"/>
    <w:basedOn w:val="11"/>
    <w:next w:val="11"/>
    <w:link w:val="53"/>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rFonts w:ascii="Times New Roman" w:hAnsi="Times New Roman" w:eastAsia="楷体"/>
      <w:b/>
      <w:bCs/>
      <w:sz w:val="32"/>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Emphasis"/>
    <w:qFormat/>
    <w:uiPriority w:val="20"/>
  </w:style>
  <w:style w:type="character" w:styleId="36">
    <w:name w:val="Hyperlink"/>
    <w:basedOn w:val="31"/>
    <w:unhideWhenUsed/>
    <w:qFormat/>
    <w:uiPriority w:val="99"/>
    <w:rPr>
      <w:color w:val="0000FF"/>
      <w:u w:val="single"/>
    </w:rPr>
  </w:style>
  <w:style w:type="character" w:styleId="37">
    <w:name w:val="annotation reference"/>
    <w:basedOn w:val="31"/>
    <w:semiHidden/>
    <w:unhideWhenUsed/>
    <w:qFormat/>
    <w:uiPriority w:val="99"/>
    <w:rPr>
      <w:sz w:val="21"/>
      <w:szCs w:val="21"/>
    </w:rPr>
  </w:style>
  <w:style w:type="character" w:styleId="38">
    <w:name w:val="footnote reference"/>
    <w:basedOn w:val="31"/>
    <w:semiHidden/>
    <w:qFormat/>
    <w:uiPriority w:val="99"/>
    <w:rPr>
      <w:vertAlign w:val="superscript"/>
    </w:rPr>
  </w:style>
  <w:style w:type="character" w:customStyle="1" w:styleId="39">
    <w:name w:val="标题 1 Char"/>
    <w:basedOn w:val="31"/>
    <w:link w:val="3"/>
    <w:qFormat/>
    <w:uiPriority w:val="9"/>
    <w:rPr>
      <w:rFonts w:ascii="方正大标宋简体" w:hAnsi="黑体" w:eastAsia="方正大标宋简体" w:cs="黑体"/>
      <w:color w:val="000000" w:themeColor="text1"/>
      <w:kern w:val="2"/>
      <w:sz w:val="36"/>
      <w:szCs w:val="36"/>
      <w14:textFill>
        <w14:solidFill>
          <w14:schemeClr w14:val="tx1"/>
        </w14:solidFill>
      </w14:textFill>
    </w:rPr>
  </w:style>
  <w:style w:type="character" w:customStyle="1" w:styleId="40">
    <w:name w:val="标题 2 Char"/>
    <w:basedOn w:val="31"/>
    <w:link w:val="4"/>
    <w:qFormat/>
    <w:uiPriority w:val="9"/>
    <w:rPr>
      <w:rFonts w:ascii="黑体" w:hAnsi="楷体_GB2312" w:eastAsia="黑体" w:cs="楷体_GB2312"/>
      <w:color w:val="000000" w:themeColor="text1"/>
      <w:kern w:val="2"/>
      <w:sz w:val="32"/>
      <w:szCs w:val="32"/>
      <w14:textFill>
        <w14:solidFill>
          <w14:schemeClr w14:val="tx1"/>
        </w14:solidFill>
      </w14:textFill>
    </w:rPr>
  </w:style>
  <w:style w:type="character" w:customStyle="1" w:styleId="41">
    <w:name w:val="标题 3 Char"/>
    <w:basedOn w:val="31"/>
    <w:link w:val="5"/>
    <w:qFormat/>
    <w:uiPriority w:val="9"/>
    <w:rPr>
      <w:rFonts w:ascii="宋体" w:hAnsi="仿宋" w:cs="仿宋"/>
      <w:b/>
      <w:bCs/>
      <w:color w:val="000000" w:themeColor="text1"/>
      <w:kern w:val="2"/>
      <w:sz w:val="32"/>
      <w:szCs w:val="32"/>
      <w14:textFill>
        <w14:solidFill>
          <w14:schemeClr w14:val="tx1"/>
        </w14:solidFill>
      </w14:textFill>
    </w:rPr>
  </w:style>
  <w:style w:type="character" w:customStyle="1" w:styleId="42">
    <w:name w:val="标题 4 Char"/>
    <w:basedOn w:val="31"/>
    <w:link w:val="6"/>
    <w:semiHidden/>
    <w:qFormat/>
    <w:uiPriority w:val="9"/>
    <w:rPr>
      <w:rFonts w:asciiTheme="majorHAnsi" w:hAnsiTheme="majorHAnsi" w:eastAsiaTheme="majorEastAsia" w:cstheme="majorBidi"/>
      <w:b/>
      <w:bCs/>
      <w:kern w:val="2"/>
      <w:sz w:val="28"/>
      <w:szCs w:val="28"/>
    </w:rPr>
  </w:style>
  <w:style w:type="character" w:customStyle="1" w:styleId="43">
    <w:name w:val="标题 5 Char"/>
    <w:basedOn w:val="31"/>
    <w:link w:val="7"/>
    <w:semiHidden/>
    <w:qFormat/>
    <w:uiPriority w:val="9"/>
    <w:rPr>
      <w:b/>
      <w:bCs/>
      <w:sz w:val="28"/>
      <w:szCs w:val="28"/>
    </w:rPr>
  </w:style>
  <w:style w:type="character" w:customStyle="1" w:styleId="44">
    <w:name w:val="题注 Char"/>
    <w:link w:val="9"/>
    <w:qFormat/>
    <w:locked/>
    <w:uiPriority w:val="35"/>
    <w:rPr>
      <w:rFonts w:eastAsia="黑体"/>
      <w:kern w:val="2"/>
      <w:sz w:val="28"/>
    </w:rPr>
  </w:style>
  <w:style w:type="character" w:customStyle="1" w:styleId="45">
    <w:name w:val="文档结构图 Char"/>
    <w:basedOn w:val="31"/>
    <w:link w:val="10"/>
    <w:semiHidden/>
    <w:qFormat/>
    <w:uiPriority w:val="99"/>
    <w:rPr>
      <w:rFonts w:ascii="宋体" w:hAnsiTheme="minorHAnsi" w:cstheme="minorBidi"/>
      <w:kern w:val="2"/>
      <w:sz w:val="18"/>
      <w:szCs w:val="18"/>
    </w:rPr>
  </w:style>
  <w:style w:type="character" w:customStyle="1" w:styleId="46">
    <w:name w:val="批注文字 Char"/>
    <w:basedOn w:val="31"/>
    <w:link w:val="11"/>
    <w:qFormat/>
    <w:uiPriority w:val="99"/>
    <w:rPr>
      <w:rFonts w:asciiTheme="minorHAnsi" w:hAnsiTheme="minorHAnsi" w:eastAsiaTheme="minorEastAsia" w:cstheme="minorBidi"/>
      <w:kern w:val="2"/>
      <w:sz w:val="21"/>
      <w:szCs w:val="22"/>
    </w:rPr>
  </w:style>
  <w:style w:type="character" w:customStyle="1" w:styleId="47">
    <w:name w:val="正文文本 Char"/>
    <w:basedOn w:val="31"/>
    <w:link w:val="12"/>
    <w:semiHidden/>
    <w:qFormat/>
    <w:uiPriority w:val="1"/>
    <w:rPr>
      <w:rFonts w:ascii="仿宋_GB2312" w:hAnsi="仿宋_GB2312" w:eastAsia="仿宋_GB2312" w:cs="仿宋_GB2312"/>
      <w:kern w:val="2"/>
      <w:sz w:val="32"/>
      <w:szCs w:val="32"/>
      <w:lang w:val="zh-CN" w:bidi="zh-CN"/>
    </w:rPr>
  </w:style>
  <w:style w:type="character" w:customStyle="1" w:styleId="48">
    <w:name w:val="日期 Char"/>
    <w:basedOn w:val="31"/>
    <w:link w:val="16"/>
    <w:semiHidden/>
    <w:qFormat/>
    <w:uiPriority w:val="99"/>
  </w:style>
  <w:style w:type="character" w:customStyle="1" w:styleId="49">
    <w:name w:val="批注框文本 Char"/>
    <w:basedOn w:val="31"/>
    <w:link w:val="17"/>
    <w:semiHidden/>
    <w:qFormat/>
    <w:uiPriority w:val="99"/>
    <w:rPr>
      <w:rFonts w:asciiTheme="minorHAnsi" w:hAnsiTheme="minorHAnsi" w:eastAsiaTheme="minorEastAsia" w:cstheme="minorBidi"/>
      <w:kern w:val="2"/>
      <w:sz w:val="18"/>
      <w:szCs w:val="18"/>
    </w:rPr>
  </w:style>
  <w:style w:type="character" w:customStyle="1" w:styleId="50">
    <w:name w:val="页脚 Char"/>
    <w:basedOn w:val="31"/>
    <w:link w:val="18"/>
    <w:qFormat/>
    <w:uiPriority w:val="99"/>
    <w:rPr>
      <w:sz w:val="18"/>
      <w:szCs w:val="18"/>
    </w:rPr>
  </w:style>
  <w:style w:type="character" w:customStyle="1" w:styleId="51">
    <w:name w:val="页眉 Char"/>
    <w:basedOn w:val="31"/>
    <w:link w:val="19"/>
    <w:qFormat/>
    <w:uiPriority w:val="99"/>
    <w:rPr>
      <w:sz w:val="18"/>
      <w:szCs w:val="18"/>
    </w:rPr>
  </w:style>
  <w:style w:type="character" w:customStyle="1" w:styleId="52">
    <w:name w:val="脚注文本 Char"/>
    <w:basedOn w:val="31"/>
    <w:link w:val="22"/>
    <w:semiHidden/>
    <w:qFormat/>
    <w:uiPriority w:val="99"/>
    <w:rPr>
      <w:rFonts w:ascii="Times New Roman" w:hAnsi="Times New Roman" w:eastAsia="宋体" w:cs="Times New Roman"/>
      <w:sz w:val="18"/>
      <w:szCs w:val="18"/>
    </w:rPr>
  </w:style>
  <w:style w:type="character" w:customStyle="1" w:styleId="53">
    <w:name w:val="批注主题 Char"/>
    <w:basedOn w:val="46"/>
    <w:link w:val="28"/>
    <w:semiHidden/>
    <w:qFormat/>
    <w:uiPriority w:val="99"/>
    <w:rPr>
      <w:rFonts w:asciiTheme="minorHAnsi" w:hAnsiTheme="minorHAnsi" w:eastAsiaTheme="minorEastAsia" w:cstheme="minorBidi"/>
      <w:b/>
      <w:bCs/>
      <w:kern w:val="2"/>
      <w:sz w:val="21"/>
      <w:szCs w:val="22"/>
    </w:rPr>
  </w:style>
  <w:style w:type="paragraph" w:styleId="54">
    <w:name w:val="List Paragraph"/>
    <w:basedOn w:val="1"/>
    <w:qFormat/>
    <w:uiPriority w:val="34"/>
    <w:pPr>
      <w:ind w:firstLine="420" w:firstLineChars="200"/>
    </w:pPr>
  </w:style>
  <w:style w:type="paragraph" w:customStyle="1" w:styleId="55">
    <w:name w:val="标题4"/>
    <w:basedOn w:val="1"/>
    <w:qFormat/>
    <w:uiPriority w:val="0"/>
    <w:pPr>
      <w:spacing w:line="240" w:lineRule="atLeast"/>
      <w:ind w:firstLine="562" w:firstLineChars="200"/>
    </w:pPr>
    <w:rPr>
      <w:rFonts w:ascii="Times New Roman" w:hAnsi="Times New Roman" w:eastAsia="楷体_GB2312" w:cs="Times New Roman"/>
      <w:b/>
      <w:sz w:val="28"/>
      <w:szCs w:val="24"/>
    </w:rPr>
  </w:style>
  <w:style w:type="character" w:customStyle="1" w:styleId="56">
    <w:name w:val="4.正文 Char"/>
    <w:link w:val="57"/>
    <w:qFormat/>
    <w:uiPriority w:val="0"/>
    <w:rPr>
      <w:rFonts w:eastAsia="仿宋_GB2312"/>
      <w:color w:val="000000"/>
      <w:kern w:val="2"/>
      <w:sz w:val="32"/>
      <w:szCs w:val="32"/>
    </w:rPr>
  </w:style>
  <w:style w:type="paragraph" w:customStyle="1" w:styleId="57">
    <w:name w:val="4.正文"/>
    <w:basedOn w:val="1"/>
    <w:link w:val="56"/>
    <w:qFormat/>
    <w:uiPriority w:val="0"/>
    <w:pPr>
      <w:ind w:firstLine="200" w:firstLineChars="200"/>
    </w:pPr>
    <w:rPr>
      <w:rFonts w:ascii="Times New Roman" w:hAnsi="Times New Roman" w:cs="Times New Roman"/>
      <w:color w:val="000000"/>
      <w:szCs w:val="32"/>
    </w:rPr>
  </w:style>
  <w:style w:type="character" w:customStyle="1" w:styleId="58">
    <w:name w:val="5.图头表头样式 Char"/>
    <w:link w:val="59"/>
    <w:qFormat/>
    <w:uiPriority w:val="0"/>
    <w:rPr>
      <w:rFonts w:ascii="Times New Roman" w:hAnsi="Times New Roman" w:eastAsia="宋体" w:cs="Times New Roman"/>
      <w:b/>
      <w:bCs/>
      <w:sz w:val="24"/>
      <w:szCs w:val="24"/>
    </w:rPr>
  </w:style>
  <w:style w:type="paragraph" w:customStyle="1" w:styleId="59">
    <w:name w:val="5.图头表头样式"/>
    <w:basedOn w:val="1"/>
    <w:link w:val="58"/>
    <w:qFormat/>
    <w:uiPriority w:val="0"/>
    <w:pPr>
      <w:widowControl/>
      <w:spacing w:line="554" w:lineRule="exact"/>
      <w:jc w:val="center"/>
    </w:pPr>
    <w:rPr>
      <w:rFonts w:ascii="Times New Roman" w:hAnsi="Times New Roman" w:eastAsia="宋体" w:cs="Times New Roman"/>
      <w:b/>
      <w:bCs/>
      <w:sz w:val="24"/>
      <w:szCs w:val="24"/>
    </w:rPr>
  </w:style>
  <w:style w:type="paragraph" w:customStyle="1" w:styleId="60">
    <w:name w:val="样式 样式 图纸名称 + 段后: 0.5 行 + 段后: 0.5 行1"/>
    <w:basedOn w:val="1"/>
    <w:qFormat/>
    <w:uiPriority w:val="0"/>
    <w:pPr>
      <w:widowControl/>
      <w:numPr>
        <w:ilvl w:val="0"/>
        <w:numId w:val="3"/>
      </w:numPr>
      <w:spacing w:afterLines="50" w:line="288" w:lineRule="auto"/>
      <w:jc w:val="center"/>
    </w:pPr>
    <w:rPr>
      <w:rFonts w:ascii="Calibri" w:hAnsi="Calibri" w:eastAsia="黑体" w:cs="宋体"/>
      <w:szCs w:val="20"/>
    </w:rPr>
  </w:style>
  <w:style w:type="paragraph" w:styleId="61">
    <w:name w:val="No Spacing"/>
    <w:qFormat/>
    <w:uiPriority w:val="99"/>
    <w:pPr>
      <w:widowControl w:val="0"/>
      <w:spacing w:line="580" w:lineRule="exact"/>
      <w:ind w:firstLine="648" w:firstLineChars="200"/>
      <w:jc w:val="both"/>
    </w:pPr>
    <w:rPr>
      <w:rFonts w:ascii="仿宋_GB2312" w:hAnsi="仿宋_GB2312" w:eastAsia="仿宋_GB2312" w:cs="仿宋_GB2312"/>
      <w:spacing w:val="2"/>
      <w:kern w:val="2"/>
      <w:sz w:val="32"/>
      <w:szCs w:val="32"/>
      <w:lang w:val="en-US" w:eastAsia="zh-CN" w:bidi="ar-SA"/>
    </w:rPr>
  </w:style>
  <w:style w:type="character" w:customStyle="1" w:styleId="62">
    <w:name w:val="bjh-p"/>
    <w:basedOn w:val="31"/>
    <w:qFormat/>
    <w:uiPriority w:val="0"/>
  </w:style>
  <w:style w:type="paragraph" w:customStyle="1" w:styleId="63">
    <w:name w:val="列出段落2"/>
    <w:basedOn w:val="1"/>
    <w:qFormat/>
    <w:uiPriority w:val="0"/>
    <w:pPr>
      <w:ind w:firstLine="420" w:firstLineChars="200"/>
    </w:pPr>
    <w:rPr>
      <w:rFonts w:ascii="Calibri" w:hAnsi="Calibri" w:cs="Calibri"/>
    </w:rPr>
  </w:style>
  <w:style w:type="paragraph" w:customStyle="1" w:styleId="64">
    <w:name w:val="Table Paragraph"/>
    <w:basedOn w:val="1"/>
    <w:qFormat/>
    <w:uiPriority w:val="0"/>
    <w:pPr>
      <w:jc w:val="center"/>
    </w:pPr>
    <w:rPr>
      <w:rFonts w:ascii="微软雅黑" w:hAnsi="微软雅黑" w:eastAsia="微软雅黑" w:cs="微软雅黑"/>
      <w:lang w:val="zh-CN"/>
    </w:rPr>
  </w:style>
  <w:style w:type="paragraph" w:customStyle="1" w:styleId="65">
    <w:name w:val="TOC 标题1"/>
    <w:basedOn w:val="3"/>
    <w:next w:val="1"/>
    <w:unhideWhenUsed/>
    <w:qFormat/>
    <w:uiPriority w:val="39"/>
    <w:pPr>
      <w:widowControl/>
      <w:spacing w:after="0" w:line="259" w:lineRule="auto"/>
      <w:jc w:val="left"/>
      <w:outlineLvl w:val="9"/>
    </w:pPr>
    <w:rPr>
      <w:rFonts w:asciiTheme="majorHAnsi" w:hAnsiTheme="majorHAnsi" w:eastAsiaTheme="majorEastAsia" w:cstheme="majorBidi"/>
      <w:b/>
      <w:bCs/>
      <w:color w:val="2E75B6" w:themeColor="accent1" w:themeShade="BF"/>
      <w:kern w:val="0"/>
      <w:szCs w:val="32"/>
    </w:rPr>
  </w:style>
  <w:style w:type="paragraph" w:customStyle="1" w:styleId="66">
    <w:name w:val="图片"/>
    <w:next w:val="9"/>
    <w:qFormat/>
    <w:uiPriority w:val="0"/>
    <w:pPr>
      <w:spacing w:line="288" w:lineRule="auto"/>
      <w:jc w:val="center"/>
    </w:pPr>
    <w:rPr>
      <w:rFonts w:ascii="Calibri" w:hAnsi="Calibri" w:eastAsia="宋体" w:cs="Times New Roman"/>
      <w:kern w:val="2"/>
      <w:sz w:val="24"/>
      <w:szCs w:val="22"/>
      <w:lang w:val="en-US" w:eastAsia="zh-CN" w:bidi="ar-SA"/>
    </w:rPr>
  </w:style>
  <w:style w:type="paragraph" w:customStyle="1" w:styleId="67">
    <w:name w:val="Char1"/>
    <w:basedOn w:val="1"/>
    <w:qFormat/>
    <w:uiPriority w:val="99"/>
    <w:pPr>
      <w:widowControl/>
      <w:spacing w:after="160" w:line="240" w:lineRule="exact"/>
      <w:jc w:val="left"/>
    </w:pPr>
    <w:rPr>
      <w:rFonts w:ascii="Tahoma" w:hAnsi="Tahoma" w:eastAsia="宋体" w:cs="Times New Roman"/>
      <w:kern w:val="0"/>
      <w:sz w:val="24"/>
      <w:szCs w:val="24"/>
      <w:lang w:eastAsia="en-US"/>
    </w:rPr>
  </w:style>
  <w:style w:type="paragraph" w:customStyle="1" w:styleId="68">
    <w:name w:val="TOC 标题2"/>
    <w:basedOn w:val="3"/>
    <w:next w:val="1"/>
    <w:unhideWhenUsed/>
    <w:qFormat/>
    <w:uiPriority w:val="39"/>
    <w:pPr>
      <w:widowControl/>
      <w:spacing w:after="0" w:line="259" w:lineRule="auto"/>
      <w:jc w:val="left"/>
      <w:outlineLvl w:val="9"/>
    </w:pPr>
    <w:rPr>
      <w:rFonts w:asciiTheme="majorHAnsi" w:hAnsiTheme="majorHAnsi" w:eastAsiaTheme="majorEastAsia" w:cstheme="majorBidi"/>
      <w:b/>
      <w:bCs/>
      <w:color w:val="2E75B6" w:themeColor="accent1" w:themeShade="BF"/>
      <w:kern w:val="0"/>
      <w:szCs w:val="32"/>
    </w:rPr>
  </w:style>
  <w:style w:type="paragraph" w:customStyle="1" w:styleId="69">
    <w:name w:val="Body text|1"/>
    <w:basedOn w:val="1"/>
    <w:qFormat/>
    <w:uiPriority w:val="0"/>
    <w:pPr>
      <w:spacing w:line="401" w:lineRule="auto"/>
    </w:pPr>
    <w:rPr>
      <w:rFonts w:ascii="宋体" w:hAnsi="宋体" w:eastAsia="宋体" w:cs="宋体"/>
      <w:sz w:val="20"/>
      <w:szCs w:val="20"/>
      <w:lang w:val="zh-TW" w:eastAsia="zh-TW" w:bidi="zh-TW"/>
    </w:rPr>
  </w:style>
  <w:style w:type="character" w:customStyle="1" w:styleId="70">
    <w:name w:val="未处理的提及1"/>
    <w:basedOn w:val="31"/>
    <w:semiHidden/>
    <w:unhideWhenUsed/>
    <w:qFormat/>
    <w:uiPriority w:val="99"/>
    <w:rPr>
      <w:color w:val="605E5C"/>
      <w:shd w:val="clear" w:color="auto" w:fill="E1DFDD"/>
    </w:rPr>
  </w:style>
  <w:style w:type="character" w:customStyle="1" w:styleId="71">
    <w:name w:val="未处理的提及2"/>
    <w:basedOn w:val="31"/>
    <w:semiHidden/>
    <w:unhideWhenUsed/>
    <w:qFormat/>
    <w:uiPriority w:val="99"/>
    <w:rPr>
      <w:color w:val="605E5C"/>
      <w:shd w:val="clear" w:color="auto" w:fill="E1DFDD"/>
    </w:rPr>
  </w:style>
  <w:style w:type="paragraph" w:customStyle="1" w:styleId="72">
    <w:name w:val="表格文字"/>
    <w:qFormat/>
    <w:uiPriority w:val="99"/>
    <w:pPr>
      <w:spacing w:line="520" w:lineRule="exact"/>
      <w:ind w:firstLine="200" w:firstLineChars="200"/>
    </w:pPr>
    <w:rPr>
      <w:rFonts w:ascii="Times New Roman" w:hAnsi="Times New Roman" w:eastAsia="仿宋_GB2312" w:cs="Times New Roman"/>
      <w:sz w:val="28"/>
      <w:szCs w:val="21"/>
      <w:lang w:val="en-US" w:eastAsia="zh-CN" w:bidi="ar-SA"/>
    </w:rPr>
  </w:style>
  <w:style w:type="character" w:customStyle="1" w:styleId="73">
    <w:name w:val="未处理的提及3"/>
    <w:basedOn w:val="31"/>
    <w:semiHidden/>
    <w:unhideWhenUsed/>
    <w:qFormat/>
    <w:uiPriority w:val="99"/>
    <w:rPr>
      <w:color w:val="605E5C"/>
      <w:shd w:val="clear" w:color="auto" w:fill="E1DFDD"/>
    </w:rPr>
  </w:style>
  <w:style w:type="character" w:customStyle="1" w:styleId="74">
    <w:name w:val="未处理的提及4"/>
    <w:basedOn w:val="31"/>
    <w:semiHidden/>
    <w:unhideWhenUsed/>
    <w:qFormat/>
    <w:uiPriority w:val="99"/>
    <w:rPr>
      <w:color w:val="605E5C"/>
      <w:shd w:val="clear" w:color="auto" w:fill="E1DFDD"/>
    </w:rPr>
  </w:style>
  <w:style w:type="character" w:customStyle="1" w:styleId="75">
    <w:name w:val="未处理的提及5"/>
    <w:basedOn w:val="31"/>
    <w:semiHidden/>
    <w:unhideWhenUsed/>
    <w:qFormat/>
    <w:uiPriority w:val="99"/>
    <w:rPr>
      <w:color w:val="605E5C"/>
      <w:shd w:val="clear" w:color="auto" w:fill="E1DFDD"/>
    </w:rPr>
  </w:style>
  <w:style w:type="paragraph" w:customStyle="1" w:styleId="76">
    <w:name w:val="Revision"/>
    <w:hidden/>
    <w:semiHidden/>
    <w:qFormat/>
    <w:uiPriority w:val="99"/>
    <w:rPr>
      <w:rFonts w:eastAsia="仿宋_GB2312" w:asciiTheme="minorHAnsi" w:hAnsiTheme="minorHAnsi" w:cstheme="minorBidi"/>
      <w:kern w:val="2"/>
      <w:sz w:val="32"/>
      <w:szCs w:val="22"/>
      <w:lang w:val="en-US" w:eastAsia="zh-CN" w:bidi="ar-SA"/>
    </w:rPr>
  </w:style>
  <w:style w:type="character" w:customStyle="1" w:styleId="77">
    <w:name w:val="Unresolved Mention"/>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404F81-0306-416F-8978-128D14A9963A}">
  <ds:schemaRefs/>
</ds:datastoreItem>
</file>

<file path=docProps/app.xml><?xml version="1.0" encoding="utf-8"?>
<Properties xmlns="http://schemas.openxmlformats.org/officeDocument/2006/extended-properties" xmlns:vt="http://schemas.openxmlformats.org/officeDocument/2006/docPropsVTypes">
  <Template>Normal</Template>
  <Pages>179</Pages>
  <Words>7858</Words>
  <Characters>8339</Characters>
  <Lines>717</Lines>
  <Paragraphs>201</Paragraphs>
  <TotalTime>15</TotalTime>
  <ScaleCrop>false</ScaleCrop>
  <LinksUpToDate>false</LinksUpToDate>
  <CharactersWithSpaces>8903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2022-01-24T09:10:00Z</dcterms:created>
  <dc:creator>Thinkpad</dc:creator>
  <cp:lastModifiedBy>空城旧梦</cp:lastModifiedBy>
  <cp:lastPrinted>2022-04-01T02:03:00Z</cp:lastPrinted>
  <dcterms:modified xsi:type="dcterms:W3CDTF">2025-11-25T06:43:32Z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AE4DD6C4156647F1AB265BDA63E22222</vt:lpwstr>
  </property>
  <property fmtid="{D5CDD505-2E9C-101B-9397-08002B2CF9AE}" pid="4" name="KSOTemplateDocerSaveRecord">
    <vt:lpwstr>eyJoZGlkIjoiZDE4NzZkYTJhOGQ4Y2Q5NDIwZmU2NmU5NWZjMDI2ZDkiLCJ1c2VySWQiOiI0Nzk1NDYxNTEifQ==</vt:lpwstr>
  </property>
</Properties>
</file>